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60" w:rsidRDefault="00E03419" w:rsidP="00F14188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华夏基金管理有限公司关于旗下部分开放式基金</w:t>
      </w:r>
    </w:p>
    <w:p w:rsidR="00E03419" w:rsidRDefault="00E03419" w:rsidP="00F14188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r>
        <w:rPr>
          <w:rFonts w:hAnsi="宋体" w:hint="eastAsia"/>
          <w:b/>
          <w:bCs/>
          <w:color w:val="000000"/>
          <w:sz w:val="24"/>
        </w:rPr>
        <w:t>新增</w:t>
      </w:r>
      <w:r w:rsidR="007B46AB">
        <w:rPr>
          <w:rFonts w:hAnsi="宋体" w:hint="eastAsia"/>
          <w:b/>
          <w:bCs/>
          <w:color w:val="000000"/>
          <w:sz w:val="24"/>
        </w:rPr>
        <w:t>日照银行</w:t>
      </w:r>
      <w:r>
        <w:rPr>
          <w:rFonts w:hAnsi="宋体" w:hint="eastAsia"/>
          <w:b/>
          <w:bCs/>
          <w:color w:val="000000"/>
          <w:sz w:val="24"/>
        </w:rPr>
        <w:t>为代销机构的公告</w:t>
      </w:r>
    </w:p>
    <w:p w:rsidR="00E03419" w:rsidRDefault="00E03419" w:rsidP="00F14188">
      <w:pPr>
        <w:spacing w:line="360" w:lineRule="auto"/>
        <w:jc w:val="center"/>
        <w:rPr>
          <w:b/>
          <w:bCs/>
          <w:color w:val="000000"/>
          <w:sz w:val="24"/>
        </w:rPr>
      </w:pP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根据华夏基金管理有限公司（以下简称“本公司”）与</w:t>
      </w:r>
      <w:r w:rsidR="007B46AB" w:rsidRPr="007B46AB">
        <w:rPr>
          <w:rFonts w:hAnsi="宋体" w:hint="eastAsia"/>
          <w:color w:val="000000"/>
          <w:sz w:val="24"/>
        </w:rPr>
        <w:t>日照银行股份有限公司</w:t>
      </w:r>
      <w:r>
        <w:rPr>
          <w:rFonts w:hAnsi="宋体" w:hint="eastAsia"/>
          <w:color w:val="000000"/>
          <w:sz w:val="24"/>
        </w:rPr>
        <w:t>（以下简称“</w:t>
      </w:r>
      <w:r w:rsidR="007B46AB">
        <w:rPr>
          <w:rFonts w:hAnsi="宋体" w:hint="eastAsia"/>
          <w:color w:val="000000"/>
          <w:sz w:val="24"/>
        </w:rPr>
        <w:t>日照银行</w:t>
      </w:r>
      <w:r>
        <w:rPr>
          <w:rFonts w:hAnsi="宋体" w:hint="eastAsia"/>
          <w:color w:val="000000"/>
          <w:sz w:val="24"/>
        </w:rPr>
        <w:t>”）签署的代销协议，</w:t>
      </w:r>
      <w:r w:rsidRPr="00901716">
        <w:rPr>
          <w:rFonts w:hAnsi="宋体" w:hint="eastAsia"/>
          <w:color w:val="000000"/>
          <w:sz w:val="24"/>
        </w:rPr>
        <w:t>投资</w:t>
      </w:r>
      <w:r w:rsidRPr="0080669B">
        <w:rPr>
          <w:rFonts w:hAnsi="宋体" w:hint="eastAsia"/>
          <w:color w:val="000000"/>
          <w:sz w:val="24"/>
        </w:rPr>
        <w:t>者可自</w:t>
      </w:r>
      <w:r w:rsidR="00276832">
        <w:rPr>
          <w:rFonts w:hAnsi="宋体"/>
          <w:color w:val="000000"/>
          <w:sz w:val="24"/>
        </w:rPr>
        <w:t>2025</w:t>
      </w:r>
      <w:r w:rsidR="00276832">
        <w:rPr>
          <w:rFonts w:hAnsi="宋体"/>
          <w:color w:val="000000"/>
          <w:sz w:val="24"/>
        </w:rPr>
        <w:t>年</w:t>
      </w:r>
      <w:r w:rsidR="00A63453">
        <w:rPr>
          <w:rFonts w:hAnsi="宋体" w:hint="eastAsia"/>
          <w:color w:val="000000"/>
          <w:sz w:val="24"/>
        </w:rPr>
        <w:t>1</w:t>
      </w:r>
      <w:r w:rsidR="00F40FB6">
        <w:rPr>
          <w:rFonts w:hAnsi="宋体" w:hint="eastAsia"/>
          <w:color w:val="000000"/>
          <w:sz w:val="24"/>
        </w:rPr>
        <w:t>2</w:t>
      </w:r>
      <w:r w:rsidR="00276832">
        <w:rPr>
          <w:rFonts w:hAnsi="宋体"/>
          <w:color w:val="000000"/>
          <w:sz w:val="24"/>
        </w:rPr>
        <w:t>月</w:t>
      </w:r>
      <w:r w:rsidR="007B46AB">
        <w:rPr>
          <w:rFonts w:hAnsi="宋体" w:hint="eastAsia"/>
          <w:color w:val="000000"/>
          <w:sz w:val="24"/>
        </w:rPr>
        <w:t>17</w:t>
      </w:r>
      <w:r w:rsidRPr="0080669B">
        <w:rPr>
          <w:rFonts w:hAnsi="宋体" w:hint="eastAsia"/>
          <w:color w:val="000000"/>
          <w:sz w:val="24"/>
        </w:rPr>
        <w:t>日起在</w:t>
      </w:r>
      <w:r w:rsidR="007B46AB">
        <w:rPr>
          <w:rFonts w:hAnsi="宋体" w:hint="eastAsia"/>
          <w:color w:val="000000"/>
          <w:sz w:val="24"/>
        </w:rPr>
        <w:t>日照银行</w:t>
      </w:r>
      <w:r w:rsidRPr="0080669B">
        <w:rPr>
          <w:rFonts w:hAnsi="宋体" w:hint="eastAsia"/>
          <w:color w:val="000000"/>
          <w:sz w:val="24"/>
        </w:rPr>
        <w:t>办理</w:t>
      </w:r>
      <w:r>
        <w:rPr>
          <w:rFonts w:hAnsi="宋体" w:hint="eastAsia"/>
          <w:color w:val="000000"/>
          <w:sz w:val="24"/>
        </w:rPr>
        <w:t>本公司旗下</w:t>
      </w:r>
      <w:r w:rsidRPr="0080669B">
        <w:rPr>
          <w:rFonts w:hAnsi="宋体" w:hint="eastAsia"/>
          <w:color w:val="000000"/>
          <w:sz w:val="24"/>
        </w:rPr>
        <w:t>部分开放式基金的</w:t>
      </w:r>
      <w:r>
        <w:rPr>
          <w:rFonts w:hAnsi="宋体" w:hint="eastAsia"/>
          <w:color w:val="000000"/>
          <w:sz w:val="24"/>
        </w:rPr>
        <w:t>申购、赎回、转换、定期定额申购业务。</w:t>
      </w:r>
      <w:r w:rsidR="00527860">
        <w:rPr>
          <w:rFonts w:hAnsi="宋体" w:hint="eastAsia"/>
          <w:color w:val="000000"/>
          <w:sz w:val="24"/>
        </w:rPr>
        <w:t>具体情况如下：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一、基金</w:t>
      </w:r>
      <w:r w:rsidR="00527860">
        <w:rPr>
          <w:rFonts w:hAnsi="宋体" w:hint="eastAsia"/>
          <w:color w:val="000000"/>
          <w:sz w:val="24"/>
        </w:rPr>
        <w:t>明细</w:t>
      </w:r>
    </w:p>
    <w:tbl>
      <w:tblPr>
        <w:tblStyle w:val="aa"/>
        <w:tblW w:w="0" w:type="auto"/>
        <w:tblLook w:val="04A0"/>
      </w:tblPr>
      <w:tblGrid>
        <w:gridCol w:w="1809"/>
        <w:gridCol w:w="2451"/>
        <w:gridCol w:w="1518"/>
        <w:gridCol w:w="2744"/>
      </w:tblGrid>
      <w:tr w:rsidR="00127342" w:rsidTr="00127342">
        <w:tc>
          <w:tcPr>
            <w:tcW w:w="1809" w:type="dxa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基金份额代码</w:t>
            </w:r>
          </w:p>
        </w:tc>
        <w:tc>
          <w:tcPr>
            <w:tcW w:w="2451" w:type="dxa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</w:t>
            </w:r>
            <w:r w:rsidRPr="00997CE9">
              <w:rPr>
                <w:kern w:val="0"/>
                <w:szCs w:val="21"/>
              </w:rPr>
              <w:t>份额简称</w:t>
            </w:r>
          </w:p>
        </w:tc>
        <w:tc>
          <w:tcPr>
            <w:tcW w:w="1518" w:type="dxa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基金份额代码</w:t>
            </w:r>
          </w:p>
        </w:tc>
        <w:tc>
          <w:tcPr>
            <w:tcW w:w="2744" w:type="dxa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</w:t>
            </w:r>
            <w:r w:rsidRPr="00997CE9">
              <w:rPr>
                <w:kern w:val="0"/>
                <w:szCs w:val="21"/>
              </w:rPr>
              <w:t>份额简称</w:t>
            </w:r>
          </w:p>
        </w:tc>
      </w:tr>
      <w:tr w:rsidR="007B46AB" w:rsidTr="0041186F">
        <w:tc>
          <w:tcPr>
            <w:tcW w:w="1809" w:type="dxa"/>
          </w:tcPr>
          <w:p w:rsidR="007B46AB" w:rsidRPr="00127342" w:rsidRDefault="007B46AB" w:rsidP="007B46AB">
            <w:pPr>
              <w:widowControl/>
              <w:jc w:val="center"/>
              <w:rPr>
                <w:szCs w:val="21"/>
              </w:rPr>
            </w:pPr>
            <w:r w:rsidRPr="00D438CA">
              <w:rPr>
                <w:rFonts w:hint="eastAsia"/>
              </w:rPr>
              <w:t>002937</w:t>
            </w:r>
          </w:p>
        </w:tc>
        <w:tc>
          <w:tcPr>
            <w:tcW w:w="2451" w:type="dxa"/>
          </w:tcPr>
          <w:p w:rsidR="007B46AB" w:rsidRPr="00127342" w:rsidRDefault="007B46AB" w:rsidP="007B46AB">
            <w:pPr>
              <w:widowControl/>
              <w:jc w:val="left"/>
              <w:rPr>
                <w:szCs w:val="21"/>
              </w:rPr>
            </w:pPr>
            <w:r w:rsidRPr="00D438CA">
              <w:rPr>
                <w:rFonts w:hint="eastAsia"/>
              </w:rPr>
              <w:t>华夏沃利货币</w:t>
            </w:r>
            <w:r w:rsidRPr="00D438CA">
              <w:rPr>
                <w:rFonts w:hint="eastAsia"/>
              </w:rPr>
              <w:t>B</w:t>
            </w:r>
          </w:p>
        </w:tc>
        <w:tc>
          <w:tcPr>
            <w:tcW w:w="1518" w:type="dxa"/>
          </w:tcPr>
          <w:p w:rsidR="007B46AB" w:rsidRPr="00127342" w:rsidRDefault="007B46AB" w:rsidP="007B46AB">
            <w:pPr>
              <w:widowControl/>
              <w:jc w:val="center"/>
              <w:rPr>
                <w:szCs w:val="21"/>
              </w:rPr>
            </w:pPr>
            <w:r w:rsidRPr="00785173">
              <w:rPr>
                <w:rFonts w:hint="eastAsia"/>
              </w:rPr>
              <w:t>011547</w:t>
            </w:r>
          </w:p>
        </w:tc>
        <w:tc>
          <w:tcPr>
            <w:tcW w:w="2744" w:type="dxa"/>
          </w:tcPr>
          <w:p w:rsidR="007B46AB" w:rsidRPr="00127342" w:rsidRDefault="007B46AB" w:rsidP="007B46AB">
            <w:pPr>
              <w:widowControl/>
              <w:jc w:val="left"/>
              <w:rPr>
                <w:szCs w:val="21"/>
              </w:rPr>
            </w:pPr>
            <w:r w:rsidRPr="00785173">
              <w:rPr>
                <w:rFonts w:hint="eastAsia"/>
              </w:rPr>
              <w:t>华夏惠利货币</w:t>
            </w:r>
            <w:r w:rsidRPr="00785173">
              <w:rPr>
                <w:rFonts w:hint="eastAsia"/>
              </w:rPr>
              <w:t>C</w:t>
            </w:r>
          </w:p>
        </w:tc>
      </w:tr>
      <w:tr w:rsidR="007B46AB" w:rsidTr="0041186F">
        <w:tc>
          <w:tcPr>
            <w:tcW w:w="1809" w:type="dxa"/>
          </w:tcPr>
          <w:p w:rsidR="007B46AB" w:rsidRPr="00127342" w:rsidRDefault="007B46AB" w:rsidP="007B46AB">
            <w:pPr>
              <w:widowControl/>
              <w:jc w:val="center"/>
              <w:rPr>
                <w:szCs w:val="21"/>
              </w:rPr>
            </w:pPr>
            <w:r w:rsidRPr="00D438CA">
              <w:rPr>
                <w:rFonts w:hint="eastAsia"/>
              </w:rPr>
              <w:t>016430</w:t>
            </w:r>
          </w:p>
        </w:tc>
        <w:tc>
          <w:tcPr>
            <w:tcW w:w="2451" w:type="dxa"/>
          </w:tcPr>
          <w:p w:rsidR="007B46AB" w:rsidRPr="00127342" w:rsidRDefault="007B46AB" w:rsidP="007B46AB">
            <w:pPr>
              <w:widowControl/>
              <w:jc w:val="left"/>
              <w:rPr>
                <w:szCs w:val="21"/>
              </w:rPr>
            </w:pPr>
            <w:r w:rsidRPr="00D438CA">
              <w:rPr>
                <w:rFonts w:hint="eastAsia"/>
              </w:rPr>
              <w:t>华夏快线货币</w:t>
            </w:r>
            <w:r w:rsidRPr="00D438CA">
              <w:rPr>
                <w:rFonts w:hint="eastAsia"/>
              </w:rPr>
              <w:t>B</w:t>
            </w:r>
          </w:p>
        </w:tc>
        <w:tc>
          <w:tcPr>
            <w:tcW w:w="1518" w:type="dxa"/>
          </w:tcPr>
          <w:p w:rsidR="007B46AB" w:rsidRPr="00127342" w:rsidRDefault="007B46AB" w:rsidP="007B46AB">
            <w:pPr>
              <w:widowControl/>
              <w:jc w:val="center"/>
              <w:rPr>
                <w:szCs w:val="21"/>
              </w:rPr>
            </w:pPr>
            <w:r w:rsidRPr="00785173">
              <w:rPr>
                <w:rFonts w:hint="eastAsia"/>
              </w:rPr>
              <w:t>001930</w:t>
            </w:r>
          </w:p>
        </w:tc>
        <w:tc>
          <w:tcPr>
            <w:tcW w:w="2744" w:type="dxa"/>
          </w:tcPr>
          <w:p w:rsidR="007B46AB" w:rsidRPr="00127342" w:rsidRDefault="007B46AB" w:rsidP="007B46AB">
            <w:pPr>
              <w:widowControl/>
              <w:jc w:val="left"/>
              <w:rPr>
                <w:szCs w:val="21"/>
              </w:rPr>
            </w:pPr>
            <w:r w:rsidRPr="00785173">
              <w:rPr>
                <w:rFonts w:hint="eastAsia"/>
              </w:rPr>
              <w:t>华夏收益宝货币</w:t>
            </w:r>
            <w:r w:rsidRPr="00785173">
              <w:rPr>
                <w:rFonts w:hint="eastAsia"/>
              </w:rPr>
              <w:t>B</w:t>
            </w:r>
          </w:p>
        </w:tc>
      </w:tr>
      <w:tr w:rsidR="007B46AB" w:rsidTr="000F3F32">
        <w:tc>
          <w:tcPr>
            <w:tcW w:w="1809" w:type="dxa"/>
          </w:tcPr>
          <w:p w:rsidR="007B46AB" w:rsidRPr="00127342" w:rsidRDefault="007B46AB" w:rsidP="007B46AB">
            <w:pPr>
              <w:widowControl/>
              <w:jc w:val="center"/>
              <w:rPr>
                <w:szCs w:val="21"/>
              </w:rPr>
            </w:pPr>
            <w:r w:rsidRPr="00D438CA">
              <w:rPr>
                <w:rFonts w:hint="eastAsia"/>
              </w:rPr>
              <w:t>288101</w:t>
            </w:r>
          </w:p>
        </w:tc>
        <w:tc>
          <w:tcPr>
            <w:tcW w:w="2451" w:type="dxa"/>
          </w:tcPr>
          <w:p w:rsidR="007B46AB" w:rsidRPr="00127342" w:rsidRDefault="007B46AB" w:rsidP="007B46AB">
            <w:pPr>
              <w:widowControl/>
              <w:jc w:val="left"/>
              <w:rPr>
                <w:szCs w:val="21"/>
              </w:rPr>
            </w:pPr>
            <w:r w:rsidRPr="00D438CA">
              <w:rPr>
                <w:rFonts w:hint="eastAsia"/>
              </w:rPr>
              <w:t>华夏货币</w:t>
            </w:r>
            <w:r w:rsidRPr="00D438CA">
              <w:rPr>
                <w:rFonts w:hint="eastAsia"/>
              </w:rPr>
              <w:t>A</w:t>
            </w:r>
          </w:p>
        </w:tc>
        <w:tc>
          <w:tcPr>
            <w:tcW w:w="1518" w:type="dxa"/>
            <w:vAlign w:val="center"/>
          </w:tcPr>
          <w:p w:rsidR="007B46AB" w:rsidRPr="00127342" w:rsidRDefault="007B46AB" w:rsidP="007B46A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744" w:type="dxa"/>
            <w:vAlign w:val="center"/>
          </w:tcPr>
          <w:p w:rsidR="007B46AB" w:rsidRPr="00127342" w:rsidRDefault="007B46AB" w:rsidP="007B46AB">
            <w:pPr>
              <w:widowControl/>
              <w:jc w:val="left"/>
              <w:rPr>
                <w:szCs w:val="21"/>
              </w:rPr>
            </w:pPr>
          </w:p>
        </w:tc>
      </w:tr>
    </w:tbl>
    <w:p w:rsidR="00E03419" w:rsidRDefault="00E03419" w:rsidP="00F14188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color w:val="000000"/>
          <w:sz w:val="24"/>
        </w:rPr>
        <w:t>如上述基金</w:t>
      </w:r>
      <w:r w:rsidR="00763365">
        <w:rPr>
          <w:rFonts w:hAnsi="宋体" w:hint="eastAsia"/>
          <w:color w:val="000000"/>
          <w:sz w:val="24"/>
        </w:rPr>
        <w:t>尚未开放、</w:t>
      </w:r>
      <w:r>
        <w:rPr>
          <w:rFonts w:hAnsi="宋体" w:hint="eastAsia"/>
          <w:color w:val="000000"/>
          <w:sz w:val="24"/>
        </w:rPr>
        <w:t>暂停办理对应业务或对其进行限制的，请遵照相关公告执行</w:t>
      </w:r>
      <w:r w:rsidR="001E1116">
        <w:rPr>
          <w:rFonts w:hAnsi="宋体" w:hint="eastAsia"/>
          <w:color w:val="000000"/>
          <w:sz w:val="24"/>
        </w:rPr>
        <w:t>，各基金业务开</w:t>
      </w:r>
      <w:r w:rsidR="00E96887">
        <w:rPr>
          <w:rFonts w:hAnsi="宋体" w:hint="eastAsia"/>
          <w:color w:val="000000"/>
          <w:sz w:val="24"/>
        </w:rPr>
        <w:t>办</w:t>
      </w:r>
      <w:r w:rsidR="001E1116">
        <w:rPr>
          <w:rFonts w:hAnsi="宋体" w:hint="eastAsia"/>
          <w:color w:val="000000"/>
          <w:sz w:val="24"/>
        </w:rPr>
        <w:t>情况遵循其各自规定执行</w:t>
      </w:r>
      <w:r>
        <w:rPr>
          <w:rFonts w:hAnsi="宋体" w:hint="eastAsia"/>
          <w:color w:val="000000"/>
          <w:sz w:val="24"/>
        </w:rPr>
        <w:t>。投资者在</w:t>
      </w:r>
      <w:r w:rsidR="007B46AB">
        <w:rPr>
          <w:rFonts w:hAnsi="宋体" w:hint="eastAsia"/>
          <w:color w:val="000000"/>
          <w:sz w:val="24"/>
        </w:rPr>
        <w:t>日照银行</w:t>
      </w:r>
      <w:r>
        <w:rPr>
          <w:rFonts w:hAnsi="宋体" w:hint="eastAsia"/>
          <w:color w:val="000000"/>
          <w:sz w:val="24"/>
        </w:rPr>
        <w:t>办理对应基金相关业务的数额限制、规则、流程以及需要提交的文件等信息，请遵照上述基金招募说明书或其更新、本公司发布的相关公告及</w:t>
      </w:r>
      <w:r w:rsidR="007B46AB">
        <w:rPr>
          <w:rFonts w:hAnsi="宋体" w:hint="eastAsia"/>
          <w:color w:val="000000"/>
          <w:sz w:val="24"/>
        </w:rPr>
        <w:t>日照银行</w:t>
      </w:r>
      <w:r>
        <w:rPr>
          <w:rFonts w:hAnsi="宋体" w:hint="eastAsia"/>
          <w:color w:val="000000"/>
          <w:sz w:val="24"/>
        </w:rPr>
        <w:t>的有关规定。</w:t>
      </w:r>
      <w:r w:rsidR="007B46AB">
        <w:rPr>
          <w:rFonts w:hAnsi="宋体" w:hint="eastAsia"/>
          <w:color w:val="000000"/>
          <w:sz w:val="24"/>
        </w:rPr>
        <w:t>日照银行</w:t>
      </w:r>
      <w:r w:rsidR="00D76F26" w:rsidRPr="00B15C39">
        <w:rPr>
          <w:rFonts w:hAnsi="宋体" w:hint="eastAsia"/>
          <w:sz w:val="24"/>
        </w:rPr>
        <w:t>的业务办理状况亦请遵循其规定执行</w:t>
      </w:r>
      <w:r w:rsidR="00D76F26">
        <w:rPr>
          <w:rFonts w:hAnsi="宋体" w:hint="eastAsia"/>
          <w:sz w:val="24"/>
        </w:rPr>
        <w:t>。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二、咨询渠道</w:t>
      </w:r>
    </w:p>
    <w:p w:rsidR="00E03419" w:rsidRPr="00995DBE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（一）</w:t>
      </w:r>
      <w:r w:rsidR="007B46AB">
        <w:rPr>
          <w:rFonts w:hAnsi="宋体" w:hint="eastAsia"/>
          <w:color w:val="000000"/>
          <w:sz w:val="24"/>
        </w:rPr>
        <w:t>日照银行</w:t>
      </w:r>
      <w:r>
        <w:rPr>
          <w:rFonts w:hAnsi="宋体" w:hint="eastAsia"/>
          <w:color w:val="000000"/>
          <w:sz w:val="24"/>
        </w:rPr>
        <w:t>客户服务电话：</w:t>
      </w:r>
      <w:r w:rsidR="007B46AB">
        <w:rPr>
          <w:rFonts w:eastAsia="楷体_GB2312" w:hint="eastAsia"/>
          <w:bCs/>
          <w:sz w:val="24"/>
        </w:rPr>
        <w:t>400-68-96588</w:t>
      </w:r>
      <w:r w:rsidRPr="00995DBE">
        <w:rPr>
          <w:rFonts w:hAnsi="宋体"/>
          <w:color w:val="000000"/>
          <w:sz w:val="24"/>
        </w:rPr>
        <w:t>；</w:t>
      </w:r>
    </w:p>
    <w:p w:rsidR="00E03419" w:rsidRPr="00D76F26" w:rsidRDefault="007B46AB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日照银行</w:t>
      </w:r>
      <w:r w:rsidR="00E03419">
        <w:rPr>
          <w:rFonts w:hAnsi="宋体" w:hint="eastAsia"/>
          <w:color w:val="000000"/>
          <w:sz w:val="24"/>
        </w:rPr>
        <w:t>网站：</w:t>
      </w:r>
      <w:r w:rsidRPr="007B46AB">
        <w:rPr>
          <w:rFonts w:eastAsia="楷体_GB2312"/>
          <w:bCs/>
          <w:sz w:val="24"/>
        </w:rPr>
        <w:t>https://www.bankofrizhao.com.cn</w:t>
      </w:r>
      <w:r w:rsidR="00D76F26">
        <w:rPr>
          <w:rFonts w:hAnsi="宋体" w:hint="eastAsia"/>
          <w:color w:val="000000"/>
          <w:sz w:val="24"/>
        </w:rPr>
        <w:t>；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（二）本公司客户服务电话：</w:t>
      </w:r>
      <w:r>
        <w:rPr>
          <w:rFonts w:hAnsi="宋体"/>
          <w:color w:val="000000"/>
          <w:sz w:val="24"/>
        </w:rPr>
        <w:t>400-818-6666</w:t>
      </w:r>
      <w:r>
        <w:rPr>
          <w:rFonts w:hAnsi="宋体" w:hint="eastAsia"/>
          <w:color w:val="000000"/>
          <w:sz w:val="24"/>
        </w:rPr>
        <w:t>；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本公司网站：</w:t>
      </w:r>
      <w:r>
        <w:rPr>
          <w:rFonts w:hAnsi="宋体"/>
          <w:color w:val="000000"/>
          <w:sz w:val="24"/>
        </w:rPr>
        <w:t>www.ChinaAMC.com</w:t>
      </w:r>
      <w:r>
        <w:rPr>
          <w:rFonts w:hAnsi="宋体" w:hint="eastAsia"/>
          <w:color w:val="000000"/>
          <w:sz w:val="24"/>
        </w:rPr>
        <w:t>。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本公司旗下开放式基金的代销机构已在本公司网站公示，投资者可登录查询。</w:t>
      </w:r>
    </w:p>
    <w:p w:rsidR="00E03419" w:rsidRPr="008C3BE8" w:rsidRDefault="00E03419" w:rsidP="00F14188">
      <w:pPr>
        <w:spacing w:line="360" w:lineRule="auto"/>
        <w:ind w:firstLineChars="200" w:firstLine="482"/>
        <w:rPr>
          <w:rFonts w:hAnsi="宋体"/>
          <w:b/>
          <w:color w:val="000000"/>
          <w:sz w:val="24"/>
        </w:rPr>
      </w:pPr>
      <w:r w:rsidRPr="008C3BE8">
        <w:rPr>
          <w:rFonts w:hAnsi="宋体" w:hint="eastAsia"/>
          <w:b/>
          <w:color w:val="000000"/>
          <w:sz w:val="24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</w:t>
      </w:r>
      <w:r w:rsidR="00380BA9" w:rsidRPr="008C3BE8">
        <w:rPr>
          <w:rFonts w:hAnsi="宋体" w:hint="eastAsia"/>
          <w:b/>
          <w:color w:val="000000"/>
          <w:sz w:val="24"/>
        </w:rPr>
        <w:t>请仔细阅读基金的</w:t>
      </w:r>
      <w:r w:rsidR="00380BA9" w:rsidRPr="008C3BE8">
        <w:rPr>
          <w:rFonts w:hAnsi="宋体" w:hint="eastAsia"/>
          <w:b/>
          <w:sz w:val="24"/>
        </w:rPr>
        <w:t>基金合同、招募说明书、基金产品资料概要等法律文件</w:t>
      </w:r>
      <w:r w:rsidRPr="008C3BE8">
        <w:rPr>
          <w:rFonts w:hAnsi="宋体" w:hint="eastAsia"/>
          <w:b/>
          <w:color w:val="000000"/>
          <w:sz w:val="24"/>
        </w:rPr>
        <w:t>，全面认识基金的风险收益特征和产品特性，充分考虑自身的风险承受能力，在了解产品情况、听取销售机构适当性</w:t>
      </w:r>
      <w:r w:rsidRPr="008C3BE8">
        <w:rPr>
          <w:rFonts w:hAnsi="宋体" w:hint="eastAsia"/>
          <w:b/>
          <w:color w:val="000000"/>
          <w:sz w:val="24"/>
        </w:rPr>
        <w:lastRenderedPageBreak/>
        <w:t>匹配意见的基础上，理性判断市场，谨慎做出投资决策。基金具体风险评级结果以销售机构提供的评级结果为准。</w:t>
      </w:r>
    </w:p>
    <w:p w:rsidR="00E03419" w:rsidRPr="00E51B43" w:rsidRDefault="00E03419" w:rsidP="00F14188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特此公告</w:t>
      </w:r>
    </w:p>
    <w:p w:rsidR="00E03419" w:rsidRDefault="00E03419" w:rsidP="00F14188">
      <w:pPr>
        <w:pStyle w:val="a3"/>
        <w:spacing w:before="0" w:beforeAutospacing="0" w:after="0" w:afterAutospacing="0" w:line="360" w:lineRule="auto"/>
        <w:ind w:firstLineChars="264" w:firstLine="634"/>
        <w:rPr>
          <w:rFonts w:ascii="Times New Roman" w:eastAsiaTheme="minorEastAsia" w:hAnsi="Times New Roman" w:cs="Times New Roman"/>
          <w:kern w:val="2"/>
        </w:rPr>
      </w:pPr>
    </w:p>
    <w:p w:rsidR="00E03419" w:rsidRDefault="00E03419" w:rsidP="00F14188">
      <w:pPr>
        <w:pStyle w:val="a3"/>
        <w:spacing w:before="0" w:beforeAutospacing="0" w:after="0" w:afterAutospacing="0" w:line="360" w:lineRule="auto"/>
        <w:ind w:firstLineChars="264" w:firstLine="634"/>
        <w:rPr>
          <w:rFonts w:ascii="Times New Roman" w:eastAsiaTheme="minorEastAsia" w:hAnsi="Times New Roman" w:cs="Times New Roman"/>
          <w:kern w:val="2"/>
        </w:rPr>
      </w:pPr>
    </w:p>
    <w:p w:rsidR="00E03419" w:rsidRPr="00E51B43" w:rsidRDefault="00E03419" w:rsidP="00F14188">
      <w:pPr>
        <w:spacing w:line="360" w:lineRule="auto"/>
        <w:jc w:val="right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华夏基金管理有限公司</w:t>
      </w:r>
    </w:p>
    <w:p w:rsidR="00E03419" w:rsidRPr="00E51B43" w:rsidRDefault="00D76F26" w:rsidP="00F14188">
      <w:pPr>
        <w:spacing w:line="360" w:lineRule="auto"/>
        <w:jc w:val="right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二〇二</w:t>
      </w:r>
      <w:r w:rsidR="00276832">
        <w:rPr>
          <w:rFonts w:hAnsi="宋体" w:hint="eastAsia"/>
          <w:color w:val="000000"/>
          <w:sz w:val="24"/>
        </w:rPr>
        <w:t>五</w:t>
      </w:r>
      <w:r>
        <w:rPr>
          <w:rFonts w:hAnsi="宋体" w:hint="eastAsia"/>
          <w:color w:val="000000"/>
          <w:sz w:val="24"/>
        </w:rPr>
        <w:t>年</w:t>
      </w:r>
      <w:r w:rsidR="00A63453">
        <w:rPr>
          <w:rFonts w:hAnsi="宋体" w:hint="eastAsia"/>
          <w:color w:val="000000"/>
          <w:sz w:val="24"/>
        </w:rPr>
        <w:t>十</w:t>
      </w:r>
      <w:r w:rsidR="00F40FB6">
        <w:rPr>
          <w:rFonts w:hAnsi="宋体" w:hint="eastAsia"/>
          <w:color w:val="000000"/>
          <w:sz w:val="24"/>
        </w:rPr>
        <w:t>二</w:t>
      </w:r>
      <w:r>
        <w:rPr>
          <w:rFonts w:hAnsi="宋体" w:hint="eastAsia"/>
          <w:color w:val="000000"/>
          <w:sz w:val="24"/>
        </w:rPr>
        <w:t>月</w:t>
      </w:r>
      <w:r w:rsidR="00A84CB3">
        <w:rPr>
          <w:rFonts w:hAnsi="宋体" w:hint="eastAsia"/>
          <w:color w:val="000000"/>
          <w:sz w:val="24"/>
        </w:rPr>
        <w:t>十七</w:t>
      </w:r>
      <w:r w:rsidR="00E03419" w:rsidRPr="00E51B43">
        <w:rPr>
          <w:rFonts w:hAnsi="宋体" w:hint="eastAsia"/>
          <w:color w:val="000000"/>
          <w:sz w:val="24"/>
        </w:rPr>
        <w:t>日</w:t>
      </w:r>
    </w:p>
    <w:p w:rsidR="000D71A1" w:rsidRDefault="000D71A1" w:rsidP="00F14188"/>
    <w:sectPr w:rsidR="000D71A1" w:rsidSect="00F14188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3DC" w:rsidRDefault="002A03DC" w:rsidP="00A7547C">
      <w:r>
        <w:separator/>
      </w:r>
    </w:p>
  </w:endnote>
  <w:endnote w:type="continuationSeparator" w:id="0">
    <w:p w:rsidR="002A03DC" w:rsidRDefault="002A03DC" w:rsidP="00A7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244460"/>
      <w:docPartObj>
        <w:docPartGallery w:val="Page Numbers (Bottom of Page)"/>
        <w:docPartUnique/>
      </w:docPartObj>
    </w:sdtPr>
    <w:sdtContent>
      <w:p w:rsidR="00E473EC" w:rsidRDefault="00801CD8">
        <w:pPr>
          <w:pStyle w:val="a7"/>
          <w:jc w:val="center"/>
        </w:pPr>
        <w:r>
          <w:fldChar w:fldCharType="begin"/>
        </w:r>
        <w:r w:rsidR="00E473EC">
          <w:instrText>PAGE   \* MERGEFORMAT</w:instrText>
        </w:r>
        <w:r>
          <w:fldChar w:fldCharType="separate"/>
        </w:r>
        <w:r w:rsidR="003D6FAE" w:rsidRPr="003D6FAE">
          <w:rPr>
            <w:noProof/>
            <w:lang w:val="zh-CN"/>
          </w:rPr>
          <w:t>1</w:t>
        </w:r>
        <w:r>
          <w:fldChar w:fldCharType="end"/>
        </w:r>
      </w:p>
    </w:sdtContent>
  </w:sdt>
  <w:p w:rsidR="00E473EC" w:rsidRDefault="00E473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3DC" w:rsidRDefault="002A03DC" w:rsidP="00A7547C">
      <w:r>
        <w:separator/>
      </w:r>
    </w:p>
  </w:footnote>
  <w:footnote w:type="continuationSeparator" w:id="0">
    <w:p w:rsidR="002A03DC" w:rsidRDefault="002A03DC" w:rsidP="00A75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4F" w:rsidRDefault="00B57F4F" w:rsidP="00F14188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7C" w:rsidRDefault="00A7547C" w:rsidP="00F1418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3D7"/>
    <w:rsid w:val="000006D0"/>
    <w:rsid w:val="0001021F"/>
    <w:rsid w:val="000506FA"/>
    <w:rsid w:val="000D57C7"/>
    <w:rsid w:val="000D707A"/>
    <w:rsid w:val="000D71A1"/>
    <w:rsid w:val="00127342"/>
    <w:rsid w:val="00142D23"/>
    <w:rsid w:val="00143CA5"/>
    <w:rsid w:val="001477C7"/>
    <w:rsid w:val="001756AF"/>
    <w:rsid w:val="00190C3E"/>
    <w:rsid w:val="0019543F"/>
    <w:rsid w:val="001B686D"/>
    <w:rsid w:val="001B7851"/>
    <w:rsid w:val="001B7FBA"/>
    <w:rsid w:val="001C2801"/>
    <w:rsid w:val="001C3428"/>
    <w:rsid w:val="001C5C5B"/>
    <w:rsid w:val="001E1116"/>
    <w:rsid w:val="00215BD2"/>
    <w:rsid w:val="00262BF9"/>
    <w:rsid w:val="00276832"/>
    <w:rsid w:val="00284820"/>
    <w:rsid w:val="002946D8"/>
    <w:rsid w:val="002A03DC"/>
    <w:rsid w:val="002A7F3D"/>
    <w:rsid w:val="002E6695"/>
    <w:rsid w:val="002F41AA"/>
    <w:rsid w:val="002F7BAC"/>
    <w:rsid w:val="00305BC9"/>
    <w:rsid w:val="00317331"/>
    <w:rsid w:val="0034623D"/>
    <w:rsid w:val="00351704"/>
    <w:rsid w:val="00380BA9"/>
    <w:rsid w:val="00384F52"/>
    <w:rsid w:val="003D6F59"/>
    <w:rsid w:val="003D6FAE"/>
    <w:rsid w:val="003E4AED"/>
    <w:rsid w:val="00416CCD"/>
    <w:rsid w:val="004211E4"/>
    <w:rsid w:val="0048415F"/>
    <w:rsid w:val="004975F9"/>
    <w:rsid w:val="004B56B6"/>
    <w:rsid w:val="004D4AB7"/>
    <w:rsid w:val="00523031"/>
    <w:rsid w:val="00527860"/>
    <w:rsid w:val="005330F6"/>
    <w:rsid w:val="005348D2"/>
    <w:rsid w:val="0058236C"/>
    <w:rsid w:val="00592365"/>
    <w:rsid w:val="005A0FCB"/>
    <w:rsid w:val="005B5A1F"/>
    <w:rsid w:val="005C5093"/>
    <w:rsid w:val="00604BD5"/>
    <w:rsid w:val="00621249"/>
    <w:rsid w:val="0062437F"/>
    <w:rsid w:val="00625DB2"/>
    <w:rsid w:val="0064680C"/>
    <w:rsid w:val="00664522"/>
    <w:rsid w:val="00671023"/>
    <w:rsid w:val="006942C3"/>
    <w:rsid w:val="006A5F72"/>
    <w:rsid w:val="006B45E7"/>
    <w:rsid w:val="006C5B1D"/>
    <w:rsid w:val="006D03D7"/>
    <w:rsid w:val="006E18D0"/>
    <w:rsid w:val="007225B3"/>
    <w:rsid w:val="00746559"/>
    <w:rsid w:val="00763365"/>
    <w:rsid w:val="0077669A"/>
    <w:rsid w:val="00776865"/>
    <w:rsid w:val="007932A6"/>
    <w:rsid w:val="00794E6A"/>
    <w:rsid w:val="007B37B4"/>
    <w:rsid w:val="007B46AB"/>
    <w:rsid w:val="007E0270"/>
    <w:rsid w:val="007E0811"/>
    <w:rsid w:val="007E0B16"/>
    <w:rsid w:val="007E5FB9"/>
    <w:rsid w:val="007E6123"/>
    <w:rsid w:val="007F1BD3"/>
    <w:rsid w:val="007F1CF5"/>
    <w:rsid w:val="0080028F"/>
    <w:rsid w:val="00801CD8"/>
    <w:rsid w:val="0080669B"/>
    <w:rsid w:val="00836A66"/>
    <w:rsid w:val="00844FAE"/>
    <w:rsid w:val="00873066"/>
    <w:rsid w:val="008762EE"/>
    <w:rsid w:val="008A560E"/>
    <w:rsid w:val="008C3BE8"/>
    <w:rsid w:val="008D504F"/>
    <w:rsid w:val="00901716"/>
    <w:rsid w:val="00916F8F"/>
    <w:rsid w:val="00936997"/>
    <w:rsid w:val="00995DBE"/>
    <w:rsid w:val="00997CE9"/>
    <w:rsid w:val="009E706F"/>
    <w:rsid w:val="00A3187F"/>
    <w:rsid w:val="00A43F10"/>
    <w:rsid w:val="00A522DE"/>
    <w:rsid w:val="00A57BA8"/>
    <w:rsid w:val="00A63453"/>
    <w:rsid w:val="00A7547C"/>
    <w:rsid w:val="00A84AF3"/>
    <w:rsid w:val="00A84CB3"/>
    <w:rsid w:val="00AB0EA9"/>
    <w:rsid w:val="00AB3690"/>
    <w:rsid w:val="00AC1297"/>
    <w:rsid w:val="00B00C26"/>
    <w:rsid w:val="00B13C7B"/>
    <w:rsid w:val="00B14438"/>
    <w:rsid w:val="00B30AE3"/>
    <w:rsid w:val="00B36F62"/>
    <w:rsid w:val="00B57F4F"/>
    <w:rsid w:val="00B70963"/>
    <w:rsid w:val="00BA5ABF"/>
    <w:rsid w:val="00BC525B"/>
    <w:rsid w:val="00BE11C3"/>
    <w:rsid w:val="00C01E40"/>
    <w:rsid w:val="00C03A7C"/>
    <w:rsid w:val="00C23AD9"/>
    <w:rsid w:val="00C327BE"/>
    <w:rsid w:val="00C536ED"/>
    <w:rsid w:val="00C758D3"/>
    <w:rsid w:val="00CC3D37"/>
    <w:rsid w:val="00CC63D7"/>
    <w:rsid w:val="00CD652D"/>
    <w:rsid w:val="00CD7A3F"/>
    <w:rsid w:val="00D1663A"/>
    <w:rsid w:val="00D25E23"/>
    <w:rsid w:val="00D27117"/>
    <w:rsid w:val="00D76F26"/>
    <w:rsid w:val="00D866D1"/>
    <w:rsid w:val="00E03419"/>
    <w:rsid w:val="00E038FF"/>
    <w:rsid w:val="00E473EC"/>
    <w:rsid w:val="00E475DD"/>
    <w:rsid w:val="00E51B43"/>
    <w:rsid w:val="00E9471C"/>
    <w:rsid w:val="00E96887"/>
    <w:rsid w:val="00EC7759"/>
    <w:rsid w:val="00ED0CBE"/>
    <w:rsid w:val="00EE11F7"/>
    <w:rsid w:val="00F14188"/>
    <w:rsid w:val="00F40FB6"/>
    <w:rsid w:val="00F62216"/>
    <w:rsid w:val="00FC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3419"/>
    <w:pPr>
      <w:widowControl/>
      <w:spacing w:before="100" w:beforeAutospacing="1" w:after="100" w:afterAutospacing="1"/>
      <w:jc w:val="left"/>
    </w:pPr>
    <w:rPr>
      <w:rFonts w:ascii="Arial Unicode MS" w:hAnsi="Arial Unicode MS" w:cs="宋体"/>
      <w:color w:val="000000"/>
      <w:kern w:val="0"/>
      <w:sz w:val="24"/>
    </w:rPr>
  </w:style>
  <w:style w:type="character" w:styleId="a4">
    <w:name w:val="Hyperlink"/>
    <w:basedOn w:val="a0"/>
    <w:uiPriority w:val="99"/>
    <w:unhideWhenUsed/>
    <w:rsid w:val="00305BC9"/>
    <w:rPr>
      <w:color w:val="0563C1" w:themeColor="hyperlink"/>
      <w:u w:val="single"/>
    </w:rPr>
  </w:style>
  <w:style w:type="paragraph" w:styleId="a5">
    <w:name w:val="Document Map"/>
    <w:basedOn w:val="a"/>
    <w:link w:val="Char"/>
    <w:uiPriority w:val="99"/>
    <w:semiHidden/>
    <w:unhideWhenUsed/>
    <w:rsid w:val="00A7547C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A7547C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7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5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7547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7547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317331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39"/>
    <w:rsid w:val="00ED0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01716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1E1116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1E1116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1E1116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1E1116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1E1116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4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2024-01-18T07:40:00Z</cp:lastPrinted>
  <dcterms:created xsi:type="dcterms:W3CDTF">2025-12-16T16:02:00Z</dcterms:created>
  <dcterms:modified xsi:type="dcterms:W3CDTF">2025-12-16T16:02:00Z</dcterms:modified>
</cp:coreProperties>
</file>