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51" w:rsidRDefault="006D3167">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C93851" w:rsidRDefault="00C93851">
      <w:pPr>
        <w:spacing w:line="360" w:lineRule="auto"/>
        <w:ind w:firstLineChars="200" w:firstLine="480"/>
        <w:rPr>
          <w:rFonts w:ascii="宋体" w:hAnsi="宋体" w:cs="宋体"/>
          <w:sz w:val="24"/>
        </w:rPr>
      </w:pPr>
    </w:p>
    <w:p w:rsidR="00C93851" w:rsidRDefault="006D3167">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C93851">
        <w:trPr>
          <w:trHeight w:val="350"/>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w:t>
            </w:r>
          </w:p>
        </w:tc>
      </w:tr>
      <w:tr w:rsidR="00C93851">
        <w:trPr>
          <w:trHeight w:val="289"/>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w:t>
            </w:r>
          </w:p>
        </w:tc>
      </w:tr>
      <w:tr w:rsidR="00C93851">
        <w:trPr>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014822</w:t>
            </w:r>
          </w:p>
        </w:tc>
      </w:tr>
      <w:tr w:rsidR="00C93851">
        <w:trPr>
          <w:trHeight w:val="296"/>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2022</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28</w:t>
            </w:r>
            <w:r>
              <w:rPr>
                <w:rFonts w:asciiTheme="minorEastAsia" w:eastAsia="宋体" w:hAnsiTheme="minorEastAsia" w:cstheme="minorEastAsia" w:hint="eastAsia"/>
                <w:szCs w:val="21"/>
              </w:rPr>
              <w:t>日</w:t>
            </w:r>
          </w:p>
        </w:tc>
      </w:tr>
      <w:tr w:rsidR="00C93851">
        <w:trPr>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中泰证券（上海）资产管理有限公司</w:t>
            </w:r>
          </w:p>
        </w:tc>
      </w:tr>
      <w:tr w:rsidR="00C93851">
        <w:trPr>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中国证券登记结算有限责任公司</w:t>
            </w:r>
          </w:p>
        </w:tc>
      </w:tr>
      <w:tr w:rsidR="00C93851">
        <w:trPr>
          <w:trHeight w:val="614"/>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《公开募集证券投资基金信息披露管理办法》、《中泰锦泉汇金货币市场基金基金合同》、《中泰锦泉汇金货币市场基金招募说明书》</w:t>
            </w:r>
          </w:p>
        </w:tc>
      </w:tr>
      <w:tr w:rsidR="00C93851">
        <w:trPr>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C93851" w:rsidRDefault="006D3167">
            <w:pPr>
              <w:widowControl/>
              <w:ind w:firstLineChars="200" w:firstLine="420"/>
              <w:jc w:val="left"/>
              <w:textAlignment w:val="bottom"/>
              <w:rPr>
                <w:rFonts w:asciiTheme="minorEastAsia" w:eastAsia="宋体" w:hAnsiTheme="minorEastAsia" w:cstheme="minorEastAsia"/>
                <w:szCs w:val="21"/>
              </w:rPr>
            </w:pPr>
            <w:bookmarkStart w:id="0" w:name="_GoBack"/>
            <w:bookmarkEnd w:id="0"/>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15</w:t>
            </w:r>
            <w:r>
              <w:rPr>
                <w:rFonts w:asciiTheme="minorEastAsia" w:eastAsia="宋体" w:hAnsiTheme="minorEastAsia" w:cstheme="minorEastAsia" w:hint="eastAsia"/>
                <w:szCs w:val="21"/>
              </w:rPr>
              <w:t>日</w:t>
            </w:r>
          </w:p>
        </w:tc>
      </w:tr>
      <w:tr w:rsidR="00C93851">
        <w:trPr>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C93851" w:rsidRDefault="006D3167">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16</w:t>
            </w:r>
            <w:r>
              <w:rPr>
                <w:rFonts w:asciiTheme="minorEastAsia" w:eastAsia="宋体" w:hAnsiTheme="minorEastAsia" w:cstheme="minorEastAsia" w:hint="eastAsia"/>
                <w:szCs w:val="21"/>
              </w:rPr>
              <w:t>日</w:t>
            </w:r>
          </w:p>
        </w:tc>
      </w:tr>
      <w:tr w:rsidR="00C93851">
        <w:trPr>
          <w:jc w:val="center"/>
        </w:trPr>
        <w:tc>
          <w:tcPr>
            <w:tcW w:w="1735" w:type="dxa"/>
            <w:vAlign w:val="center"/>
          </w:tcPr>
          <w:p w:rsidR="00C93851" w:rsidRDefault="006D3167">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C93851" w:rsidRDefault="006D3167">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《中泰锦泉汇金货币市场基金基金合同》及《中泰锦泉汇金货币市场基金招募说明书》约定：“如果以</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的管理费计算的七日年化暂估收益率小于或等于</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倍活期存款利率，基金管理人将调整管理费为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，以降低每万份基金暂估净收益为负并引发销售机构交收透支的风险，直至该类风险消除，基金管理人方可恢复计提</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的管理费。基金管理人应在费率调整后依照《信息披露办法》的有关规定在规定媒介上公告。”</w:t>
            </w:r>
          </w:p>
          <w:p w:rsidR="00C93851" w:rsidRDefault="006D3167">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因触发上述管理费调整情形，基金管理人决定自</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15</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起将本基金管理费率调整为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16</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，前述风险已消除，本基金管理费率恢复至</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年。</w:t>
            </w:r>
          </w:p>
        </w:tc>
      </w:tr>
    </w:tbl>
    <w:p w:rsidR="00C93851" w:rsidRDefault="00C93851">
      <w:pPr>
        <w:spacing w:line="360" w:lineRule="auto"/>
        <w:ind w:firstLineChars="200" w:firstLine="420"/>
        <w:rPr>
          <w:rFonts w:ascii="宋体" w:hAnsi="宋体" w:cs="宋体"/>
          <w:szCs w:val="21"/>
        </w:rPr>
      </w:pPr>
    </w:p>
    <w:p w:rsidR="00C93851" w:rsidRDefault="006D3167">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C93851" w:rsidRDefault="006D3167">
      <w:pPr>
        <w:numPr>
          <w:ilvl w:val="0"/>
          <w:numId w:val="1"/>
        </w:numPr>
        <w:spacing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投资者可通过下列渠道了解相关信息：</w:t>
      </w:r>
    </w:p>
    <w:p w:rsidR="00C93851" w:rsidRDefault="006D3167">
      <w:pPr>
        <w:numPr>
          <w:ilvl w:val="0"/>
          <w:numId w:val="2"/>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中泰证券（上海）资产管理有限公司客户服务电话：</w:t>
      </w:r>
      <w:r>
        <w:rPr>
          <w:rFonts w:asciiTheme="majorEastAsia" w:eastAsiaTheme="majorEastAsia" w:hAnsiTheme="majorEastAsia" w:cstheme="majorEastAsia" w:hint="eastAsia"/>
        </w:rPr>
        <w:t>400-821-0808</w:t>
      </w:r>
      <w:r>
        <w:rPr>
          <w:rFonts w:asciiTheme="majorEastAsia" w:eastAsiaTheme="majorEastAsia" w:hAnsiTheme="majorEastAsia" w:cstheme="majorEastAsia" w:hint="eastAsia"/>
        </w:rPr>
        <w:t>；</w:t>
      </w:r>
    </w:p>
    <w:p w:rsidR="00C93851" w:rsidRDefault="006D3167">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中泰证券（上海）资产管理有限公司网站：</w:t>
      </w:r>
      <w:r>
        <w:rPr>
          <w:rFonts w:asciiTheme="majorEastAsia" w:eastAsiaTheme="majorEastAsia" w:hAnsiTheme="majorEastAsia" w:cstheme="majorEastAsia" w:hint="eastAsia"/>
        </w:rPr>
        <w:t>www.ztzqzg.com</w:t>
      </w:r>
      <w:r>
        <w:rPr>
          <w:rFonts w:asciiTheme="majorEastAsia" w:eastAsiaTheme="majorEastAsia" w:hAnsiTheme="majorEastAsia" w:cstheme="majorEastAsia" w:hint="eastAsia"/>
        </w:rPr>
        <w:t>；</w:t>
      </w:r>
    </w:p>
    <w:p w:rsidR="00C93851" w:rsidRDefault="006D3167">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本基金销售机构：中泰证券股份有限公司</w:t>
      </w:r>
    </w:p>
    <w:p w:rsidR="00C93851" w:rsidRDefault="006D3167">
      <w:pPr>
        <w:numPr>
          <w:ilvl w:val="0"/>
          <w:numId w:val="1"/>
        </w:numPr>
        <w:spacing w:line="360" w:lineRule="auto"/>
        <w:ind w:firstLineChars="200" w:firstLine="420"/>
        <w:rPr>
          <w:rFonts w:ascii="宋体" w:hAnsi="宋体" w:cs="宋体"/>
          <w:szCs w:val="21"/>
        </w:rPr>
      </w:pPr>
      <w:r>
        <w:rPr>
          <w:rFonts w:hint="eastAsia"/>
        </w:rPr>
        <w:t>  </w:t>
      </w:r>
      <w:r>
        <w:rPr>
          <w:rFonts w:hint="eastAsia"/>
        </w:rPr>
        <w:t>风险提示</w:t>
      </w:r>
    </w:p>
    <w:p w:rsidR="00C93851" w:rsidRDefault="006D3167">
      <w:pPr>
        <w:spacing w:line="360" w:lineRule="auto"/>
        <w:ind w:firstLineChars="200" w:firstLine="420"/>
      </w:pPr>
      <w:r>
        <w:rPr>
          <w:rFonts w:hint="eastAsia"/>
        </w:rPr>
        <w:t>基金管理人承诺以诚实信用、勤勉尽责的原则管理和运用基金资产，但不保证基金一定</w:t>
      </w:r>
      <w:r>
        <w:rPr>
          <w:rFonts w:hint="eastAsia"/>
        </w:rPr>
        <w:lastRenderedPageBreak/>
        <w:t>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p>
    <w:p w:rsidR="00C93851" w:rsidRDefault="006D3167">
      <w:pPr>
        <w:spacing w:line="360" w:lineRule="auto"/>
        <w:ind w:firstLineChars="200" w:firstLine="420"/>
        <w:rPr>
          <w:rFonts w:ascii="宋体" w:hAnsi="宋体" w:cs="宋体"/>
          <w:szCs w:val="21"/>
        </w:rPr>
      </w:pPr>
      <w:r>
        <w:rPr>
          <w:rFonts w:hint="eastAsia"/>
        </w:rPr>
        <w:t>本基金是以投资者交易结算资金为管理对象的货币市场基金，购买货币市场基金并不等于将资金作为存款存放在银行或者存款类金融</w:t>
      </w:r>
      <w:r>
        <w:rPr>
          <w:rFonts w:hint="eastAsia"/>
        </w:rPr>
        <w:t>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p>
    <w:p w:rsidR="00C93851" w:rsidRDefault="00C93851">
      <w:pPr>
        <w:spacing w:line="360" w:lineRule="auto"/>
        <w:rPr>
          <w:rFonts w:ascii="宋体" w:hAnsi="宋体" w:cs="宋体"/>
          <w:szCs w:val="21"/>
        </w:rPr>
      </w:pPr>
    </w:p>
    <w:p w:rsidR="00C93851" w:rsidRDefault="006D3167">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C93851" w:rsidRDefault="006D3167">
      <w:pPr>
        <w:wordWrap w:val="0"/>
        <w:spacing w:line="360" w:lineRule="auto"/>
        <w:jc w:val="right"/>
        <w:rPr>
          <w:rFonts w:ascii="宋体" w:hAnsi="宋体" w:cs="宋体"/>
          <w:b/>
          <w:bCs/>
          <w:szCs w:val="21"/>
        </w:rPr>
      </w:pPr>
      <w:r>
        <w:rPr>
          <w:rFonts w:ascii="宋体" w:hAnsi="宋体" w:cs="宋体" w:hint="eastAsia"/>
          <w:b/>
          <w:bCs/>
          <w:szCs w:val="21"/>
        </w:rPr>
        <w:t>2025</w:t>
      </w:r>
      <w:r>
        <w:rPr>
          <w:rFonts w:ascii="宋体" w:hAnsi="宋体" w:cs="宋体" w:hint="eastAsia"/>
          <w:b/>
          <w:bCs/>
          <w:szCs w:val="21"/>
        </w:rPr>
        <w:t>年</w:t>
      </w:r>
      <w:r>
        <w:rPr>
          <w:rFonts w:ascii="宋体" w:hAnsi="宋体" w:cs="宋体" w:hint="eastAsia"/>
          <w:b/>
          <w:bCs/>
          <w:szCs w:val="21"/>
        </w:rPr>
        <w:t>12</w:t>
      </w:r>
      <w:r>
        <w:rPr>
          <w:rFonts w:ascii="宋体" w:hAnsi="宋体" w:cs="宋体" w:hint="eastAsia"/>
          <w:b/>
          <w:bCs/>
          <w:szCs w:val="21"/>
        </w:rPr>
        <w:t>月</w:t>
      </w:r>
      <w:r>
        <w:rPr>
          <w:rFonts w:ascii="宋体" w:hAnsi="宋体" w:cs="宋体" w:hint="eastAsia"/>
          <w:b/>
          <w:bCs/>
          <w:szCs w:val="21"/>
        </w:rPr>
        <w:t>17</w:t>
      </w:r>
      <w:r>
        <w:rPr>
          <w:rFonts w:ascii="宋体" w:hAnsi="宋体" w:cs="宋体" w:hint="eastAsia"/>
          <w:b/>
          <w:bCs/>
          <w:szCs w:val="21"/>
        </w:rPr>
        <w:t>日</w:t>
      </w:r>
    </w:p>
    <w:p w:rsidR="00C93851" w:rsidRDefault="00C93851">
      <w:pPr>
        <w:spacing w:line="360" w:lineRule="auto"/>
        <w:jc w:val="center"/>
        <w:rPr>
          <w:rFonts w:ascii="宋体" w:hAnsi="宋体" w:cs="宋体"/>
          <w:szCs w:val="21"/>
        </w:rPr>
      </w:pPr>
    </w:p>
    <w:sectPr w:rsidR="00C93851" w:rsidSect="00C938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A51ACC"/>
    <w:multiLevelType w:val="singleLevel"/>
    <w:tmpl w:val="B1A51ACC"/>
    <w:lvl w:ilvl="0">
      <w:start w:val="1"/>
      <w:numFmt w:val="decimal"/>
      <w:lvlText w:val="%1)"/>
      <w:lvlJc w:val="left"/>
      <w:pPr>
        <w:tabs>
          <w:tab w:val="left" w:pos="312"/>
        </w:tabs>
        <w:ind w:left="514" w:firstLine="0"/>
      </w:pPr>
    </w:lvl>
  </w:abstractNum>
  <w:abstractNum w:abstractNumId="1">
    <w:nsid w:val="26582FE8"/>
    <w:multiLevelType w:val="singleLevel"/>
    <w:tmpl w:val="26582FE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4D53DC"/>
    <w:rsid w:val="006B0A6F"/>
    <w:rsid w:val="006D3167"/>
    <w:rsid w:val="006E3665"/>
    <w:rsid w:val="00795CF9"/>
    <w:rsid w:val="007A23A4"/>
    <w:rsid w:val="007E1471"/>
    <w:rsid w:val="00802CA7"/>
    <w:rsid w:val="009661BF"/>
    <w:rsid w:val="00C93851"/>
    <w:rsid w:val="00D026AE"/>
    <w:rsid w:val="00D02D71"/>
    <w:rsid w:val="00D83EA1"/>
    <w:rsid w:val="00FD0620"/>
    <w:rsid w:val="098D2289"/>
    <w:rsid w:val="14403C27"/>
    <w:rsid w:val="199C048A"/>
    <w:rsid w:val="28382BD7"/>
    <w:rsid w:val="2A436478"/>
    <w:rsid w:val="367D667D"/>
    <w:rsid w:val="375D2AD7"/>
    <w:rsid w:val="3EB62A83"/>
    <w:rsid w:val="4764184A"/>
    <w:rsid w:val="4D74698C"/>
    <w:rsid w:val="4FB425C0"/>
    <w:rsid w:val="50A51D3B"/>
    <w:rsid w:val="515E246E"/>
    <w:rsid w:val="54E933CE"/>
    <w:rsid w:val="55BD1E4A"/>
    <w:rsid w:val="572D51F9"/>
    <w:rsid w:val="5CD53A4D"/>
    <w:rsid w:val="61415711"/>
    <w:rsid w:val="64850BC1"/>
    <w:rsid w:val="69C505E6"/>
    <w:rsid w:val="6C712C96"/>
    <w:rsid w:val="6E233564"/>
    <w:rsid w:val="6ED3771E"/>
    <w:rsid w:val="71DA44EA"/>
    <w:rsid w:val="7BF96D5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38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93851"/>
    <w:pPr>
      <w:tabs>
        <w:tab w:val="center" w:pos="4153"/>
        <w:tab w:val="right" w:pos="8306"/>
      </w:tabs>
      <w:snapToGrid w:val="0"/>
      <w:jc w:val="left"/>
    </w:pPr>
    <w:rPr>
      <w:sz w:val="18"/>
      <w:szCs w:val="18"/>
    </w:rPr>
  </w:style>
  <w:style w:type="paragraph" w:styleId="a4">
    <w:name w:val="header"/>
    <w:basedOn w:val="a"/>
    <w:link w:val="Char0"/>
    <w:qFormat/>
    <w:rsid w:val="00C93851"/>
    <w:pPr>
      <w:tabs>
        <w:tab w:val="center" w:pos="4153"/>
        <w:tab w:val="right" w:pos="8306"/>
      </w:tabs>
      <w:snapToGrid w:val="0"/>
      <w:jc w:val="center"/>
    </w:pPr>
    <w:rPr>
      <w:sz w:val="18"/>
      <w:szCs w:val="18"/>
    </w:rPr>
  </w:style>
  <w:style w:type="table" w:styleId="a5">
    <w:name w:val="Table Grid"/>
    <w:basedOn w:val="a1"/>
    <w:qFormat/>
    <w:rsid w:val="00C938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C93851"/>
    <w:rPr>
      <w:color w:val="0000FF"/>
      <w:u w:val="single"/>
    </w:rPr>
  </w:style>
  <w:style w:type="character" w:customStyle="1" w:styleId="Char0">
    <w:name w:val="页眉 Char"/>
    <w:basedOn w:val="a0"/>
    <w:link w:val="a4"/>
    <w:qFormat/>
    <w:rsid w:val="00C93851"/>
    <w:rPr>
      <w:rFonts w:asciiTheme="minorHAnsi" w:eastAsiaTheme="minorEastAsia" w:hAnsiTheme="minorHAnsi" w:cstheme="minorBidi"/>
      <w:kern w:val="2"/>
      <w:sz w:val="18"/>
      <w:szCs w:val="18"/>
    </w:rPr>
  </w:style>
  <w:style w:type="character" w:customStyle="1" w:styleId="Char">
    <w:name w:val="页脚 Char"/>
    <w:basedOn w:val="a0"/>
    <w:link w:val="a3"/>
    <w:qFormat/>
    <w:rsid w:val="00C93851"/>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C93851"/>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C9385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CNSTOCK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2025-12-16T16:00:00Z</dcterms:created>
  <dcterms:modified xsi:type="dcterms:W3CDTF">2025-12-16T16:00:00Z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