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478A" w:rsidRDefault="000D478A">
      <w:pPr>
        <w:pStyle w:val="XBRL2"/>
        <w:spacing w:before="156"/>
        <w:rPr>
          <w:lang w:eastAsia="zh-CN"/>
        </w:rPr>
      </w:pPr>
      <w:bookmarkStart w:id="0" w:name="_Toc348410291"/>
      <w:bookmarkEnd w:id="0"/>
      <w:r>
        <w:rPr>
          <w:lang w:eastAsia="zh-CN"/>
        </w:rPr>
        <w:t xml:space="preserve">　</w:t>
      </w:r>
      <w:r>
        <w:rPr>
          <w:lang w:eastAsia="zh-CN"/>
        </w:rPr>
        <w:t xml:space="preserve"> </w:t>
      </w:r>
    </w:p>
    <w:p w:rsidR="000D478A" w:rsidRDefault="000D478A">
      <w:pPr>
        <w:jc w:val="center"/>
      </w:pPr>
      <w:r>
        <w:rPr>
          <w:rFonts w:cs="Times New Roman" w:hint="eastAsia"/>
          <w:b/>
          <w:sz w:val="48"/>
          <w:szCs w:val="48"/>
        </w:rPr>
        <w:t>长城兴华优选一年定期开放混合型证券投资基金开放申购、赎回、转换业务的公告</w:t>
      </w:r>
    </w:p>
    <w:p w:rsidR="000D478A" w:rsidRDefault="000D478A">
      <w:pPr>
        <w:spacing w:line="360" w:lineRule="auto"/>
        <w:jc w:val="center"/>
        <w:rPr>
          <w:rFonts w:hint="eastAsia"/>
          <w:sz w:val="24"/>
          <w:szCs w:val="30"/>
        </w:rPr>
      </w:pPr>
      <w:r>
        <w:rPr>
          <w:rFonts w:hint="eastAsia"/>
          <w:sz w:val="24"/>
          <w:szCs w:val="30"/>
        </w:rPr>
        <w:t xml:space="preserve">　 </w:t>
      </w:r>
    </w:p>
    <w:p w:rsidR="000D478A" w:rsidRDefault="000D478A">
      <w:pPr>
        <w:spacing w:line="360" w:lineRule="auto"/>
        <w:jc w:val="center"/>
        <w:rPr>
          <w:rFonts w:hint="eastAsia"/>
          <w:sz w:val="24"/>
          <w:szCs w:val="30"/>
        </w:rPr>
      </w:pPr>
      <w:r>
        <w:rPr>
          <w:rFonts w:hint="eastAsia"/>
          <w:sz w:val="24"/>
          <w:szCs w:val="30"/>
        </w:rPr>
        <w:t xml:space="preserve">　 </w:t>
      </w:r>
    </w:p>
    <w:p w:rsidR="000D478A" w:rsidRDefault="000D478A">
      <w:pPr>
        <w:spacing w:line="360" w:lineRule="auto"/>
        <w:jc w:val="center"/>
        <w:rPr>
          <w:rFonts w:hint="eastAsia"/>
          <w:sz w:val="24"/>
          <w:szCs w:val="30"/>
        </w:rPr>
      </w:pPr>
      <w:r>
        <w:rPr>
          <w:rFonts w:hint="eastAsia"/>
          <w:sz w:val="24"/>
          <w:szCs w:val="30"/>
        </w:rPr>
        <w:t xml:space="preserve">　 </w:t>
      </w:r>
    </w:p>
    <w:p w:rsidR="000D478A" w:rsidRDefault="000D478A">
      <w:pPr>
        <w:spacing w:line="360" w:lineRule="auto"/>
        <w:jc w:val="center"/>
        <w:rPr>
          <w:rFonts w:hint="eastAsia"/>
          <w:sz w:val="24"/>
          <w:szCs w:val="30"/>
        </w:rPr>
      </w:pPr>
      <w:r>
        <w:rPr>
          <w:rFonts w:hint="eastAsia"/>
          <w:sz w:val="24"/>
          <w:szCs w:val="30"/>
        </w:rPr>
        <w:t xml:space="preserve">　 </w:t>
      </w:r>
    </w:p>
    <w:p w:rsidR="000D478A" w:rsidRDefault="000D478A">
      <w:pPr>
        <w:spacing w:line="360" w:lineRule="auto"/>
        <w:jc w:val="center"/>
        <w:rPr>
          <w:rFonts w:hint="eastAsia"/>
          <w:sz w:val="24"/>
          <w:szCs w:val="30"/>
        </w:rPr>
      </w:pPr>
      <w:r>
        <w:rPr>
          <w:rFonts w:hint="eastAsia"/>
          <w:sz w:val="24"/>
          <w:szCs w:val="30"/>
        </w:rPr>
        <w:t xml:space="preserve">　 </w:t>
      </w:r>
    </w:p>
    <w:p w:rsidR="000D478A" w:rsidRDefault="000D478A">
      <w:pPr>
        <w:spacing w:line="360" w:lineRule="auto"/>
        <w:jc w:val="center"/>
        <w:rPr>
          <w:rFonts w:hint="eastAsia"/>
          <w:sz w:val="24"/>
          <w:szCs w:val="30"/>
        </w:rPr>
      </w:pPr>
      <w:r>
        <w:rPr>
          <w:rFonts w:hint="eastAsia"/>
          <w:sz w:val="24"/>
          <w:szCs w:val="30"/>
        </w:rPr>
        <w:t xml:space="preserve">　 </w:t>
      </w:r>
    </w:p>
    <w:p w:rsidR="000D478A" w:rsidRDefault="000D478A">
      <w:pPr>
        <w:spacing w:line="360" w:lineRule="auto"/>
        <w:jc w:val="center"/>
        <w:rPr>
          <w:rFonts w:hint="eastAsia"/>
          <w:sz w:val="24"/>
          <w:szCs w:val="30"/>
        </w:rPr>
      </w:pPr>
      <w:r>
        <w:rPr>
          <w:rFonts w:hint="eastAsia"/>
          <w:sz w:val="24"/>
          <w:szCs w:val="30"/>
        </w:rPr>
        <w:t xml:space="preserve">　 </w:t>
      </w:r>
    </w:p>
    <w:p w:rsidR="000D478A" w:rsidRDefault="000D478A">
      <w:pPr>
        <w:spacing w:line="360" w:lineRule="auto"/>
        <w:jc w:val="center"/>
        <w:rPr>
          <w:rFonts w:hint="eastAsia"/>
          <w:sz w:val="24"/>
          <w:szCs w:val="30"/>
        </w:rPr>
      </w:pPr>
      <w:r>
        <w:rPr>
          <w:rFonts w:hint="eastAsia"/>
          <w:sz w:val="24"/>
          <w:szCs w:val="30"/>
        </w:rPr>
        <w:t xml:space="preserve">　 </w:t>
      </w:r>
    </w:p>
    <w:p w:rsidR="000D478A" w:rsidRDefault="000D478A">
      <w:pPr>
        <w:spacing w:line="360" w:lineRule="auto"/>
        <w:jc w:val="center"/>
        <w:rPr>
          <w:rFonts w:hint="eastAsia"/>
          <w:sz w:val="24"/>
          <w:szCs w:val="30"/>
        </w:rPr>
      </w:pPr>
      <w:r>
        <w:rPr>
          <w:rFonts w:hint="eastAsia"/>
          <w:sz w:val="24"/>
          <w:szCs w:val="30"/>
        </w:rPr>
        <w:t xml:space="preserve">　 </w:t>
      </w:r>
    </w:p>
    <w:p w:rsidR="000D478A" w:rsidRDefault="000D478A">
      <w:pPr>
        <w:spacing w:line="360" w:lineRule="auto"/>
        <w:jc w:val="center"/>
        <w:rPr>
          <w:rFonts w:hint="eastAsia"/>
          <w:sz w:val="24"/>
          <w:szCs w:val="30"/>
        </w:rPr>
      </w:pPr>
      <w:r>
        <w:rPr>
          <w:rFonts w:hint="eastAsia"/>
          <w:sz w:val="24"/>
          <w:szCs w:val="30"/>
        </w:rPr>
        <w:t xml:space="preserve">　 </w:t>
      </w:r>
    </w:p>
    <w:p w:rsidR="000D478A" w:rsidRDefault="000D478A">
      <w:pPr>
        <w:spacing w:line="360" w:lineRule="auto"/>
        <w:jc w:val="center"/>
        <w:rPr>
          <w:rFonts w:hint="eastAsia"/>
        </w:rPr>
      </w:pPr>
      <w:r>
        <w:rPr>
          <w:rFonts w:hint="eastAsia"/>
          <w:b/>
          <w:bCs/>
          <w:sz w:val="24"/>
          <w:szCs w:val="30"/>
        </w:rPr>
        <w:t>公告送出日期：2025年12月17日</w:t>
      </w:r>
    </w:p>
    <w:p w:rsidR="000D478A" w:rsidRDefault="000D478A">
      <w:pPr>
        <w:pStyle w:val="XBRLTitle1"/>
        <w:spacing w:before="156" w:line="360" w:lineRule="auto"/>
        <w:rPr>
          <w:rFonts w:hint="eastAsia"/>
        </w:rPr>
      </w:pPr>
      <w:r>
        <w:rPr>
          <w:rFonts w:hint="eastAsia"/>
          <w:color w:val="404040"/>
          <w:kern w:val="0"/>
        </w:rPr>
        <w:br w:type="page"/>
      </w:r>
      <w:bookmarkStart w:id="1" w:name="_Toc3475851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34841028"/>
      <w:bookmarkStart w:id="11" w:name="m101"/>
      <w:bookmarkStart w:id="12" w:name="m01_01"/>
      <w:bookmarkStart w:id="13" w:name="_Toc194311890"/>
      <w:proofErr w:type="spellStart"/>
      <w:r>
        <w:rPr>
          <w:rFonts w:hAnsi="宋体" w:hint="eastAsia"/>
        </w:rPr>
        <w:lastRenderedPageBreak/>
        <w:t>公告基本信息</w:t>
      </w:r>
      <w:bookmarkEnd w:id="1"/>
      <w:bookmarkEnd w:id="2"/>
      <w:bookmarkEnd w:id="3"/>
      <w:bookmarkEnd w:id="4"/>
      <w:bookmarkEnd w:id="5"/>
      <w:bookmarkEnd w:id="6"/>
      <w:bookmarkEnd w:id="7"/>
      <w:bookmarkEnd w:id="8"/>
      <w:bookmarkEnd w:id="9"/>
      <w:bookmarkEnd w:id="10"/>
      <w:proofErr w:type="spellEnd"/>
      <w:r>
        <w:rPr>
          <w:rFonts w:hAnsi="宋体" w:hint="eastAsia"/>
          <w:szCs w:val="4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0"/>
        <w:gridCol w:w="2840"/>
      </w:tblGrid>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rsidP="006D2333">
            <w:pPr>
              <w:rPr>
                <w:rFonts w:hint="eastAsia"/>
              </w:rPr>
            </w:pPr>
            <w:r w:rsidRPr="006D2333">
              <w:rPr>
                <w:rFonts w:hint="eastAsia"/>
              </w:rPr>
              <w:t xml:space="preserve">基金名称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长城兴华优选一年定期开放混合型证券投资基金</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基金简称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长城兴华优选一年定开混合</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基金主代码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012312</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基金运作方式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契约型开放式</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基金合同生效日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2021年10月11日</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基金管理人名称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长城基金管理有限公司</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基金托管人名称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兴业银行股份有限公司</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基金注册登记机构名称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长城基金管理有限公司</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公告依据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《长城兴华优选一年定期开放混合型证券投资基金基金合同》和《长城兴华优选一年定期开放混合型证券投资基金招募说明书》的有关规定</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申购起始日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2025年12月22日</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赎回起始日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2025年12月22日</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转换转入起始日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2025年12月22日</w:t>
            </w:r>
          </w:p>
        </w:tc>
      </w:tr>
      <w:tr w:rsidR="000D478A" w:rsidRPr="006D2333" w:rsidTr="006D2333">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 xml:space="preserve">转换转出起始日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hint="eastAsia"/>
              </w:rPr>
              <w:t>2025年12月22日</w:t>
            </w:r>
          </w:p>
        </w:tc>
      </w:tr>
      <w:tr w:rsidR="000D478A" w:rsidRPr="006D2333" w:rsidTr="006D2333">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0D478A" w:rsidRDefault="000D478A">
            <w:pPr>
              <w:rPr>
                <w:rFonts w:hint="eastAsia"/>
              </w:rPr>
            </w:pPr>
            <w:r w:rsidRPr="006D2333">
              <w:rPr>
                <w:rFonts w:ascii="Times New Roman" w:hAnsi="Times New Roman" w:hint="eastAsia"/>
              </w:rPr>
              <w:t>下属分级基金的基金简称</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ascii="Times New Roman" w:hAnsi="Times New Roman" w:hint="eastAsia"/>
              </w:rPr>
              <w:t>长城兴华优选一年定开混合</w:t>
            </w:r>
            <w:r w:rsidRPr="006D2333">
              <w:rPr>
                <w:rFonts w:ascii="Times New Roman" w:hAnsi="Times New Roman" w:hint="eastAsia"/>
              </w:rPr>
              <w:t>A</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ascii="Times New Roman" w:hAnsi="Times New Roman" w:hint="eastAsia"/>
              </w:rPr>
              <w:t>长城兴华优选一年定开混合</w:t>
            </w:r>
            <w:r w:rsidRPr="006D2333">
              <w:rPr>
                <w:rFonts w:ascii="Times New Roman" w:hAnsi="Times New Roman" w:hint="eastAsia"/>
              </w:rPr>
              <w:t>C</w:t>
            </w:r>
            <w:r>
              <w:rPr>
                <w:rFonts w:hint="eastAsia"/>
              </w:rPr>
              <w:t xml:space="preserve"> </w:t>
            </w:r>
          </w:p>
        </w:tc>
      </w:tr>
      <w:tr w:rsidR="000D478A" w:rsidRPr="006D2333" w:rsidTr="006D2333">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0D478A" w:rsidRDefault="000D478A">
            <w:pPr>
              <w:rPr>
                <w:rFonts w:hint="eastAsia"/>
              </w:rPr>
            </w:pPr>
            <w:r w:rsidRPr="006D2333">
              <w:rPr>
                <w:rFonts w:ascii="Times New Roman" w:hAnsi="Times New Roman" w:hint="eastAsia"/>
              </w:rPr>
              <w:t>下属分级基金的交易代码</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ascii="Times New Roman" w:hAnsi="Times New Roman" w:hint="eastAsia"/>
              </w:rPr>
              <w:t>012312</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ascii="Times New Roman" w:hAnsi="Times New Roman" w:hint="eastAsia"/>
              </w:rPr>
              <w:t>012313</w:t>
            </w:r>
            <w:r>
              <w:rPr>
                <w:rFonts w:hint="eastAsia"/>
              </w:rPr>
              <w:t xml:space="preserve"> </w:t>
            </w:r>
          </w:p>
        </w:tc>
      </w:tr>
      <w:tr w:rsidR="000D478A" w:rsidRPr="006D2333" w:rsidTr="006D2333">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0D478A" w:rsidRDefault="000D478A" w:rsidP="00674EBD">
            <w:pPr>
              <w:rPr>
                <w:rFonts w:hint="eastAsia"/>
              </w:rPr>
            </w:pPr>
            <w:r w:rsidRPr="006D2333">
              <w:rPr>
                <w:rFonts w:ascii="Times New Roman" w:hAnsi="Times New Roman" w:hint="eastAsia"/>
              </w:rPr>
              <w:t>该分级基金是否开放申购、赎回（转换）</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ascii="Times New Roman" w:hAnsi="Times New Roman" w:hint="eastAsia"/>
              </w:rPr>
              <w:t>是</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78A" w:rsidRDefault="000D478A">
            <w:pPr>
              <w:rPr>
                <w:rFonts w:hint="eastAsia"/>
              </w:rPr>
            </w:pPr>
            <w:r w:rsidRPr="006D2333">
              <w:rPr>
                <w:rFonts w:ascii="Times New Roman" w:hAnsi="Times New Roman" w:hint="eastAsia"/>
              </w:rPr>
              <w:t>是</w:t>
            </w:r>
            <w:r>
              <w:rPr>
                <w:rFonts w:hint="eastAsia"/>
              </w:rPr>
              <w:t xml:space="preserve"> </w:t>
            </w:r>
          </w:p>
        </w:tc>
      </w:tr>
    </w:tbl>
    <w:p w:rsidR="000D478A" w:rsidRDefault="000D478A">
      <w:pPr>
        <w:pStyle w:val="XBRLTitle1"/>
        <w:spacing w:before="156" w:line="360" w:lineRule="auto"/>
        <w:rPr>
          <w:rFonts w:hint="eastAsia"/>
        </w:rPr>
      </w:pPr>
      <w:bookmarkStart w:id="14" w:name="_Toc34758520"/>
      <w:bookmarkStart w:id="15" w:name="_Toc34841029"/>
      <w:bookmarkStart w:id="16" w:name="_Toc513295893"/>
      <w:bookmarkStart w:id="17" w:name="_Toc513295847"/>
      <w:bookmarkStart w:id="18" w:name="_Toc490050001"/>
      <w:bookmarkStart w:id="19" w:name="_Toc438646452"/>
      <w:bookmarkStart w:id="20" w:name="_Toc481075047"/>
      <w:bookmarkStart w:id="21" w:name="_Toc512519481"/>
      <w:bookmarkStart w:id="22" w:name="_Toc17897937"/>
      <w:bookmarkStart w:id="23" w:name="_Toc17898179"/>
      <w:proofErr w:type="spellStart"/>
      <w:r>
        <w:rPr>
          <w:rFonts w:hAnsi="宋体" w:hint="eastAsia"/>
        </w:rPr>
        <w:t>日常申购、赎回</w:t>
      </w:r>
      <w:proofErr w:type="spellEnd"/>
      <w:r>
        <w:rPr>
          <w:rFonts w:hAnsi="宋体" w:hint="eastAsia"/>
        </w:rPr>
        <w:t>(</w:t>
      </w:r>
      <w:proofErr w:type="spellStart"/>
      <w:r>
        <w:rPr>
          <w:rFonts w:hAnsi="宋体" w:hint="eastAsia"/>
        </w:rPr>
        <w:t>转换</w:t>
      </w:r>
      <w:proofErr w:type="spellEnd"/>
      <w:r>
        <w:rPr>
          <w:rFonts w:hAnsi="宋体" w:hint="eastAsia"/>
        </w:rPr>
        <w:t>)</w:t>
      </w:r>
      <w:proofErr w:type="spellStart"/>
      <w:r>
        <w:rPr>
          <w:rFonts w:hAnsi="宋体" w:hint="eastAsia"/>
        </w:rPr>
        <w:t>业务的办理时间</w:t>
      </w:r>
      <w:bookmarkEnd w:id="14"/>
      <w:bookmarkEnd w:id="15"/>
      <w:proofErr w:type="spellEnd"/>
      <w:r>
        <w:rPr>
          <w:rFonts w:hAnsi="宋体" w:hint="eastAsia"/>
        </w:rPr>
        <w:t xml:space="preserve"> </w:t>
      </w:r>
    </w:p>
    <w:p w:rsidR="000D478A" w:rsidRDefault="000D478A">
      <w:pPr>
        <w:spacing w:line="360" w:lineRule="auto"/>
        <w:ind w:firstLineChars="200" w:firstLine="420"/>
        <w:rPr>
          <w:rFonts w:hint="eastAsia"/>
        </w:rPr>
      </w:pPr>
      <w:bookmarkStart w:id="24" w:name="m07_04_07_09"/>
      <w:bookmarkStart w:id="25" w:name="m07_04_07_09_tab"/>
      <w:bookmarkStart w:id="26" w:name="m201"/>
      <w:bookmarkStart w:id="27" w:name="m07_04_13_00"/>
      <w:bookmarkStart w:id="28" w:name="m201_01"/>
      <w:r>
        <w:rPr>
          <w:rFonts w:hint="eastAsia"/>
          <w:lang/>
        </w:rPr>
        <w:t>1、开放日及开放时间</w:t>
      </w:r>
      <w:r>
        <w:rPr>
          <w:rFonts w:hint="eastAsia"/>
          <w:lang/>
        </w:rPr>
        <w:br/>
        <w:t xml:space="preserve">　　本基金以定期开放方式运作，即采用封闭运作和开放运作交替循环的方式。</w:t>
      </w:r>
      <w:r>
        <w:rPr>
          <w:rFonts w:hint="eastAsia"/>
          <w:lang/>
        </w:rPr>
        <w:br/>
        <w:t xml:space="preserve">　　本基金以一年为一个封闭期。本基金第一个封闭期的起始之日为基金合同生效日，结束之日为基金合同生效日的一年后年度对日的前一日。第二个封闭期的起始之日为第一个开放期结束之日次日，结束之日为第二个封闭期起始之日的一年后年度对日的前一日，依此类推。如年度对日为非工作日，则顺延至下一工作日，若该日历年度中不存在对应日期的，则顺延至该月最后一日的下一工作日。本基金在封闭期内不办理申购与赎回等业务。</w:t>
      </w:r>
      <w:r>
        <w:rPr>
          <w:rFonts w:hint="eastAsia"/>
          <w:lang/>
        </w:rPr>
        <w:br/>
        <w:t xml:space="preserve">　　本基金自封闭期结束之日的下一个工作日起（含当日）进入开放期，期间可以办理申购与赎回等业务。每个开放期不少于5个工作日且最长不超过20个工作日。</w:t>
      </w:r>
      <w:r>
        <w:rPr>
          <w:rFonts w:hint="eastAsia"/>
          <w:lang/>
        </w:rPr>
        <w:br/>
        <w:t xml:space="preserve">　　按照上述约定，本基金第四个封闭期为2024年12月20日至2025年12月21日，本次第四个开放期为2025年12月22日至2026年1月20日。投资人可在开放期内的每个开放日办理基金份额的申购与赎回等业务，具体办理时间为上海证券交易所、深圳证券交易所的正常交易日的交易时间（如遇香港联合交易所法定节假日或因其他原因暂停营业的情形，基金管理人有权暂停办理基金份额的申购和赎回等业务），但基金管理人根据法律法规、中国证监会的要求或本基金合同</w:t>
      </w:r>
      <w:r>
        <w:rPr>
          <w:rFonts w:hint="eastAsia"/>
          <w:lang/>
        </w:rPr>
        <w:lastRenderedPageBreak/>
        <w:t>的规定公告暂停申购、赎回时除外。</w:t>
      </w:r>
      <w:r>
        <w:rPr>
          <w:rFonts w:hint="eastAsia"/>
          <w:lang/>
        </w:rPr>
        <w:br/>
        <w:t xml:space="preserve">　　基金合同生效后，若出现新的证券/期货交易市场、证券/期货交易所交易时间变更或其他特殊情况，基金管理人将视情况对前述开放日及开放时间进行相应的调整，但应在实施日前依照《公开募集证券投资基金信息披露管理办法》的有关规定在规定媒介上公告。</w:t>
      </w:r>
      <w:r>
        <w:rPr>
          <w:rFonts w:hint="eastAsia"/>
          <w:lang/>
        </w:rPr>
        <w:br/>
        <w:t xml:space="preserve">　　2、申购、赎回开始日及业务办理时间</w:t>
      </w:r>
      <w:r>
        <w:rPr>
          <w:rFonts w:hint="eastAsia"/>
          <w:lang/>
        </w:rPr>
        <w:br/>
        <w:t xml:space="preserve">　　除法律法规或基金合同另有约定外，本基金自封闭期结束之日的下一个工作日起（含当日）进入开放期，开始办理申购和赎回等业务。</w:t>
      </w:r>
      <w:r>
        <w:rPr>
          <w:rFonts w:hint="eastAsia"/>
          <w:lang/>
        </w:rPr>
        <w:br/>
        <w:t xml:space="preserve">　　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日基金份额申购、赎回的价格。但若投资者在开放期最后一个开放日业务办理时间结束之后提出申购、赎回或者转换申请的，视为无效申请。</w:t>
      </w:r>
    </w:p>
    <w:p w:rsidR="000D478A" w:rsidRDefault="000D478A">
      <w:pPr>
        <w:pStyle w:val="XBRLTitle1"/>
        <w:spacing w:before="156" w:line="360" w:lineRule="auto"/>
        <w:rPr>
          <w:rFonts w:hint="eastAsia"/>
        </w:rPr>
      </w:pPr>
      <w:bookmarkStart w:id="29" w:name="_Toc34758521"/>
      <w:bookmarkStart w:id="30" w:name="_Toc34841030"/>
      <w:bookmarkStart w:id="31" w:name="_Toc513295894"/>
      <w:bookmarkStart w:id="32" w:name="_Toc513295848"/>
      <w:bookmarkStart w:id="33" w:name="_Toc490050003"/>
      <w:bookmarkStart w:id="34" w:name="_Toc438646455"/>
      <w:bookmarkStart w:id="35" w:name="_Toc481075049"/>
      <w:bookmarkStart w:id="36" w:name="_Toc512519482"/>
      <w:bookmarkStart w:id="37" w:name="_Toc17897938"/>
      <w:bookmarkStart w:id="38" w:name="_Toc17898180"/>
      <w:bookmarkStart w:id="39" w:name="m401"/>
      <w:bookmarkStart w:id="40" w:name="m401_tab"/>
      <w:proofErr w:type="spellStart"/>
      <w:r>
        <w:rPr>
          <w:rFonts w:hAnsi="宋体" w:hint="eastAsia"/>
        </w:rPr>
        <w:t>日常申购业务</w:t>
      </w:r>
      <w:bookmarkEnd w:id="29"/>
      <w:bookmarkEnd w:id="30"/>
      <w:proofErr w:type="spellEnd"/>
      <w:r>
        <w:rPr>
          <w:rFonts w:hAnsi="宋体" w:hint="eastAsia"/>
        </w:rPr>
        <w:t xml:space="preserve"> </w:t>
      </w:r>
    </w:p>
    <w:p w:rsidR="000D478A" w:rsidRDefault="000D478A">
      <w:pPr>
        <w:pStyle w:val="XBRLTitle2"/>
        <w:spacing w:before="156" w:line="360" w:lineRule="auto"/>
        <w:rPr>
          <w:rFonts w:hint="eastAsia"/>
        </w:rPr>
      </w:pPr>
      <w:bookmarkStart w:id="41" w:name="_Toc34758522"/>
      <w:bookmarkStart w:id="42" w:name="_Toc513295895"/>
      <w:bookmarkStart w:id="43" w:name="_Toc513295849"/>
      <w:bookmarkStart w:id="44" w:name="_Toc490050004"/>
      <w:bookmarkStart w:id="45" w:name="_Toc438646456"/>
      <w:bookmarkStart w:id="46" w:name="_Toc481075050"/>
      <w:bookmarkStart w:id="47" w:name="_Toc512519483"/>
      <w:bookmarkStart w:id="48" w:name="_Toc17897939"/>
      <w:bookmarkStart w:id="49" w:name="_Toc17898181"/>
      <w:bookmarkStart w:id="50" w:name="_Toc34841031"/>
      <w:proofErr w:type="spellStart"/>
      <w:r>
        <w:rPr>
          <w:rFonts w:hAnsi="宋体" w:hint="eastAsia"/>
        </w:rPr>
        <w:t>申购金额限制</w:t>
      </w:r>
      <w:bookmarkEnd w:id="41"/>
      <w:bookmarkEnd w:id="42"/>
      <w:bookmarkEnd w:id="43"/>
      <w:bookmarkEnd w:id="44"/>
      <w:bookmarkEnd w:id="45"/>
      <w:bookmarkEnd w:id="46"/>
      <w:bookmarkEnd w:id="47"/>
      <w:bookmarkEnd w:id="48"/>
      <w:bookmarkEnd w:id="49"/>
      <w:bookmarkEnd w:id="50"/>
      <w:proofErr w:type="spellEnd"/>
      <w:r>
        <w:rPr>
          <w:rFonts w:hAnsi="宋体" w:hint="eastAsia"/>
        </w:rPr>
        <w:t xml:space="preserve"> </w:t>
      </w:r>
    </w:p>
    <w:p w:rsidR="000D478A" w:rsidRDefault="000D478A">
      <w:pPr>
        <w:spacing w:line="360" w:lineRule="auto"/>
        <w:ind w:firstLineChars="200" w:firstLine="420"/>
        <w:rPr>
          <w:rFonts w:hint="eastAsia"/>
        </w:rPr>
      </w:pPr>
      <w:r>
        <w:rPr>
          <w:rFonts w:hint="eastAsia"/>
          <w:lang/>
        </w:rPr>
        <w:t>本基金单笔最低申购金额为1元，投资人通过销售机构申购本基金时，当销售机构设定的最低申购金额高于该申购金额限制时，除需满足基金管理人规定的前述最低申购金额限制外，还应遵循销售机构的业务规定。</w:t>
      </w:r>
      <w:r>
        <w:rPr>
          <w:rFonts w:hint="eastAsia"/>
          <w:lang/>
        </w:rPr>
        <w:br/>
        <w:t xml:space="preserve">　　本基金不对单个投资人累计持有的基金份额上限进行限制，但单一投资者持有基金份额数不得达到或超过基金份额总数的50%（在基金运作过程中因基金份额赎回等情形导致被动达到或超过50%的除外）。法律法规或监管机构另有规定的，从其规定。</w:t>
      </w:r>
      <w:r>
        <w:rPr>
          <w:rFonts w:hint="eastAsia"/>
          <w:lang/>
        </w:rPr>
        <w:br/>
        <w:t xml:space="preserve">　　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Pr>
          <w:rFonts w:hint="eastAsia"/>
          <w:lang/>
        </w:rPr>
        <w:br/>
        <w:t xml:space="preserve">　　基金管理人可在法律法规允许的情况下，调整上述规定申购金额的数量限制，并在调整实施前依照《公开募集证券投资基金信息披露管理办法》的有关规定在规定媒介上公告。</w:t>
      </w:r>
    </w:p>
    <w:p w:rsidR="000D478A" w:rsidRDefault="000D478A">
      <w:pPr>
        <w:pStyle w:val="XBRLTitle2"/>
        <w:spacing w:before="156" w:line="360" w:lineRule="auto"/>
        <w:rPr>
          <w:rFonts w:hint="eastAsia"/>
        </w:rPr>
      </w:pPr>
      <w:bookmarkStart w:id="51" w:name="_Toc513465658"/>
      <w:bookmarkStart w:id="52" w:name="_Toc512519484"/>
      <w:bookmarkStart w:id="53" w:name="_Toc481075051"/>
      <w:bookmarkStart w:id="54" w:name="_Toc438646457"/>
      <w:bookmarkStart w:id="55" w:name="_Toc490050005"/>
      <w:proofErr w:type="spellStart"/>
      <w:r>
        <w:rPr>
          <w:rFonts w:hAnsi="宋体" w:hint="eastAsia"/>
        </w:rPr>
        <w:t>申购费率</w:t>
      </w:r>
      <w:bookmarkEnd w:id="51"/>
      <w:proofErr w:type="spellEnd"/>
      <w:r>
        <w:rPr>
          <w:rFonts w:hAnsi="宋体" w:hint="eastAsia"/>
        </w:rPr>
        <w:t xml:space="preserve"> </w:t>
      </w:r>
    </w:p>
    <w:p w:rsidR="000D478A" w:rsidRDefault="000D478A">
      <w:pPr>
        <w:spacing w:line="360" w:lineRule="auto"/>
        <w:ind w:firstLineChars="200" w:firstLine="420"/>
        <w:rPr>
          <w:rFonts w:hint="eastAsia"/>
        </w:rPr>
      </w:pPr>
      <w:r>
        <w:rPr>
          <w:rFonts w:hint="eastAsia"/>
          <w:lang/>
        </w:rPr>
        <w:t>本基金A类基金份额在申购时收取申购费用，投资者可以多次申购本基金，A类基金份额申购费率按每笔申购申请单独计算。本基金C类基金份额不收取申购费用。</w:t>
      </w:r>
      <w:r>
        <w:rPr>
          <w:rFonts w:hint="eastAsia"/>
          <w:lang/>
        </w:rPr>
        <w:br/>
        <w:t xml:space="preserve">　　本基金对通过直销机构申购A类基金份额的养老金客户与除此之外的其他申购A类基金份额的投资者实施差别化的申购费率。</w:t>
      </w:r>
    </w:p>
    <w:p w:rsidR="000D478A" w:rsidRDefault="000D478A">
      <w:pPr>
        <w:pStyle w:val="XBRLTitle3"/>
        <w:spacing w:before="156"/>
        <w:divId w:val="1369799003"/>
        <w:rPr>
          <w:rFonts w:hint="eastAsia"/>
        </w:rPr>
      </w:pPr>
      <w:bookmarkStart w:id="56" w:name="_Toc513465659"/>
      <w:bookmarkStart w:id="57" w:name="_Toc512519485"/>
      <w:bookmarkStart w:id="58" w:name="_Toc481075052"/>
      <w:bookmarkStart w:id="59" w:name="_Toc490050006"/>
      <w:proofErr w:type="spellStart"/>
      <w:r>
        <w:rPr>
          <w:rFonts w:hint="eastAsia"/>
        </w:rPr>
        <w:t>前端收费</w:t>
      </w:r>
      <w:bookmarkEnd w:id="56"/>
      <w:proofErr w:type="spellEnd"/>
      <w:r>
        <w:rPr>
          <w:rFonts w:hint="eastAsia"/>
          <w:lang w:eastAsia="zh-CN"/>
        </w:rPr>
        <w:t xml:space="preserve"> </w:t>
      </w:r>
    </w:p>
    <w:p w:rsidR="000D478A" w:rsidRDefault="000D478A">
      <w:pPr>
        <w:spacing w:line="360" w:lineRule="auto"/>
        <w:jc w:val="center"/>
        <w:divId w:val="666637593"/>
        <w:rPr>
          <w:rFonts w:hint="eastAsia"/>
        </w:rPr>
      </w:pPr>
      <w:r>
        <w:rPr>
          <w:rFonts w:hint="eastAsia"/>
        </w:rPr>
        <w:t>长城兴华优选一年定开混合A</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3582"/>
        <w:gridCol w:w="2712"/>
        <w:gridCol w:w="2767"/>
      </w:tblGrid>
      <w:tr w:rsidR="000D478A" w:rsidTr="006D2333">
        <w:trPr>
          <w:divId w:val="666637593"/>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 xml:space="preserve">备注 </w:t>
            </w:r>
          </w:p>
        </w:tc>
      </w:tr>
      <w:tr w:rsidR="000D478A" w:rsidTr="006D2333">
        <w:trPr>
          <w:divId w:val="66663759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M＜1,000,000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1.5%</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非养老金客户</w:t>
            </w:r>
          </w:p>
        </w:tc>
      </w:tr>
      <w:tr w:rsidR="000D478A" w:rsidTr="006D2333">
        <w:trPr>
          <w:divId w:val="66663759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1,000,000≤M＜3,000,000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1.0%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非养老金客户</w:t>
            </w:r>
          </w:p>
        </w:tc>
      </w:tr>
      <w:tr w:rsidR="000D478A" w:rsidTr="006D2333">
        <w:trPr>
          <w:divId w:val="66663759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3,000,000≤M＜5,000,000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0.5%</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非养老金客户</w:t>
            </w:r>
          </w:p>
        </w:tc>
      </w:tr>
      <w:tr w:rsidR="000D478A" w:rsidTr="006D2333">
        <w:trPr>
          <w:divId w:val="66663759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1,000元/笔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非养老金客户</w:t>
            </w:r>
          </w:p>
        </w:tc>
      </w:tr>
      <w:tr w:rsidR="000D478A" w:rsidTr="006D2333">
        <w:trPr>
          <w:divId w:val="66663759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M＜1,000,000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0.3%</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养老金客户</w:t>
            </w:r>
          </w:p>
        </w:tc>
      </w:tr>
      <w:tr w:rsidR="000D478A" w:rsidTr="006D2333">
        <w:trPr>
          <w:divId w:val="66663759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1,000,000≤M＜3,000,000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0.2%</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养老金客户</w:t>
            </w:r>
          </w:p>
        </w:tc>
      </w:tr>
      <w:tr w:rsidR="000D478A" w:rsidTr="006D2333">
        <w:trPr>
          <w:divId w:val="66663759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3,000,000≤M＜5,000,000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0.1%</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养老金客户</w:t>
            </w:r>
          </w:p>
        </w:tc>
      </w:tr>
      <w:tr w:rsidR="000D478A" w:rsidTr="006D2333">
        <w:trPr>
          <w:divId w:val="66663759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1,000元/笔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养老金客户</w:t>
            </w:r>
          </w:p>
        </w:tc>
      </w:tr>
    </w:tbl>
    <w:p w:rsidR="000D478A" w:rsidRDefault="000D478A">
      <w:pPr>
        <w:spacing w:line="360" w:lineRule="auto"/>
        <w:jc w:val="center"/>
        <w:divId w:val="1988197163"/>
        <w:rPr>
          <w:rFonts w:hint="eastAsia"/>
        </w:rPr>
      </w:pPr>
      <w:r>
        <w:rPr>
          <w:rFonts w:hint="eastAsia"/>
        </w:rPr>
        <w:t>长城兴华优选一年定开混合C</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3582"/>
        <w:gridCol w:w="2712"/>
        <w:gridCol w:w="2767"/>
      </w:tblGrid>
      <w:tr w:rsidR="000D478A" w:rsidTr="006D2333">
        <w:trPr>
          <w:divId w:val="1988197163"/>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 xml:space="preserve">备注 </w:t>
            </w:r>
          </w:p>
        </w:tc>
      </w:tr>
      <w:tr w:rsidR="000D478A" w:rsidTr="006D2333">
        <w:trPr>
          <w:divId w:val="198819716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0D478A" w:rsidRDefault="000D478A">
            <w:pPr>
              <w:jc w:val="center"/>
              <w:rPr>
                <w:rFonts w:hint="eastAsia"/>
              </w:rPr>
            </w:pPr>
            <w:r w:rsidRPr="006D2333">
              <w:rPr>
                <w:rFonts w:hint="eastAsia"/>
              </w:rPr>
              <w:t>本基金C类份额不收取申购费用</w:t>
            </w:r>
          </w:p>
        </w:tc>
      </w:tr>
    </w:tbl>
    <w:p w:rsidR="000D478A" w:rsidRDefault="000D478A">
      <w:pPr>
        <w:spacing w:line="360" w:lineRule="auto"/>
        <w:jc w:val="left"/>
        <w:divId w:val="1369799003"/>
        <w:rPr>
          <w:rFonts w:hint="eastAsia"/>
        </w:rPr>
      </w:pPr>
      <w:r>
        <w:rPr>
          <w:rFonts w:hint="eastAsia"/>
          <w:szCs w:val="21"/>
        </w:rPr>
        <w:t>注：1、养老金客户包括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如未来出现经养老基金监管部门认可的新的养老基金类型，本公司在法律法规允许的前提下可将其纳入养老金客户范围。</w:t>
      </w:r>
      <w:r>
        <w:rPr>
          <w:rFonts w:hint="eastAsia"/>
          <w:szCs w:val="21"/>
        </w:rPr>
        <w:br/>
        <w:t xml:space="preserve">　　2、A类基金份额申购费由申购者承担，不列入基金财产，主要用于本基金的市场推广、销售、注册登记等各项费用。</w:t>
      </w:r>
      <w:r>
        <w:rPr>
          <w:rFonts w:hint="eastAsia"/>
          <w:szCs w:val="21"/>
        </w:rPr>
        <w:br/>
        <w:t xml:space="preserve">　　3、基金管理人可以在基金合同的约定的范围内调整费率或收费方式，并最迟应于新的费率或收费方式实施日前依照《公开募集证券投资基金信息披露管理办法》的有关规定在规定媒介上公告。</w:t>
      </w:r>
    </w:p>
    <w:p w:rsidR="000D478A" w:rsidRDefault="000D478A">
      <w:pPr>
        <w:pStyle w:val="XBRLTitle3"/>
        <w:spacing w:before="156"/>
        <w:divId w:val="1251889590"/>
        <w:rPr>
          <w:rFonts w:hint="eastAsia"/>
        </w:rPr>
      </w:pPr>
      <w:bookmarkStart w:id="60" w:name="_Toc513465660"/>
      <w:bookmarkStart w:id="61" w:name="_Toc512519486"/>
      <w:bookmarkStart w:id="62" w:name="_Toc481075053"/>
      <w:bookmarkStart w:id="63" w:name="_Toc490050007"/>
      <w:proofErr w:type="spellStart"/>
      <w:r>
        <w:rPr>
          <w:rFonts w:hint="eastAsia"/>
        </w:rPr>
        <w:t>后端收费</w:t>
      </w:r>
      <w:bookmarkEnd w:id="60"/>
      <w:proofErr w:type="spellEnd"/>
    </w:p>
    <w:p w:rsidR="000D478A" w:rsidRDefault="000D478A">
      <w:pPr>
        <w:spacing w:line="360" w:lineRule="auto"/>
        <w:divId w:val="1251889590"/>
        <w:rPr>
          <w:rFonts w:hint="eastAsia"/>
        </w:rPr>
      </w:pPr>
      <w:bookmarkStart w:id="64" w:name="m07_04_07_02"/>
      <w:r>
        <w:rPr>
          <w:rFonts w:hint="eastAsia"/>
          <w:kern w:val="0"/>
          <w:szCs w:val="21"/>
        </w:rPr>
        <w:t>注：</w:t>
      </w:r>
      <w:bookmarkStart w:id="65" w:name="OLE_LINK46"/>
      <w:bookmarkStart w:id="66" w:name="OLE_LINK45"/>
      <w:bookmarkStart w:id="67" w:name="OLE_LINK42"/>
      <w:bookmarkStart w:id="68" w:name="OLE_LINK41"/>
      <w:bookmarkStart w:id="69" w:name="m07_04_13_04_02_01"/>
      <w:bookmarkEnd w:id="64"/>
      <w:r>
        <w:rPr>
          <w:rFonts w:hint="eastAsia"/>
          <w:szCs w:val="24"/>
          <w:lang/>
        </w:rPr>
        <w:t>本基金未设后端收费模式。</w:t>
      </w:r>
      <w:bookmarkEnd w:id="65"/>
      <w:bookmarkEnd w:id="66"/>
      <w:bookmarkEnd w:id="67"/>
      <w:bookmarkEnd w:id="68"/>
      <w:bookmarkEnd w:id="69"/>
      <w:r>
        <w:rPr>
          <w:rFonts w:hint="eastAsia"/>
          <w:szCs w:val="24"/>
          <w:lang/>
        </w:rPr>
        <w:t xml:space="preserve"> </w:t>
      </w:r>
    </w:p>
    <w:p w:rsidR="000D478A" w:rsidRDefault="000D478A">
      <w:pPr>
        <w:pStyle w:val="XBRLTitle2"/>
        <w:spacing w:before="156"/>
        <w:rPr>
          <w:rFonts w:hint="eastAsia"/>
        </w:rPr>
      </w:pPr>
      <w:bookmarkStart w:id="70" w:name="_Toc34758524"/>
      <w:bookmarkStart w:id="71" w:name="_Toc34841033"/>
      <w:bookmarkStart w:id="72" w:name="m03_03"/>
      <w:bookmarkStart w:id="73" w:name="_Toc454983260"/>
      <w:bookmarkStart w:id="74" w:name="_Toc452398732"/>
      <w:bookmarkStart w:id="75" w:name="_Toc453852604"/>
      <w:bookmarkStart w:id="76" w:name="_Toc485300223"/>
      <w:bookmarkStart w:id="77" w:name="_Toc244948694"/>
      <w:bookmarkStart w:id="78" w:name="_Toc245003735"/>
      <w:bookmarkStart w:id="79" w:name="_Toc247616208"/>
      <w:bookmarkStart w:id="80" w:name="_Toc433036679"/>
      <w:bookmarkStart w:id="81" w:name="_Toc506208214"/>
      <w:bookmarkStart w:id="82" w:name="_Toc497398101"/>
      <w:bookmarkStart w:id="83" w:name="_Toc17897941"/>
      <w:bookmarkStart w:id="84" w:name="_Toc17898185"/>
      <w:proofErr w:type="spellStart"/>
      <w:r>
        <w:rPr>
          <w:rFonts w:hint="eastAsia"/>
        </w:rPr>
        <w:t>其他与申购相关的事项</w:t>
      </w:r>
      <w:bookmarkEnd w:id="70"/>
      <w:bookmarkEnd w:id="71"/>
      <w:proofErr w:type="spellEnd"/>
    </w:p>
    <w:p w:rsidR="000D478A" w:rsidRDefault="000D478A">
      <w:pPr>
        <w:spacing w:line="360" w:lineRule="auto"/>
        <w:ind w:firstLineChars="200" w:firstLine="420"/>
        <w:rPr>
          <w:rFonts w:hint="eastAsia"/>
        </w:rPr>
      </w:pPr>
      <w:r>
        <w:rPr>
          <w:rFonts w:hint="eastAsia"/>
          <w:lang/>
        </w:rPr>
        <w:t>在开放期内，发生下列情况时，基金管理人可拒绝或暂停接受投资人的申购申请：</w:t>
      </w:r>
      <w:r>
        <w:rPr>
          <w:rFonts w:hint="eastAsia"/>
          <w:lang/>
        </w:rPr>
        <w:br/>
        <w:t xml:space="preserve">　　1、因不可抗力导致基金无法正常运作。</w:t>
      </w:r>
      <w:r>
        <w:rPr>
          <w:rFonts w:hint="eastAsia"/>
          <w:lang/>
        </w:rPr>
        <w:br/>
        <w:t xml:space="preserve">　　2、发生基金合同规定的暂停基金资产估值情况时，基金管理人可暂停接受投资人的申购申请。</w:t>
      </w:r>
      <w:r>
        <w:rPr>
          <w:rFonts w:hint="eastAsia"/>
          <w:lang/>
        </w:rPr>
        <w:br/>
        <w:t xml:space="preserve">　　3、当前一估值日基金资产净值 50%以上的资产出现无可参考的活跃市场价格且采用估值技术仍导致公允价值存在重大不确定性时，经与基金托管人协商确认后，基金管理人应当暂停接受基金申购申请。</w:t>
      </w:r>
      <w:r>
        <w:rPr>
          <w:rFonts w:hint="eastAsia"/>
          <w:lang/>
        </w:rPr>
        <w:br/>
        <w:t xml:space="preserve">　　4、证券、期货交易所或外汇市场交易时间非正常停市，导致基金管理人无法计算当日基金资产净值。</w:t>
      </w:r>
      <w:r>
        <w:rPr>
          <w:rFonts w:hint="eastAsia"/>
          <w:lang/>
        </w:rPr>
        <w:br/>
        <w:t xml:space="preserve">　　5、基金管理人接受某笔或某些申购申请可能会影响或损害现有基金份额持有人利益时。</w:t>
      </w:r>
      <w:r>
        <w:rPr>
          <w:rFonts w:hint="eastAsia"/>
          <w:lang/>
        </w:rPr>
        <w:br/>
        <w:t xml:space="preserve">　　6、基金资产规模过大，使基金管理人无法找到合适的投资品种，或其他可能对基金业绩产生负面影响，或发生其他损害现有基金份额持有人利益的情形。</w:t>
      </w:r>
      <w:r>
        <w:rPr>
          <w:rFonts w:hint="eastAsia"/>
          <w:lang/>
        </w:rPr>
        <w:br/>
        <w:t xml:space="preserve">　　7、因港股通交易当日额度使用完毕而暂停或停止接受买入申报，或者发生证券交易服务公司等机构认定的交易异常情况并决定暂停提供部分或全部港股通服务，或者发生其他影响通过内地与香港股票市场交易互联互通机制进行正常交易的情形。</w:t>
      </w:r>
      <w:r>
        <w:rPr>
          <w:rFonts w:hint="eastAsia"/>
          <w:lang/>
        </w:rPr>
        <w:br/>
        <w:t xml:space="preserve">　　8、基金管理人、基金托管人、销售机构或登记机构的技术故障等异常情况导致基金销售系统、基金注册登记系统或基金会计系统无法正常运行。</w:t>
      </w:r>
      <w:r>
        <w:rPr>
          <w:rFonts w:hint="eastAsia"/>
          <w:lang/>
        </w:rPr>
        <w:br/>
        <w:t xml:space="preserve">　　9、基金管理人接受某笔或者某些申购申请有可能导致单一投资者持有基金份额的比例达到或者超过50%，或者变相规避50%集中度的情形。</w:t>
      </w:r>
      <w:r>
        <w:rPr>
          <w:rFonts w:hint="eastAsia"/>
          <w:lang/>
        </w:rPr>
        <w:br/>
        <w:t xml:space="preserve">　　10、法律法规规定或中国证监会认定的其他情形。</w:t>
      </w:r>
      <w:r>
        <w:rPr>
          <w:rFonts w:hint="eastAsia"/>
          <w:lang/>
        </w:rPr>
        <w:br/>
        <w:t xml:space="preserve">　　发生上述除第5、9项暂停申购情形之一且基金管理人决定暂停申购时，基金管理人应当根据有关规定在规定媒介上刊登暂停申购公告。当发生上述第9项情形时，基金管理人可以采取比例确认等方式对该投资人的申购申请进行限制，基金管理人有权拒绝该等全部或者部分申购申请。如果投资人的申购申请被全部或部分拒绝，被拒绝的申购款项将退还给投资人。在暂停申购的情况消除时，基金管理人应及时恢复申购业务的办理。</w:t>
      </w:r>
    </w:p>
    <w:p w:rsidR="000D478A" w:rsidRDefault="000D478A">
      <w:pPr>
        <w:pStyle w:val="XBRLTitle1"/>
        <w:spacing w:before="156" w:line="360" w:lineRule="auto"/>
        <w:rPr>
          <w:rFonts w:hint="eastAsia"/>
        </w:rPr>
      </w:pPr>
      <w:bookmarkStart w:id="85" w:name="_Toc34758525"/>
      <w:bookmarkStart w:id="86" w:name="_Toc513295899"/>
      <w:bookmarkStart w:id="87" w:name="_Toc513295851"/>
      <w:bookmarkStart w:id="88" w:name="_Toc512519487"/>
      <w:bookmarkStart w:id="89" w:name="_Toc490050008"/>
      <w:bookmarkStart w:id="90" w:name="_Toc438646458"/>
      <w:bookmarkStart w:id="91" w:name="_Toc481075054"/>
      <w:bookmarkStart w:id="92" w:name="_Toc17897942"/>
      <w:bookmarkStart w:id="93" w:name="_Toc17898186"/>
      <w:bookmarkStart w:id="94" w:name="_Toc34841034"/>
      <w:proofErr w:type="spellStart"/>
      <w:r>
        <w:rPr>
          <w:rFonts w:hAnsi="宋体" w:hint="eastAsia"/>
        </w:rPr>
        <w:t>日常赎回业务</w:t>
      </w:r>
      <w:bookmarkEnd w:id="85"/>
      <w:bookmarkEnd w:id="86"/>
      <w:bookmarkEnd w:id="87"/>
      <w:bookmarkEnd w:id="88"/>
      <w:bookmarkEnd w:id="89"/>
      <w:bookmarkEnd w:id="90"/>
      <w:bookmarkEnd w:id="91"/>
      <w:bookmarkEnd w:id="92"/>
      <w:bookmarkEnd w:id="93"/>
      <w:bookmarkEnd w:id="94"/>
      <w:proofErr w:type="spellEnd"/>
      <w:r>
        <w:rPr>
          <w:rFonts w:hAnsi="宋体" w:hint="eastAsia"/>
          <w:szCs w:val="44"/>
        </w:rPr>
        <w:t xml:space="preserve"> </w:t>
      </w:r>
    </w:p>
    <w:p w:rsidR="000D478A" w:rsidRDefault="000D478A">
      <w:pPr>
        <w:pStyle w:val="XBRLTitle2"/>
        <w:spacing w:before="156" w:line="360" w:lineRule="auto"/>
        <w:rPr>
          <w:rFonts w:hint="eastAsia"/>
        </w:rPr>
      </w:pPr>
      <w:bookmarkStart w:id="95" w:name="_Toc34758526"/>
      <w:bookmarkStart w:id="96" w:name="_Toc513295900"/>
      <w:bookmarkStart w:id="97" w:name="_Toc513295852"/>
      <w:bookmarkStart w:id="98" w:name="_Toc512519488"/>
      <w:bookmarkStart w:id="99" w:name="_Toc490050009"/>
      <w:bookmarkStart w:id="100" w:name="_Toc438646459"/>
      <w:bookmarkStart w:id="101" w:name="_Toc481075055"/>
      <w:bookmarkStart w:id="102" w:name="_Toc17897943"/>
      <w:bookmarkStart w:id="103" w:name="_Toc17898187"/>
      <w:bookmarkStart w:id="104" w:name="_Toc34841035"/>
      <w:proofErr w:type="spellStart"/>
      <w:r>
        <w:rPr>
          <w:rFonts w:hAnsi="宋体" w:hint="eastAsia"/>
        </w:rPr>
        <w:t>赎回份额限制</w:t>
      </w:r>
      <w:bookmarkEnd w:id="95"/>
      <w:bookmarkEnd w:id="96"/>
      <w:bookmarkEnd w:id="97"/>
      <w:bookmarkEnd w:id="98"/>
      <w:bookmarkEnd w:id="99"/>
      <w:bookmarkEnd w:id="100"/>
      <w:bookmarkEnd w:id="101"/>
      <w:bookmarkEnd w:id="102"/>
      <w:bookmarkEnd w:id="103"/>
      <w:bookmarkEnd w:id="104"/>
      <w:proofErr w:type="spellEnd"/>
      <w:r>
        <w:rPr>
          <w:rFonts w:hAnsi="宋体" w:hint="eastAsia"/>
        </w:rPr>
        <w:t xml:space="preserve"> </w:t>
      </w:r>
    </w:p>
    <w:p w:rsidR="000D478A" w:rsidRDefault="000D478A">
      <w:pPr>
        <w:spacing w:line="360" w:lineRule="auto"/>
        <w:ind w:firstLineChars="200" w:firstLine="420"/>
        <w:rPr>
          <w:rFonts w:hint="eastAsia"/>
        </w:rPr>
      </w:pPr>
      <w:r>
        <w:rPr>
          <w:rFonts w:hint="eastAsia"/>
          <w:lang/>
        </w:rPr>
        <w:t>本基金单笔赎回份额不得低于10份，投资者全额赎回时不受该限制。本基金不对投资者每个基金交易账户的最低基金份额余额进行限制。</w:t>
      </w:r>
      <w:r>
        <w:rPr>
          <w:rFonts w:hint="eastAsia"/>
          <w:lang/>
        </w:rPr>
        <w:br/>
        <w:t xml:space="preserve">　　基金管理人可在法律法规允许的情况下，调整上述规定赎回份额的数量限制，并在调整实施前依照《公开募集证券投资基金信息披露管理办法》的有关规定在规定媒介上公告。</w:t>
      </w:r>
    </w:p>
    <w:p w:rsidR="000D478A" w:rsidRDefault="000D478A">
      <w:pPr>
        <w:pStyle w:val="XBRLTitle2"/>
        <w:spacing w:before="156" w:line="360" w:lineRule="auto"/>
        <w:rPr>
          <w:rFonts w:hint="eastAsia"/>
        </w:rPr>
      </w:pPr>
      <w:bookmarkStart w:id="105" w:name="_Toc34758527"/>
      <w:bookmarkStart w:id="106" w:name="_Toc513295901"/>
      <w:bookmarkStart w:id="107" w:name="_Toc513295853"/>
      <w:bookmarkStart w:id="108" w:name="_Toc512519489"/>
      <w:bookmarkStart w:id="109" w:name="_Toc490050010"/>
      <w:bookmarkStart w:id="110" w:name="_Toc438646460"/>
      <w:bookmarkStart w:id="111" w:name="_Toc481075056"/>
      <w:bookmarkStart w:id="112" w:name="_Toc17897944"/>
      <w:bookmarkStart w:id="113" w:name="_Toc17898188"/>
      <w:bookmarkStart w:id="114" w:name="_Toc34841036"/>
      <w:bookmarkStart w:id="115" w:name="m402"/>
      <w:proofErr w:type="spellStart"/>
      <w:r>
        <w:rPr>
          <w:rFonts w:hAnsi="宋体" w:hint="eastAsia"/>
        </w:rPr>
        <w:t>赎回费率</w:t>
      </w:r>
      <w:bookmarkEnd w:id="105"/>
      <w:bookmarkEnd w:id="106"/>
      <w:bookmarkEnd w:id="107"/>
      <w:bookmarkEnd w:id="108"/>
      <w:bookmarkEnd w:id="109"/>
      <w:bookmarkEnd w:id="110"/>
      <w:bookmarkEnd w:id="111"/>
      <w:bookmarkEnd w:id="112"/>
      <w:bookmarkEnd w:id="113"/>
      <w:bookmarkEnd w:id="114"/>
      <w:proofErr w:type="spellEnd"/>
      <w:r>
        <w:rPr>
          <w:rFonts w:hAnsi="宋体" w:hint="eastAsia"/>
        </w:rPr>
        <w:t xml:space="preserve"> </w:t>
      </w:r>
    </w:p>
    <w:bookmarkEnd w:id="115"/>
    <w:p w:rsidR="000D478A" w:rsidRDefault="000D478A">
      <w:pPr>
        <w:spacing w:line="360" w:lineRule="auto"/>
        <w:jc w:val="center"/>
        <w:divId w:val="1104499930"/>
        <w:rPr>
          <w:rFonts w:hint="eastAsia"/>
        </w:rPr>
      </w:pPr>
      <w:r>
        <w:rPr>
          <w:rFonts w:hint="eastAsia"/>
        </w:rPr>
        <w:t>长城兴华优选一年定开混合A</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6265"/>
        <w:gridCol w:w="2796"/>
      </w:tblGrid>
      <w:tr w:rsidR="000D478A" w:rsidTr="006D2333">
        <w:trPr>
          <w:divId w:val="1104499930"/>
        </w:trPr>
        <w:tc>
          <w:tcPr>
            <w:tcW w:w="5140"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 xml:space="preserve">赎回费率 </w:t>
            </w:r>
          </w:p>
        </w:tc>
      </w:tr>
      <w:tr w:rsidR="000D478A" w:rsidTr="006D2333">
        <w:trPr>
          <w:divId w:val="1104499930"/>
        </w:trPr>
        <w:tc>
          <w:tcPr>
            <w:tcW w:w="1384"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N＜7日</w:t>
            </w:r>
          </w:p>
        </w:tc>
        <w:tc>
          <w:tcPr>
            <w:tcW w:w="1048"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1.5%</w:t>
            </w:r>
          </w:p>
        </w:tc>
      </w:tr>
      <w:tr w:rsidR="000D478A" w:rsidTr="006D2333">
        <w:trPr>
          <w:divId w:val="1104499930"/>
        </w:trPr>
        <w:tc>
          <w:tcPr>
            <w:tcW w:w="1384"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7日≤N＜30日</w:t>
            </w:r>
          </w:p>
        </w:tc>
        <w:tc>
          <w:tcPr>
            <w:tcW w:w="1048"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0.75%</w:t>
            </w:r>
          </w:p>
        </w:tc>
      </w:tr>
      <w:tr w:rsidR="000D478A" w:rsidTr="006D2333">
        <w:trPr>
          <w:divId w:val="1104499930"/>
        </w:trPr>
        <w:tc>
          <w:tcPr>
            <w:tcW w:w="1384"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30日≤N＜184日</w:t>
            </w:r>
          </w:p>
        </w:tc>
        <w:tc>
          <w:tcPr>
            <w:tcW w:w="1048"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0.5%</w:t>
            </w:r>
          </w:p>
        </w:tc>
      </w:tr>
      <w:tr w:rsidR="000D478A" w:rsidTr="006D2333">
        <w:trPr>
          <w:divId w:val="1104499930"/>
        </w:trPr>
        <w:tc>
          <w:tcPr>
            <w:tcW w:w="1384"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N≥184日</w:t>
            </w:r>
          </w:p>
        </w:tc>
        <w:tc>
          <w:tcPr>
            <w:tcW w:w="1048"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0%</w:t>
            </w:r>
          </w:p>
        </w:tc>
      </w:tr>
    </w:tbl>
    <w:p w:rsidR="000D478A" w:rsidRDefault="000D478A">
      <w:pPr>
        <w:spacing w:line="360" w:lineRule="auto"/>
        <w:jc w:val="center"/>
        <w:divId w:val="1024791208"/>
        <w:rPr>
          <w:rFonts w:hint="eastAsia"/>
        </w:rPr>
      </w:pPr>
      <w:r>
        <w:rPr>
          <w:rFonts w:hint="eastAsia"/>
        </w:rPr>
        <w:t>长城兴华优选一年定开混合C</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6265"/>
        <w:gridCol w:w="2796"/>
      </w:tblGrid>
      <w:tr w:rsidR="000D478A" w:rsidTr="006D2333">
        <w:trPr>
          <w:divId w:val="1024791208"/>
        </w:trPr>
        <w:tc>
          <w:tcPr>
            <w:tcW w:w="5140"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 xml:space="preserve">赎回费率 </w:t>
            </w:r>
          </w:p>
        </w:tc>
      </w:tr>
      <w:tr w:rsidR="000D478A" w:rsidTr="006D2333">
        <w:trPr>
          <w:divId w:val="1024791208"/>
        </w:trPr>
        <w:tc>
          <w:tcPr>
            <w:tcW w:w="1384"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N＜7日</w:t>
            </w:r>
          </w:p>
        </w:tc>
        <w:tc>
          <w:tcPr>
            <w:tcW w:w="1048"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1.5%</w:t>
            </w:r>
          </w:p>
        </w:tc>
      </w:tr>
      <w:tr w:rsidR="000D478A" w:rsidTr="006D2333">
        <w:trPr>
          <w:divId w:val="1024791208"/>
        </w:trPr>
        <w:tc>
          <w:tcPr>
            <w:tcW w:w="1384"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7日≤N＜30日</w:t>
            </w:r>
          </w:p>
        </w:tc>
        <w:tc>
          <w:tcPr>
            <w:tcW w:w="1048"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0.5%</w:t>
            </w:r>
          </w:p>
        </w:tc>
      </w:tr>
      <w:tr w:rsidR="000D478A" w:rsidTr="006D2333">
        <w:trPr>
          <w:divId w:val="1024791208"/>
        </w:trPr>
        <w:tc>
          <w:tcPr>
            <w:tcW w:w="1384"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N≥30日</w:t>
            </w:r>
          </w:p>
        </w:tc>
        <w:tc>
          <w:tcPr>
            <w:tcW w:w="1048" w:type="dxa"/>
            <w:tcBorders>
              <w:top w:val="single" w:sz="4" w:space="0" w:color="000000"/>
              <w:left w:val="single" w:sz="4" w:space="0" w:color="000000"/>
              <w:bottom w:val="single" w:sz="4" w:space="0" w:color="000000"/>
              <w:right w:val="single" w:sz="4" w:space="0" w:color="000000"/>
            </w:tcBorders>
            <w:hideMark/>
          </w:tcPr>
          <w:p w:rsidR="000D478A" w:rsidRDefault="000D478A">
            <w:pPr>
              <w:jc w:val="center"/>
              <w:rPr>
                <w:rFonts w:hint="eastAsia"/>
              </w:rPr>
            </w:pPr>
            <w:r w:rsidRPr="006D2333">
              <w:rPr>
                <w:rFonts w:hint="eastAsia"/>
              </w:rPr>
              <w:t>0%</w:t>
            </w:r>
          </w:p>
        </w:tc>
      </w:tr>
    </w:tbl>
    <w:p w:rsidR="000D478A" w:rsidRDefault="000D478A">
      <w:pPr>
        <w:spacing w:line="360" w:lineRule="auto"/>
        <w:jc w:val="left"/>
        <w:rPr>
          <w:rFonts w:hint="eastAsia"/>
        </w:rPr>
      </w:pPr>
      <w:r>
        <w:rPr>
          <w:rFonts w:hint="eastAsia"/>
          <w:szCs w:val="21"/>
        </w:rPr>
        <w:t>注：1、A类基金份额的赎回费用由赎回本基金A类基金份额的基金份额持有人承担，在基金份额持有人赎回A类基金份额时收取。对持续持有期少于30日的投资人收取的赎回费全额计入基金财产；对持续持有期长于30日（含）但少于92日的投资人收取的赎回费中不低于总额的75%计入基金财产；对持续持有期长于92日（含）但少于184日的投资人收取的赎回费中不低于总额的50%计入基金财产；对持续持有期长于184日（含）的投资人收取的赎回费中不低于总额的25%计入基金财产。未计入基金财产的部分用于支付登记费和其他必要的手续费。</w:t>
      </w:r>
      <w:r>
        <w:rPr>
          <w:rFonts w:hint="eastAsia"/>
          <w:szCs w:val="21"/>
        </w:rPr>
        <w:br/>
        <w:t xml:space="preserve">　　2、C类基金份额赎回费用由赎回C类基金份额的基金份额持有人承担，在基金份额持有人赎回C类基金份额时收取。对C类基金份额持有人投资人收取的赎回费全额计入基金财产。</w:t>
      </w:r>
      <w:r>
        <w:rPr>
          <w:rFonts w:hint="eastAsia"/>
          <w:szCs w:val="21"/>
        </w:rPr>
        <w:br/>
        <w:t xml:space="preserve">　　3、基金管理人可以在基金合同的约定的范围内调整费率或收费方式，并最迟应于新的费率或收费方式实施日前依照《公开募集证券投资基金信息披露管理办法》的有关规定在规定媒介上公告。</w:t>
      </w:r>
    </w:p>
    <w:p w:rsidR="000D478A" w:rsidRDefault="000D478A">
      <w:pPr>
        <w:pStyle w:val="XBRLTitle2"/>
        <w:spacing w:before="156" w:line="360" w:lineRule="auto"/>
        <w:rPr>
          <w:rFonts w:hint="eastAsia"/>
        </w:rPr>
      </w:pPr>
      <w:bookmarkStart w:id="116" w:name="m403"/>
      <w:bookmarkStart w:id="117" w:name="_Toc34841037"/>
      <w:bookmarkStart w:id="118" w:name="_Toc17898192"/>
      <w:bookmarkStart w:id="119" w:name="_Toc17897946"/>
      <w:bookmarkStart w:id="120" w:name="_Toc481075061"/>
      <w:bookmarkStart w:id="121" w:name="_Toc490050014"/>
      <w:bookmarkStart w:id="122" w:name="_Toc512519493"/>
      <w:bookmarkStart w:id="123" w:name="_Toc513295855"/>
      <w:bookmarkStart w:id="124" w:name="_Toc513295905"/>
      <w:bookmarkStart w:id="125" w:name="_Toc34758528"/>
      <w:bookmarkStart w:id="126" w:name="m405_01_2550"/>
      <w:bookmarkEnd w:id="116"/>
      <w:proofErr w:type="spellStart"/>
      <w:r>
        <w:rPr>
          <w:rFonts w:hAnsi="宋体" w:hint="eastAsia"/>
        </w:rPr>
        <w:t>其他与赎回相关的事项</w:t>
      </w:r>
      <w:bookmarkEnd w:id="117"/>
      <w:bookmarkEnd w:id="118"/>
      <w:bookmarkEnd w:id="119"/>
      <w:bookmarkEnd w:id="120"/>
      <w:bookmarkEnd w:id="121"/>
      <w:bookmarkEnd w:id="122"/>
      <w:bookmarkEnd w:id="123"/>
      <w:bookmarkEnd w:id="124"/>
      <w:bookmarkEnd w:id="125"/>
      <w:proofErr w:type="spellEnd"/>
      <w:r>
        <w:rPr>
          <w:rFonts w:hAnsi="宋体" w:hint="eastAsia"/>
        </w:rPr>
        <w:t xml:space="preserve"> </w:t>
      </w:r>
    </w:p>
    <w:p w:rsidR="000D478A" w:rsidRDefault="000D478A">
      <w:pPr>
        <w:spacing w:line="360" w:lineRule="auto"/>
        <w:ind w:firstLineChars="200" w:firstLine="420"/>
        <w:rPr>
          <w:rFonts w:hint="eastAsia"/>
        </w:rPr>
      </w:pPr>
      <w:r>
        <w:rPr>
          <w:rFonts w:hint="eastAsia"/>
          <w:lang/>
        </w:rPr>
        <w:t>在开放期内，发生下列情形时，基金管理人可暂停接受投资人的赎回申请或延缓支付赎回款项：</w:t>
      </w:r>
      <w:r>
        <w:rPr>
          <w:rFonts w:hint="eastAsia"/>
          <w:lang/>
        </w:rPr>
        <w:br/>
        <w:t xml:space="preserve">　　1、因不可抗力导致基金管理人不能支付赎回款项。</w:t>
      </w:r>
      <w:r>
        <w:rPr>
          <w:rFonts w:hint="eastAsia"/>
          <w:lang/>
        </w:rPr>
        <w:br/>
        <w:t xml:space="preserve">　　2、发生基金合同规定的暂停基金资产估值情况时，基金管理人可暂停接受投资人的赎回申请或延缓支付赎回款项。</w:t>
      </w:r>
      <w:r>
        <w:rPr>
          <w:rFonts w:hint="eastAsia"/>
          <w:lang/>
        </w:rPr>
        <w:br/>
        <w:t xml:space="preserve">　　3、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r>
        <w:rPr>
          <w:rFonts w:hint="eastAsia"/>
          <w:lang/>
        </w:rPr>
        <w:br/>
        <w:t xml:space="preserve">　　4、证券、期货交易所或外汇市场交易时间非正常停市，导致基金管理人无法计算当日基金资产净值。</w:t>
      </w:r>
      <w:r>
        <w:rPr>
          <w:rFonts w:hint="eastAsia"/>
          <w:lang/>
        </w:rPr>
        <w:br/>
        <w:t xml:space="preserve">　　5、继续接受赎回申请将损害现有基金份额持有人利益的情形时，可暂停接受投资人的赎回申请。</w:t>
      </w:r>
      <w:r>
        <w:rPr>
          <w:rFonts w:hint="eastAsia"/>
          <w:lang/>
        </w:rPr>
        <w:br/>
        <w:t xml:space="preserve">　　6、法律法规规定或中国证监会认定的其他情形。</w:t>
      </w:r>
      <w:r>
        <w:rPr>
          <w:rFonts w:hint="eastAsia"/>
          <w:lang/>
        </w:rPr>
        <w:br/>
        <w:t xml:space="preserve">　　发生上述情形之一且基金管理人决定暂停接受基金份额持有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基金份额持有人在申请赎回时可事先选择将当日可能未获受理部分予以撤销。在暂停赎回的情况消除时，基金管理人应及时恢复赎回业务的办理并公告。开放期内因发生不可抗力等原因而发生暂停赎回情形的，开放期将按因不可抗力等原因而暂停赎回的时间相应延长。</w:t>
      </w:r>
    </w:p>
    <w:p w:rsidR="000D478A" w:rsidRDefault="000D478A">
      <w:pPr>
        <w:pStyle w:val="XBRLTitle1"/>
        <w:spacing w:before="156" w:line="360" w:lineRule="auto"/>
        <w:divId w:val="1871608368"/>
        <w:rPr>
          <w:rFonts w:hint="eastAsia"/>
        </w:rPr>
      </w:pPr>
      <w:bookmarkStart w:id="127" w:name="_Toc34758529"/>
      <w:bookmarkStart w:id="128" w:name="_Toc513295908"/>
      <w:bookmarkStart w:id="129" w:name="_Toc513295858"/>
      <w:bookmarkStart w:id="130" w:name="_Toc490050017"/>
      <w:bookmarkStart w:id="131" w:name="_Toc438646466"/>
      <w:bookmarkStart w:id="132" w:name="_Toc481075064"/>
      <w:bookmarkStart w:id="133" w:name="_Toc512519496"/>
      <w:bookmarkStart w:id="134" w:name="_Toc17897949"/>
      <w:bookmarkStart w:id="135" w:name="_Toc17898195"/>
      <w:bookmarkStart w:id="136" w:name="_Toc34841038"/>
      <w:bookmarkEnd w:id="126"/>
      <w:proofErr w:type="spellStart"/>
      <w:r>
        <w:rPr>
          <w:rFonts w:hAnsi="宋体" w:hint="eastAsia"/>
        </w:rPr>
        <w:t>日常转换业务</w:t>
      </w:r>
      <w:bookmarkEnd w:id="127"/>
      <w:bookmarkEnd w:id="128"/>
      <w:bookmarkEnd w:id="129"/>
      <w:bookmarkEnd w:id="130"/>
      <w:bookmarkEnd w:id="131"/>
      <w:bookmarkEnd w:id="132"/>
      <w:bookmarkEnd w:id="133"/>
      <w:bookmarkEnd w:id="134"/>
      <w:bookmarkEnd w:id="135"/>
      <w:bookmarkEnd w:id="136"/>
      <w:proofErr w:type="spellEnd"/>
      <w:r>
        <w:rPr>
          <w:rFonts w:hAnsi="宋体" w:hint="eastAsia"/>
        </w:rPr>
        <w:t xml:space="preserve"> </w:t>
      </w:r>
    </w:p>
    <w:p w:rsidR="000D478A" w:rsidRDefault="000D478A">
      <w:pPr>
        <w:pStyle w:val="XBRLTitle2"/>
        <w:spacing w:before="156" w:line="360" w:lineRule="auto"/>
        <w:divId w:val="971710756"/>
        <w:rPr>
          <w:rFonts w:hint="eastAsia"/>
        </w:rPr>
      </w:pPr>
      <w:bookmarkStart w:id="137" w:name="_Toc34758530"/>
      <w:bookmarkStart w:id="138" w:name="_Toc513295909"/>
      <w:bookmarkStart w:id="139" w:name="_Toc513295859"/>
      <w:bookmarkStart w:id="140" w:name="_Toc512519497"/>
      <w:bookmarkStart w:id="141" w:name="_Toc490050018"/>
      <w:bookmarkStart w:id="142" w:name="_Toc438646467"/>
      <w:bookmarkStart w:id="143" w:name="_Toc481075065"/>
      <w:bookmarkStart w:id="144" w:name="_Toc17897950"/>
      <w:bookmarkStart w:id="145" w:name="_Toc17898196"/>
      <w:bookmarkStart w:id="146" w:name="_Toc34841039"/>
      <w:bookmarkStart w:id="147" w:name="m501"/>
      <w:proofErr w:type="spellStart"/>
      <w:r>
        <w:rPr>
          <w:rFonts w:hAnsi="宋体" w:hint="eastAsia"/>
        </w:rPr>
        <w:t>转换费率</w:t>
      </w:r>
      <w:bookmarkEnd w:id="137"/>
      <w:bookmarkEnd w:id="138"/>
      <w:bookmarkEnd w:id="139"/>
      <w:bookmarkEnd w:id="140"/>
      <w:bookmarkEnd w:id="141"/>
      <w:bookmarkEnd w:id="142"/>
      <w:bookmarkEnd w:id="143"/>
      <w:bookmarkEnd w:id="144"/>
      <w:bookmarkEnd w:id="145"/>
      <w:bookmarkEnd w:id="146"/>
      <w:proofErr w:type="spellEnd"/>
      <w:r>
        <w:rPr>
          <w:rFonts w:hAnsi="宋体" w:hint="eastAsia"/>
        </w:rPr>
        <w:t xml:space="preserve"> </w:t>
      </w:r>
    </w:p>
    <w:p w:rsidR="000D478A" w:rsidRDefault="000D478A">
      <w:pPr>
        <w:spacing w:line="360" w:lineRule="auto"/>
        <w:ind w:firstLineChars="200" w:firstLine="420"/>
        <w:divId w:val="971710756"/>
        <w:rPr>
          <w:rFonts w:hint="eastAsia"/>
        </w:rPr>
      </w:pPr>
      <w:r>
        <w:rPr>
          <w:rFonts w:hint="eastAsia"/>
          <w:lang/>
        </w:rPr>
        <w:t>本基金仅在开放期开放转换业务。</w:t>
      </w:r>
      <w:r>
        <w:rPr>
          <w:rFonts w:hint="eastAsia"/>
          <w:lang/>
        </w:rPr>
        <w:br/>
        <w:t xml:space="preserve">　　1、基金转换费用由转出基金的赎回费和转出与转入基金的申购费补差二部分构成，具体收取情况视每次转换时两只基金的申购费率差异情况和赎回费率而定。基金转换费用由基金份额持有人承担。转入份额保留到小数点后两位，剩余部分舍去，舍去部分所代表的资产归转入基金财产所有。</w:t>
      </w:r>
      <w:r>
        <w:rPr>
          <w:rFonts w:hint="eastAsia"/>
          <w:lang/>
        </w:rPr>
        <w:br/>
        <w:t xml:space="preserve">　　（1）如转入基金的申购费率＞转出基金的申购费率</w:t>
      </w:r>
      <w:r>
        <w:rPr>
          <w:rFonts w:hint="eastAsia"/>
          <w:lang/>
        </w:rPr>
        <w:br/>
        <w:t xml:space="preserve">　　转出金额＝转出基金份额×转出基金当日基金份额净值</w:t>
      </w:r>
      <w:r>
        <w:rPr>
          <w:rFonts w:hint="eastAsia"/>
          <w:lang/>
        </w:rPr>
        <w:br/>
        <w:t xml:space="preserve">　　转出基金赎回费＝转出金额×转出基金赎回费率</w:t>
      </w:r>
      <w:r>
        <w:rPr>
          <w:rFonts w:hint="eastAsia"/>
          <w:lang/>
        </w:rPr>
        <w:br/>
        <w:t xml:space="preserve">　　转入总金额＝转出金额－转出基金赎回费</w:t>
      </w:r>
      <w:r>
        <w:rPr>
          <w:rFonts w:hint="eastAsia"/>
          <w:lang/>
        </w:rPr>
        <w:br/>
        <w:t xml:space="preserve">　　转入基金申购费补差费率＝转入基金适用申购费率－转出基金适用申购费率</w:t>
      </w:r>
      <w:r>
        <w:rPr>
          <w:rFonts w:hint="eastAsia"/>
          <w:lang/>
        </w:rPr>
        <w:br/>
        <w:t xml:space="preserve">　　转入基金申购费补差＝转入总金额－转入总金额/(1+转入基金申购费补差费率)</w:t>
      </w:r>
      <w:r>
        <w:rPr>
          <w:rFonts w:hint="eastAsia"/>
          <w:lang/>
        </w:rPr>
        <w:br/>
        <w:t xml:space="preserve">　　转入净金额＝转入总金额－转入基金申购费补差</w:t>
      </w:r>
      <w:r>
        <w:rPr>
          <w:rFonts w:hint="eastAsia"/>
          <w:lang/>
        </w:rPr>
        <w:br/>
        <w:t xml:space="preserve">　　转入份额＝转入净金额/转入基金当日基金份额净值</w:t>
      </w:r>
      <w:r>
        <w:rPr>
          <w:rFonts w:hint="eastAsia"/>
          <w:lang/>
        </w:rPr>
        <w:br/>
        <w:t xml:space="preserve">　　基金转换费用＝转出基金赎回费+转入基金申购费补差</w:t>
      </w:r>
      <w:r>
        <w:rPr>
          <w:rFonts w:hint="eastAsia"/>
          <w:lang/>
        </w:rPr>
        <w:br/>
        <w:t xml:space="preserve">　　（2）如转出基金的申购费率≥转入基金的申购费率</w:t>
      </w:r>
      <w:r>
        <w:rPr>
          <w:rFonts w:hint="eastAsia"/>
          <w:lang/>
        </w:rPr>
        <w:br/>
        <w:t xml:space="preserve">　　基金转换费用＝转出金额×转出基金赎回费率</w:t>
      </w:r>
      <w:r>
        <w:rPr>
          <w:rFonts w:hint="eastAsia"/>
          <w:lang/>
        </w:rPr>
        <w:br/>
        <w:t xml:space="preserve">　　2、对于实行级差申购费率(不同申购金额对应不同申购费率)的基金，以转入总金额对应的转出基金申购费率、转入基金申购费率计算申购补差费用；如转入总金额对应转出基金申购费或转入基金申购费为固定费用时，申购补差费用视为0。</w:t>
      </w:r>
      <w:r>
        <w:rPr>
          <w:rFonts w:hint="eastAsia"/>
          <w:lang/>
        </w:rPr>
        <w:br/>
        <w:t xml:space="preserve">　　3、转出基金赎回费计入转出基金基金资产的标准参见各基金招募说明书的约定。</w:t>
      </w:r>
      <w:r>
        <w:rPr>
          <w:rFonts w:hint="eastAsia"/>
          <w:lang/>
        </w:rPr>
        <w:br/>
        <w:t xml:space="preserve">　　4、计算基金转换费用所涉及的申购费率和赎回费率均按基金合同、更新的招募说明书规定费率执行，对于通过本公司网上交易、费率优惠活动期间发生的基金转换业务，按照本公司最新公告的相关费率计算基金转换费用。</w:t>
      </w:r>
      <w:r>
        <w:rPr>
          <w:rFonts w:hint="eastAsia"/>
          <w:lang/>
        </w:rPr>
        <w:br/>
        <w:t xml:space="preserve">　　5、基金转换计算示例</w:t>
      </w:r>
      <w:r>
        <w:rPr>
          <w:rFonts w:hint="eastAsia"/>
          <w:lang/>
        </w:rPr>
        <w:br/>
        <w:t xml:space="preserve">　　某基金份额持有人（非养老金客户）将持有的长城货币市场证券投资基金A类基金份额10万份转换为本基金A类基金份额，假设转换当日转入基金（本基金A类基金份额）份额净值是1.1500元，转出基金（长城货币市场证券投资基金A类基金份额）对应赎回费率为0，申购费补差费率为1.5%，则可得到的转换份额及基金转换费计算如下：</w:t>
      </w:r>
      <w:r>
        <w:rPr>
          <w:rFonts w:hint="eastAsia"/>
          <w:lang/>
        </w:rPr>
        <w:br/>
        <w:t xml:space="preserve">　　转出金额＝100,000×1＝100,000 元</w:t>
      </w:r>
      <w:r>
        <w:rPr>
          <w:rFonts w:hint="eastAsia"/>
          <w:lang/>
        </w:rPr>
        <w:br/>
        <w:t xml:space="preserve">　　转出基金赎回费＝0</w:t>
      </w:r>
      <w:r>
        <w:rPr>
          <w:rFonts w:hint="eastAsia"/>
          <w:lang/>
        </w:rPr>
        <w:br/>
        <w:t xml:space="preserve">　　转入总金额＝100,000－0＝100,000元</w:t>
      </w:r>
      <w:r>
        <w:rPr>
          <w:rFonts w:hint="eastAsia"/>
          <w:lang/>
        </w:rPr>
        <w:br/>
        <w:t xml:space="preserve">　　转入基金申购费补差＝100,000－100,000/(1+1.5%)＝1,477.83元</w:t>
      </w:r>
      <w:r>
        <w:rPr>
          <w:rFonts w:hint="eastAsia"/>
          <w:lang/>
        </w:rPr>
        <w:br/>
        <w:t xml:space="preserve">　　转入净金额＝100,000－1,477.83＝98,522.17元</w:t>
      </w:r>
      <w:r>
        <w:rPr>
          <w:rFonts w:hint="eastAsia"/>
          <w:lang/>
        </w:rPr>
        <w:br/>
        <w:t xml:space="preserve">　　转入份额＝98,522.17/1.1500＝85,671.45份</w:t>
      </w:r>
      <w:r>
        <w:rPr>
          <w:rFonts w:hint="eastAsia"/>
          <w:lang/>
        </w:rPr>
        <w:br/>
        <w:t xml:space="preserve">　　基金转换费＝0+1,477.83＝1,477.83元</w:t>
      </w:r>
      <w:r>
        <w:rPr>
          <w:rFonts w:hint="eastAsia"/>
          <w:lang/>
        </w:rPr>
        <w:br/>
        <w:t xml:space="preserve">　　即：该基金份额持有人完成本次转换后，可得到本基金A类基金份额85,671.45份。</w:t>
      </w:r>
    </w:p>
    <w:p w:rsidR="000D478A" w:rsidRDefault="000D478A">
      <w:pPr>
        <w:pStyle w:val="XBRLTitle2"/>
        <w:spacing w:before="156" w:line="360" w:lineRule="auto"/>
        <w:divId w:val="1701391786"/>
        <w:rPr>
          <w:rFonts w:hint="eastAsia"/>
        </w:rPr>
      </w:pPr>
      <w:bookmarkStart w:id="148" w:name="m502"/>
      <w:bookmarkStart w:id="149" w:name="_Toc438646470"/>
      <w:bookmarkStart w:id="150" w:name="m504"/>
      <w:bookmarkStart w:id="151" w:name="_Toc34758531"/>
      <w:bookmarkStart w:id="152" w:name="_Toc513295913"/>
      <w:bookmarkStart w:id="153" w:name="_Toc513295861"/>
      <w:bookmarkStart w:id="154" w:name="_Toc512519501"/>
      <w:bookmarkStart w:id="155" w:name="_Toc490050022"/>
      <w:bookmarkStart w:id="156" w:name="_Toc481075069"/>
      <w:bookmarkStart w:id="157" w:name="_Toc17897952"/>
      <w:bookmarkStart w:id="158" w:name="_Toc17898200"/>
      <w:bookmarkStart w:id="159" w:name="_Toc34841040"/>
      <w:bookmarkEnd w:id="147"/>
      <w:proofErr w:type="spellStart"/>
      <w:r>
        <w:rPr>
          <w:rFonts w:hAnsi="宋体" w:hint="eastAsia"/>
        </w:rPr>
        <w:t>其他与转换相关的事项</w:t>
      </w:r>
      <w:bookmarkEnd w:id="148"/>
      <w:bookmarkEnd w:id="149"/>
      <w:bookmarkEnd w:id="150"/>
      <w:bookmarkEnd w:id="151"/>
      <w:bookmarkEnd w:id="152"/>
      <w:bookmarkEnd w:id="153"/>
      <w:bookmarkEnd w:id="154"/>
      <w:bookmarkEnd w:id="155"/>
      <w:bookmarkEnd w:id="156"/>
      <w:bookmarkEnd w:id="157"/>
      <w:bookmarkEnd w:id="158"/>
      <w:bookmarkEnd w:id="159"/>
      <w:proofErr w:type="spellEnd"/>
      <w:r>
        <w:rPr>
          <w:rFonts w:hAnsi="宋体" w:hint="eastAsia"/>
        </w:rPr>
        <w:t xml:space="preserve"> </w:t>
      </w:r>
    </w:p>
    <w:p w:rsidR="000D478A" w:rsidRDefault="000D478A">
      <w:pPr>
        <w:spacing w:line="360" w:lineRule="auto"/>
        <w:ind w:firstLineChars="200" w:firstLine="420"/>
        <w:divId w:val="1701391786"/>
        <w:rPr>
          <w:rFonts w:hint="eastAsia"/>
        </w:rPr>
      </w:pPr>
      <w:r>
        <w:rPr>
          <w:rFonts w:hint="eastAsia"/>
          <w:kern w:val="0"/>
          <w:szCs w:val="21"/>
          <w:lang/>
        </w:rPr>
        <w:t>1、本次开通的基金转换业务仅适用于本公司旗下基金“前端收费”模式。</w:t>
      </w:r>
      <w:r>
        <w:rPr>
          <w:rFonts w:hint="eastAsia"/>
          <w:kern w:val="0"/>
          <w:szCs w:val="21"/>
          <w:lang/>
        </w:rPr>
        <w:br/>
        <w:t xml:space="preserve">　　2、基金转换只能在同一销售机构进行。转换的两只基金必须都是该销售机构销售的同一基金管理人管理的、在同一注册登记人处注册登记的基金。</w:t>
      </w:r>
      <w:r>
        <w:rPr>
          <w:rFonts w:hint="eastAsia"/>
          <w:kern w:val="0"/>
          <w:szCs w:val="21"/>
          <w:lang/>
        </w:rPr>
        <w:br/>
        <w:t xml:space="preserve">　　3、投资者办理基金转换业务时，拟转出的基金必须处于可赎回状态，拟转入的基金必须处于可申购状态。</w:t>
      </w:r>
      <w:r>
        <w:rPr>
          <w:rFonts w:hint="eastAsia"/>
          <w:kern w:val="0"/>
          <w:szCs w:val="21"/>
          <w:lang/>
        </w:rPr>
        <w:br/>
        <w:t xml:space="preserve">　　4、基金转换以份额为单位进行申请。转出基金份额必须是可用份额，并遵循各基金对赎回先后顺序的规定。</w:t>
      </w:r>
      <w:r>
        <w:rPr>
          <w:rFonts w:hint="eastAsia"/>
          <w:kern w:val="0"/>
          <w:szCs w:val="21"/>
          <w:lang/>
        </w:rPr>
        <w:br/>
        <w:t xml:space="preserve">　　5、基金转换采取未知价法，即基金的转换价格以转换申请受理当日各转出、转入基金的份额净值为基准进行计算。</w:t>
      </w:r>
      <w:r>
        <w:rPr>
          <w:rFonts w:hint="eastAsia"/>
          <w:kern w:val="0"/>
          <w:szCs w:val="21"/>
          <w:lang/>
        </w:rPr>
        <w:br/>
        <w:t xml:space="preserve">　　6、基金转换视同为转出基金的赎回和转入基金的申购，因此暂停基金转换的情形适用于相关基金合同关于暂停或拒绝申购、暂停赎回和巨额赎回的有关规定。</w:t>
      </w:r>
      <w:r>
        <w:rPr>
          <w:rFonts w:hint="eastAsia"/>
          <w:kern w:val="0"/>
          <w:szCs w:val="21"/>
          <w:lang/>
        </w:rPr>
        <w:br/>
        <w:t xml:space="preserve">　　7、基金份额转换后，原持有期限不延续计算。即转入份额在赎回或转出时，按持有时段适用的赎回费档次计算赎回费的，该持有时段为该部分份额转入确认日起至该部分份额赎回或转出确认日止的持有期限。</w:t>
      </w:r>
      <w:r>
        <w:rPr>
          <w:rFonts w:hint="eastAsia"/>
          <w:kern w:val="0"/>
          <w:szCs w:val="21"/>
          <w:lang/>
        </w:rPr>
        <w:br/>
        <w:t xml:space="preserve">　　本公司有权根据市场情况或法律法规变化调整上述转换的程序及有关限制，但最迟应在调整前依照《公开募集证券投资基金信息披露管理办法》的有关规定在规定媒介上公告。</w:t>
      </w:r>
      <w:r>
        <w:rPr>
          <w:rFonts w:hint="eastAsia"/>
          <w:kern w:val="0"/>
          <w:sz w:val="24"/>
        </w:rPr>
        <w:t xml:space="preserve"> </w:t>
      </w:r>
    </w:p>
    <w:p w:rsidR="000D478A" w:rsidRDefault="000D478A">
      <w:pPr>
        <w:pStyle w:val="XBRLTitle1"/>
        <w:spacing w:before="156" w:line="360" w:lineRule="auto"/>
        <w:rPr>
          <w:rFonts w:hint="eastAsia"/>
        </w:rPr>
      </w:pPr>
      <w:bookmarkStart w:id="160" w:name="_Toc3475852111"/>
      <w:bookmarkStart w:id="161" w:name="_Toc34841042"/>
      <w:proofErr w:type="spellStart"/>
      <w:r>
        <w:rPr>
          <w:rFonts w:hAnsi="宋体" w:hint="eastAsia"/>
        </w:rPr>
        <w:t>基金销售机构</w:t>
      </w:r>
      <w:bookmarkEnd w:id="31"/>
      <w:bookmarkEnd w:id="32"/>
      <w:bookmarkEnd w:id="33"/>
      <w:bookmarkEnd w:id="34"/>
      <w:bookmarkEnd w:id="35"/>
      <w:bookmarkEnd w:id="36"/>
      <w:bookmarkEnd w:id="37"/>
      <w:bookmarkEnd w:id="38"/>
      <w:bookmarkEnd w:id="160"/>
      <w:bookmarkEnd w:id="161"/>
      <w:proofErr w:type="spellEnd"/>
      <w:r>
        <w:rPr>
          <w:rFonts w:hAnsi="宋体" w:hint="eastAsia"/>
        </w:rPr>
        <w:t xml:space="preserve"> </w:t>
      </w:r>
    </w:p>
    <w:p w:rsidR="000D478A" w:rsidRDefault="000D478A">
      <w:pPr>
        <w:pStyle w:val="XBRLTitle2"/>
        <w:spacing w:before="156" w:line="360" w:lineRule="auto"/>
        <w:rPr>
          <w:rFonts w:hint="eastAsia"/>
        </w:rPr>
      </w:pPr>
      <w:bookmarkStart w:id="162" w:name="_Toc51346565811"/>
      <w:proofErr w:type="spellStart"/>
      <w:r>
        <w:rPr>
          <w:rFonts w:hAnsi="宋体" w:hint="eastAsia"/>
        </w:rPr>
        <w:t>场外销售机构</w:t>
      </w:r>
      <w:bookmarkEnd w:id="52"/>
      <w:bookmarkEnd w:id="53"/>
      <w:bookmarkEnd w:id="54"/>
      <w:bookmarkEnd w:id="55"/>
      <w:bookmarkEnd w:id="162"/>
      <w:proofErr w:type="spellEnd"/>
      <w:r>
        <w:rPr>
          <w:rFonts w:hAnsi="宋体" w:hint="eastAsia"/>
        </w:rPr>
        <w:t xml:space="preserve"> </w:t>
      </w:r>
    </w:p>
    <w:p w:rsidR="000D478A" w:rsidRDefault="000D478A">
      <w:pPr>
        <w:pStyle w:val="XBRLTitle3"/>
        <w:spacing w:before="156"/>
        <w:rPr>
          <w:rFonts w:hint="eastAsia"/>
        </w:rPr>
      </w:pPr>
      <w:bookmarkStart w:id="163" w:name="_Toc51346565911"/>
      <w:proofErr w:type="spellStart"/>
      <w:r>
        <w:rPr>
          <w:rFonts w:hint="eastAsia"/>
        </w:rPr>
        <w:t>直销机构</w:t>
      </w:r>
      <w:bookmarkEnd w:id="57"/>
      <w:bookmarkEnd w:id="58"/>
      <w:bookmarkEnd w:id="59"/>
      <w:bookmarkEnd w:id="163"/>
      <w:proofErr w:type="spellEnd"/>
      <w:r>
        <w:rPr>
          <w:rFonts w:hint="eastAsia"/>
          <w:lang w:eastAsia="zh-CN"/>
        </w:rPr>
        <w:t xml:space="preserve"> </w:t>
      </w:r>
    </w:p>
    <w:p w:rsidR="000D478A" w:rsidRDefault="000D478A">
      <w:pPr>
        <w:spacing w:line="360" w:lineRule="auto"/>
        <w:ind w:firstLineChars="200" w:firstLine="420"/>
        <w:rPr>
          <w:rFonts w:hint="eastAsia"/>
        </w:rPr>
      </w:pPr>
      <w:r>
        <w:rPr>
          <w:rFonts w:hint="eastAsia"/>
          <w:lang/>
        </w:rPr>
        <w:t>1、长城基金管理有限公司直销中心</w:t>
      </w:r>
      <w:r>
        <w:rPr>
          <w:rFonts w:hint="eastAsia"/>
          <w:lang/>
        </w:rPr>
        <w:br/>
        <w:t xml:space="preserve">　　地址：深圳市福田区莲花街道福新社区鹏程一路9号广电金融中心36层、38层、39层</w:t>
      </w:r>
      <w:r>
        <w:rPr>
          <w:rFonts w:hint="eastAsia"/>
          <w:lang/>
        </w:rPr>
        <w:br/>
        <w:t xml:space="preserve">　　电话：0755-29279128</w:t>
      </w:r>
      <w:r>
        <w:rPr>
          <w:rFonts w:hint="eastAsia"/>
          <w:lang/>
        </w:rPr>
        <w:br/>
        <w:t xml:space="preserve">　　传真：0755-29279124</w:t>
      </w:r>
      <w:r>
        <w:rPr>
          <w:rFonts w:hint="eastAsia"/>
          <w:lang/>
        </w:rPr>
        <w:br/>
        <w:t xml:space="preserve">　　联系人：余伟维</w:t>
      </w:r>
      <w:r>
        <w:rPr>
          <w:rFonts w:hint="eastAsia"/>
          <w:lang/>
        </w:rPr>
        <w:br/>
        <w:t xml:space="preserve">　　2、长城基金管理有限公司电子交易平台</w:t>
      </w:r>
      <w:r>
        <w:rPr>
          <w:rFonts w:hint="eastAsia"/>
          <w:lang/>
        </w:rPr>
        <w:br/>
        <w:t xml:space="preserve">　　移动客户端：长城基金APP</w:t>
      </w:r>
      <w:r>
        <w:rPr>
          <w:rFonts w:hint="eastAsia"/>
          <w:lang/>
        </w:rPr>
        <w:br/>
        <w:t xml:space="preserve">　　微信服务号：长城基金</w:t>
      </w:r>
    </w:p>
    <w:p w:rsidR="000D478A" w:rsidRDefault="000D478A">
      <w:pPr>
        <w:pStyle w:val="XBRLTitle3"/>
        <w:spacing w:before="156"/>
        <w:rPr>
          <w:rFonts w:hint="eastAsia"/>
        </w:rPr>
      </w:pPr>
      <w:bookmarkStart w:id="164" w:name="_Toc51346566011"/>
      <w:proofErr w:type="spellStart"/>
      <w:r>
        <w:rPr>
          <w:rFonts w:hint="eastAsia"/>
        </w:rPr>
        <w:t>场外非直销机构</w:t>
      </w:r>
      <w:bookmarkEnd w:id="61"/>
      <w:bookmarkEnd w:id="62"/>
      <w:bookmarkEnd w:id="63"/>
      <w:bookmarkEnd w:id="164"/>
      <w:proofErr w:type="spellEnd"/>
    </w:p>
    <w:p w:rsidR="000D478A" w:rsidRDefault="000D478A">
      <w:pPr>
        <w:spacing w:line="360" w:lineRule="auto"/>
        <w:ind w:firstLineChars="200" w:firstLine="420"/>
        <w:rPr>
          <w:rFonts w:hint="eastAsia"/>
        </w:rPr>
      </w:pPr>
      <w:r>
        <w:rPr>
          <w:rFonts w:hint="eastAsia"/>
          <w:kern w:val="0"/>
          <w:szCs w:val="21"/>
          <w:lang/>
        </w:rPr>
        <w:t>(1)华夏银行</w:t>
      </w:r>
      <w:r>
        <w:rPr>
          <w:rFonts w:hint="eastAsia"/>
          <w:kern w:val="0"/>
          <w:szCs w:val="21"/>
          <w:lang/>
        </w:rPr>
        <w:br/>
        <w:t xml:space="preserve">　　(2)交通银行</w:t>
      </w:r>
      <w:r>
        <w:rPr>
          <w:rFonts w:hint="eastAsia"/>
          <w:kern w:val="0"/>
          <w:szCs w:val="21"/>
          <w:lang/>
        </w:rPr>
        <w:br/>
        <w:t xml:space="preserve">　　(3)兴业银行</w:t>
      </w:r>
      <w:r>
        <w:rPr>
          <w:rFonts w:hint="eastAsia"/>
          <w:kern w:val="0"/>
          <w:szCs w:val="21"/>
          <w:lang/>
        </w:rPr>
        <w:br/>
        <w:t xml:space="preserve">　　(4)宁波银行</w:t>
      </w:r>
      <w:r>
        <w:rPr>
          <w:rFonts w:hint="eastAsia"/>
          <w:kern w:val="0"/>
          <w:szCs w:val="21"/>
          <w:lang/>
        </w:rPr>
        <w:br/>
        <w:t xml:space="preserve">　　(5)微众银行</w:t>
      </w:r>
      <w:r>
        <w:rPr>
          <w:rFonts w:hint="eastAsia"/>
          <w:kern w:val="0"/>
          <w:szCs w:val="21"/>
          <w:lang/>
        </w:rPr>
        <w:br/>
        <w:t xml:space="preserve">　　(6)江苏银行</w:t>
      </w:r>
      <w:r>
        <w:rPr>
          <w:rFonts w:hint="eastAsia"/>
          <w:kern w:val="0"/>
          <w:szCs w:val="21"/>
          <w:lang/>
        </w:rPr>
        <w:br/>
        <w:t xml:space="preserve">　　(7)南京银行</w:t>
      </w:r>
      <w:r>
        <w:rPr>
          <w:rFonts w:hint="eastAsia"/>
          <w:kern w:val="0"/>
          <w:szCs w:val="21"/>
          <w:lang/>
        </w:rPr>
        <w:br/>
        <w:t xml:space="preserve">　　(8)杭州银行</w:t>
      </w:r>
      <w:r>
        <w:rPr>
          <w:rFonts w:hint="eastAsia"/>
          <w:kern w:val="0"/>
          <w:szCs w:val="21"/>
          <w:lang/>
        </w:rPr>
        <w:br/>
        <w:t xml:space="preserve">　　(9)兴业银行银银平台</w:t>
      </w:r>
      <w:r>
        <w:rPr>
          <w:rFonts w:hint="eastAsia"/>
          <w:kern w:val="0"/>
          <w:szCs w:val="21"/>
          <w:lang/>
        </w:rPr>
        <w:br/>
        <w:t xml:space="preserve">　　(10)平安银行行E通</w:t>
      </w:r>
      <w:r>
        <w:rPr>
          <w:rFonts w:hint="eastAsia"/>
          <w:kern w:val="0"/>
          <w:szCs w:val="21"/>
          <w:lang/>
        </w:rPr>
        <w:br/>
        <w:t xml:space="preserve">　　(11)邮储银行（邮你同赢）</w:t>
      </w:r>
      <w:r>
        <w:rPr>
          <w:rFonts w:hint="eastAsia"/>
          <w:kern w:val="0"/>
          <w:szCs w:val="21"/>
          <w:lang/>
        </w:rPr>
        <w:br/>
        <w:t xml:space="preserve">　　(12)国泰海通</w:t>
      </w:r>
      <w:r>
        <w:rPr>
          <w:rFonts w:hint="eastAsia"/>
          <w:kern w:val="0"/>
          <w:szCs w:val="21"/>
          <w:lang/>
        </w:rPr>
        <w:br/>
        <w:t xml:space="preserve">　　(13)中信建投</w:t>
      </w:r>
      <w:r>
        <w:rPr>
          <w:rFonts w:hint="eastAsia"/>
          <w:kern w:val="0"/>
          <w:szCs w:val="21"/>
          <w:lang/>
        </w:rPr>
        <w:br/>
        <w:t xml:space="preserve">　　(14)招商证券</w:t>
      </w:r>
      <w:r>
        <w:rPr>
          <w:rFonts w:hint="eastAsia"/>
          <w:kern w:val="0"/>
          <w:szCs w:val="21"/>
          <w:lang/>
        </w:rPr>
        <w:br/>
        <w:t xml:space="preserve">　　(15)中信证券</w:t>
      </w:r>
      <w:r>
        <w:rPr>
          <w:rFonts w:hint="eastAsia"/>
          <w:kern w:val="0"/>
          <w:szCs w:val="21"/>
          <w:lang/>
        </w:rPr>
        <w:br/>
        <w:t xml:space="preserve">　　(16)银河证券</w:t>
      </w:r>
      <w:r>
        <w:rPr>
          <w:rFonts w:hint="eastAsia"/>
          <w:kern w:val="0"/>
          <w:szCs w:val="21"/>
          <w:lang/>
        </w:rPr>
        <w:br/>
        <w:t xml:space="preserve">　　(17)海通证券</w:t>
      </w:r>
      <w:r>
        <w:rPr>
          <w:rFonts w:hint="eastAsia"/>
          <w:kern w:val="0"/>
          <w:szCs w:val="21"/>
          <w:lang/>
        </w:rPr>
        <w:br/>
        <w:t xml:space="preserve">　　(18)申万宏源</w:t>
      </w:r>
      <w:r>
        <w:rPr>
          <w:rFonts w:hint="eastAsia"/>
          <w:kern w:val="0"/>
          <w:szCs w:val="21"/>
          <w:lang/>
        </w:rPr>
        <w:br/>
        <w:t xml:space="preserve">　　(19)长城证券</w:t>
      </w:r>
      <w:r>
        <w:rPr>
          <w:rFonts w:hint="eastAsia"/>
          <w:kern w:val="0"/>
          <w:szCs w:val="21"/>
          <w:lang/>
        </w:rPr>
        <w:br/>
        <w:t xml:space="preserve">　　(20)华泰证券</w:t>
      </w:r>
      <w:r>
        <w:rPr>
          <w:rFonts w:hint="eastAsia"/>
          <w:kern w:val="0"/>
          <w:szCs w:val="21"/>
          <w:lang/>
        </w:rPr>
        <w:br/>
        <w:t xml:space="preserve">　　(21)兴业证券</w:t>
      </w:r>
      <w:r>
        <w:rPr>
          <w:rFonts w:hint="eastAsia"/>
          <w:kern w:val="0"/>
          <w:szCs w:val="21"/>
          <w:lang/>
        </w:rPr>
        <w:br/>
        <w:t xml:space="preserve">　　(22)平安证券</w:t>
      </w:r>
      <w:r>
        <w:rPr>
          <w:rFonts w:hint="eastAsia"/>
          <w:kern w:val="0"/>
          <w:szCs w:val="21"/>
          <w:lang/>
        </w:rPr>
        <w:br/>
        <w:t xml:space="preserve">　　(23)华西证券</w:t>
      </w:r>
      <w:r>
        <w:rPr>
          <w:rFonts w:hint="eastAsia"/>
          <w:kern w:val="0"/>
          <w:szCs w:val="21"/>
          <w:lang/>
        </w:rPr>
        <w:br/>
        <w:t xml:space="preserve">　　(24)渤海证券</w:t>
      </w:r>
      <w:r>
        <w:rPr>
          <w:rFonts w:hint="eastAsia"/>
          <w:kern w:val="0"/>
          <w:szCs w:val="21"/>
          <w:lang/>
        </w:rPr>
        <w:br/>
        <w:t xml:space="preserve">　　(25)国信证券</w:t>
      </w:r>
      <w:r>
        <w:rPr>
          <w:rFonts w:hint="eastAsia"/>
          <w:kern w:val="0"/>
          <w:szCs w:val="21"/>
          <w:lang/>
        </w:rPr>
        <w:br/>
        <w:t xml:space="preserve">　　(26)国盛证券</w:t>
      </w:r>
      <w:r>
        <w:rPr>
          <w:rFonts w:hint="eastAsia"/>
          <w:kern w:val="0"/>
          <w:szCs w:val="21"/>
          <w:lang/>
        </w:rPr>
        <w:br/>
        <w:t xml:space="preserve">　　(27)国都证券</w:t>
      </w:r>
      <w:r>
        <w:rPr>
          <w:rFonts w:hint="eastAsia"/>
          <w:kern w:val="0"/>
          <w:szCs w:val="21"/>
          <w:lang/>
        </w:rPr>
        <w:br/>
        <w:t xml:space="preserve">　　(28)中信证券（华南）</w:t>
      </w:r>
      <w:r>
        <w:rPr>
          <w:rFonts w:hint="eastAsia"/>
          <w:kern w:val="0"/>
          <w:szCs w:val="21"/>
          <w:lang/>
        </w:rPr>
        <w:br/>
        <w:t xml:space="preserve">　　(29)中信证券（山东）</w:t>
      </w:r>
      <w:r>
        <w:rPr>
          <w:rFonts w:hint="eastAsia"/>
          <w:kern w:val="0"/>
          <w:szCs w:val="21"/>
          <w:lang/>
        </w:rPr>
        <w:br/>
        <w:t xml:space="preserve">　　(30)国投证券</w:t>
      </w:r>
      <w:r>
        <w:rPr>
          <w:rFonts w:hint="eastAsia"/>
          <w:kern w:val="0"/>
          <w:szCs w:val="21"/>
          <w:lang/>
        </w:rPr>
        <w:br/>
        <w:t xml:space="preserve">　　(31)光大证券</w:t>
      </w:r>
      <w:r>
        <w:rPr>
          <w:rFonts w:hint="eastAsia"/>
          <w:kern w:val="0"/>
          <w:szCs w:val="21"/>
          <w:lang/>
        </w:rPr>
        <w:br/>
        <w:t xml:space="preserve">　　(32)东海证券</w:t>
      </w:r>
      <w:r>
        <w:rPr>
          <w:rFonts w:hint="eastAsia"/>
          <w:kern w:val="0"/>
          <w:szCs w:val="21"/>
          <w:lang/>
        </w:rPr>
        <w:br/>
        <w:t xml:space="preserve">　　(33)金融街证券</w:t>
      </w:r>
      <w:r>
        <w:rPr>
          <w:rFonts w:hint="eastAsia"/>
          <w:kern w:val="0"/>
          <w:szCs w:val="21"/>
          <w:lang/>
        </w:rPr>
        <w:br/>
        <w:t xml:space="preserve">　　(34)中金财富证券</w:t>
      </w:r>
      <w:r>
        <w:rPr>
          <w:rFonts w:hint="eastAsia"/>
          <w:kern w:val="0"/>
          <w:szCs w:val="21"/>
          <w:lang/>
        </w:rPr>
        <w:br/>
        <w:t xml:space="preserve">　　(35)西部证券</w:t>
      </w:r>
      <w:r>
        <w:rPr>
          <w:rFonts w:hint="eastAsia"/>
          <w:kern w:val="0"/>
          <w:szCs w:val="21"/>
          <w:lang/>
        </w:rPr>
        <w:br/>
        <w:t xml:space="preserve">　　(36)长江证券</w:t>
      </w:r>
      <w:r>
        <w:rPr>
          <w:rFonts w:hint="eastAsia"/>
          <w:kern w:val="0"/>
          <w:szCs w:val="21"/>
          <w:lang/>
        </w:rPr>
        <w:br/>
        <w:t xml:space="preserve">　　(37)华宝证券</w:t>
      </w:r>
      <w:r>
        <w:rPr>
          <w:rFonts w:hint="eastAsia"/>
          <w:kern w:val="0"/>
          <w:szCs w:val="21"/>
          <w:lang/>
        </w:rPr>
        <w:br/>
        <w:t xml:space="preserve">　　(38)大同证券</w:t>
      </w:r>
      <w:r>
        <w:rPr>
          <w:rFonts w:hint="eastAsia"/>
          <w:kern w:val="0"/>
          <w:szCs w:val="21"/>
          <w:lang/>
        </w:rPr>
        <w:br/>
        <w:t xml:space="preserve">　　(39)东兴证券</w:t>
      </w:r>
      <w:r>
        <w:rPr>
          <w:rFonts w:hint="eastAsia"/>
          <w:kern w:val="0"/>
          <w:szCs w:val="21"/>
          <w:lang/>
        </w:rPr>
        <w:br/>
        <w:t xml:space="preserve">　　(40)信达证券</w:t>
      </w:r>
      <w:r>
        <w:rPr>
          <w:rFonts w:hint="eastAsia"/>
          <w:kern w:val="0"/>
          <w:szCs w:val="21"/>
          <w:lang/>
        </w:rPr>
        <w:br/>
        <w:t xml:space="preserve">　　(41)中信期货</w:t>
      </w:r>
      <w:r>
        <w:rPr>
          <w:rFonts w:hint="eastAsia"/>
          <w:kern w:val="0"/>
          <w:szCs w:val="21"/>
          <w:lang/>
        </w:rPr>
        <w:br/>
        <w:t xml:space="preserve">　　(42)申万宏源西部</w:t>
      </w:r>
      <w:r>
        <w:rPr>
          <w:rFonts w:hint="eastAsia"/>
          <w:kern w:val="0"/>
          <w:szCs w:val="21"/>
          <w:lang/>
        </w:rPr>
        <w:br/>
        <w:t xml:space="preserve">　　(43)国金证券</w:t>
      </w:r>
      <w:r>
        <w:rPr>
          <w:rFonts w:hint="eastAsia"/>
          <w:kern w:val="0"/>
          <w:szCs w:val="21"/>
          <w:lang/>
        </w:rPr>
        <w:br/>
        <w:t xml:space="preserve">　　(44)方正证券</w:t>
      </w:r>
      <w:r>
        <w:rPr>
          <w:rFonts w:hint="eastAsia"/>
          <w:kern w:val="0"/>
          <w:szCs w:val="21"/>
          <w:lang/>
        </w:rPr>
        <w:br/>
        <w:t xml:space="preserve">　　(45)华鑫证券</w:t>
      </w:r>
      <w:r>
        <w:rPr>
          <w:rFonts w:hint="eastAsia"/>
          <w:kern w:val="0"/>
          <w:szCs w:val="21"/>
          <w:lang/>
        </w:rPr>
        <w:br/>
        <w:t xml:space="preserve">　　(46)南京证券</w:t>
      </w:r>
      <w:r>
        <w:rPr>
          <w:rFonts w:hint="eastAsia"/>
          <w:kern w:val="0"/>
          <w:szCs w:val="21"/>
          <w:lang/>
        </w:rPr>
        <w:br/>
        <w:t xml:space="preserve">　　(47)湘财证券</w:t>
      </w:r>
      <w:r>
        <w:rPr>
          <w:rFonts w:hint="eastAsia"/>
          <w:kern w:val="0"/>
          <w:szCs w:val="21"/>
          <w:lang/>
        </w:rPr>
        <w:br/>
        <w:t xml:space="preserve">　　(48)东方财富证券</w:t>
      </w:r>
      <w:r>
        <w:rPr>
          <w:rFonts w:hint="eastAsia"/>
          <w:kern w:val="0"/>
          <w:szCs w:val="21"/>
          <w:lang/>
        </w:rPr>
        <w:br/>
        <w:t xml:space="preserve">　　(49)东北证券</w:t>
      </w:r>
      <w:r>
        <w:rPr>
          <w:rFonts w:hint="eastAsia"/>
          <w:kern w:val="0"/>
          <w:szCs w:val="21"/>
          <w:lang/>
        </w:rPr>
        <w:br/>
        <w:t xml:space="preserve">　　(50)天风证券</w:t>
      </w:r>
      <w:r>
        <w:rPr>
          <w:rFonts w:hint="eastAsia"/>
          <w:kern w:val="0"/>
          <w:szCs w:val="21"/>
          <w:lang/>
        </w:rPr>
        <w:br/>
        <w:t xml:space="preserve">　　(51)上海证券</w:t>
      </w:r>
      <w:r>
        <w:rPr>
          <w:rFonts w:hint="eastAsia"/>
          <w:kern w:val="0"/>
          <w:szCs w:val="21"/>
          <w:lang/>
        </w:rPr>
        <w:br/>
        <w:t xml:space="preserve">　　(52)东吴证券</w:t>
      </w:r>
      <w:r>
        <w:rPr>
          <w:rFonts w:hint="eastAsia"/>
          <w:kern w:val="0"/>
          <w:szCs w:val="21"/>
          <w:lang/>
        </w:rPr>
        <w:br/>
        <w:t xml:space="preserve">　　(53)五矿证券</w:t>
      </w:r>
      <w:r>
        <w:rPr>
          <w:rFonts w:hint="eastAsia"/>
          <w:kern w:val="0"/>
          <w:szCs w:val="21"/>
          <w:lang/>
        </w:rPr>
        <w:br/>
        <w:t xml:space="preserve">　　(54)华金证券</w:t>
      </w:r>
      <w:r>
        <w:rPr>
          <w:rFonts w:hint="eastAsia"/>
          <w:kern w:val="0"/>
          <w:szCs w:val="21"/>
          <w:lang/>
        </w:rPr>
        <w:br/>
        <w:t xml:space="preserve">　　(55)第一创业证券</w:t>
      </w:r>
      <w:r>
        <w:rPr>
          <w:rFonts w:hint="eastAsia"/>
          <w:kern w:val="0"/>
          <w:szCs w:val="21"/>
          <w:lang/>
        </w:rPr>
        <w:br/>
        <w:t xml:space="preserve">　　(56)麦高证券</w:t>
      </w:r>
      <w:r>
        <w:rPr>
          <w:rFonts w:hint="eastAsia"/>
          <w:kern w:val="0"/>
          <w:szCs w:val="21"/>
          <w:lang/>
        </w:rPr>
        <w:br/>
        <w:t xml:space="preserve">　　(57)天府证券</w:t>
      </w:r>
      <w:r>
        <w:rPr>
          <w:rFonts w:hint="eastAsia"/>
          <w:kern w:val="0"/>
          <w:szCs w:val="21"/>
          <w:lang/>
        </w:rPr>
        <w:br/>
        <w:t xml:space="preserve">　　(58)蚂蚁基金</w:t>
      </w:r>
      <w:r>
        <w:rPr>
          <w:rFonts w:hint="eastAsia"/>
          <w:kern w:val="0"/>
          <w:szCs w:val="21"/>
          <w:lang/>
        </w:rPr>
        <w:br/>
        <w:t xml:space="preserve">　　(59)众禄基金</w:t>
      </w:r>
      <w:r>
        <w:rPr>
          <w:rFonts w:hint="eastAsia"/>
          <w:kern w:val="0"/>
          <w:szCs w:val="21"/>
          <w:lang/>
        </w:rPr>
        <w:br/>
        <w:t xml:space="preserve">　　(60)诺亚正行</w:t>
      </w:r>
      <w:r>
        <w:rPr>
          <w:rFonts w:hint="eastAsia"/>
          <w:kern w:val="0"/>
          <w:szCs w:val="21"/>
          <w:lang/>
        </w:rPr>
        <w:br/>
        <w:t xml:space="preserve">　　(61)天天基金</w:t>
      </w:r>
      <w:r>
        <w:rPr>
          <w:rFonts w:hint="eastAsia"/>
          <w:kern w:val="0"/>
          <w:szCs w:val="21"/>
          <w:lang/>
        </w:rPr>
        <w:br/>
        <w:t xml:space="preserve">　　(62)浦领基金</w:t>
      </w:r>
      <w:r>
        <w:rPr>
          <w:rFonts w:hint="eastAsia"/>
          <w:kern w:val="0"/>
          <w:szCs w:val="21"/>
          <w:lang/>
        </w:rPr>
        <w:br/>
        <w:t xml:space="preserve">　　(63)展恒基金</w:t>
      </w:r>
      <w:r>
        <w:rPr>
          <w:rFonts w:hint="eastAsia"/>
          <w:kern w:val="0"/>
          <w:szCs w:val="21"/>
          <w:lang/>
        </w:rPr>
        <w:br/>
        <w:t xml:space="preserve">　　(64)和讯信息</w:t>
      </w:r>
      <w:r>
        <w:rPr>
          <w:rFonts w:hint="eastAsia"/>
          <w:kern w:val="0"/>
          <w:szCs w:val="21"/>
          <w:lang/>
        </w:rPr>
        <w:br/>
        <w:t xml:space="preserve">　　(65)好买基金</w:t>
      </w:r>
      <w:r>
        <w:rPr>
          <w:rFonts w:hint="eastAsia"/>
          <w:kern w:val="0"/>
          <w:szCs w:val="21"/>
          <w:lang/>
        </w:rPr>
        <w:br/>
        <w:t xml:space="preserve">　　(66)盈米基金</w:t>
      </w:r>
      <w:r>
        <w:rPr>
          <w:rFonts w:hint="eastAsia"/>
          <w:kern w:val="0"/>
          <w:szCs w:val="21"/>
          <w:lang/>
        </w:rPr>
        <w:br/>
        <w:t xml:space="preserve">　　(67)中正达广</w:t>
      </w:r>
      <w:r>
        <w:rPr>
          <w:rFonts w:hint="eastAsia"/>
          <w:kern w:val="0"/>
          <w:szCs w:val="21"/>
          <w:lang/>
        </w:rPr>
        <w:br/>
        <w:t xml:space="preserve">　　(68)利得基金</w:t>
      </w:r>
      <w:r>
        <w:rPr>
          <w:rFonts w:hint="eastAsia"/>
          <w:kern w:val="0"/>
          <w:szCs w:val="21"/>
          <w:lang/>
        </w:rPr>
        <w:br/>
        <w:t xml:space="preserve">　　(69)金斧子</w:t>
      </w:r>
      <w:r>
        <w:rPr>
          <w:rFonts w:hint="eastAsia"/>
          <w:kern w:val="0"/>
          <w:szCs w:val="21"/>
          <w:lang/>
        </w:rPr>
        <w:br/>
        <w:t xml:space="preserve">　　(70)肯特瑞</w:t>
      </w:r>
      <w:r>
        <w:rPr>
          <w:rFonts w:hint="eastAsia"/>
          <w:kern w:val="0"/>
          <w:szCs w:val="21"/>
          <w:lang/>
        </w:rPr>
        <w:br/>
        <w:t xml:space="preserve">　　(71)汇成基金</w:t>
      </w:r>
      <w:r>
        <w:rPr>
          <w:rFonts w:hint="eastAsia"/>
          <w:kern w:val="0"/>
          <w:szCs w:val="21"/>
          <w:lang/>
        </w:rPr>
        <w:br/>
        <w:t xml:space="preserve">　　(72)万得基金</w:t>
      </w:r>
      <w:r>
        <w:rPr>
          <w:rFonts w:hint="eastAsia"/>
          <w:kern w:val="0"/>
          <w:szCs w:val="21"/>
          <w:lang/>
        </w:rPr>
        <w:br/>
        <w:t xml:space="preserve">　　(73)新兰德</w:t>
      </w:r>
      <w:r>
        <w:rPr>
          <w:rFonts w:hint="eastAsia"/>
          <w:kern w:val="0"/>
          <w:szCs w:val="21"/>
          <w:lang/>
        </w:rPr>
        <w:br/>
        <w:t xml:space="preserve">　　(74)联泰基金</w:t>
      </w:r>
      <w:r>
        <w:rPr>
          <w:rFonts w:hint="eastAsia"/>
          <w:kern w:val="0"/>
          <w:szCs w:val="21"/>
          <w:lang/>
        </w:rPr>
        <w:br/>
        <w:t xml:space="preserve">　　(75)奕丰基金</w:t>
      </w:r>
      <w:r>
        <w:rPr>
          <w:rFonts w:hint="eastAsia"/>
          <w:kern w:val="0"/>
          <w:szCs w:val="21"/>
          <w:lang/>
        </w:rPr>
        <w:br/>
        <w:t xml:space="preserve">　　(76)同花顺</w:t>
      </w:r>
      <w:r>
        <w:rPr>
          <w:rFonts w:hint="eastAsia"/>
          <w:kern w:val="0"/>
          <w:szCs w:val="21"/>
          <w:lang/>
        </w:rPr>
        <w:br/>
        <w:t xml:space="preserve">　　(77)长量基金</w:t>
      </w:r>
      <w:r>
        <w:rPr>
          <w:rFonts w:hint="eastAsia"/>
          <w:kern w:val="0"/>
          <w:szCs w:val="21"/>
          <w:lang/>
        </w:rPr>
        <w:br/>
        <w:t xml:space="preserve">　　(78)雪球基金</w:t>
      </w:r>
      <w:r>
        <w:rPr>
          <w:rFonts w:hint="eastAsia"/>
          <w:kern w:val="0"/>
          <w:szCs w:val="21"/>
          <w:lang/>
        </w:rPr>
        <w:br/>
        <w:t xml:space="preserve">　　(79)基煜基金</w:t>
      </w:r>
      <w:r>
        <w:rPr>
          <w:rFonts w:hint="eastAsia"/>
          <w:kern w:val="0"/>
          <w:szCs w:val="21"/>
          <w:lang/>
        </w:rPr>
        <w:br/>
        <w:t xml:space="preserve">　　(80)大智慧</w:t>
      </w:r>
      <w:r>
        <w:rPr>
          <w:rFonts w:hint="eastAsia"/>
          <w:kern w:val="0"/>
          <w:szCs w:val="21"/>
          <w:lang/>
        </w:rPr>
        <w:br/>
        <w:t xml:space="preserve">　　(81)腾安基金</w:t>
      </w:r>
      <w:r>
        <w:rPr>
          <w:rFonts w:hint="eastAsia"/>
          <w:kern w:val="0"/>
          <w:szCs w:val="21"/>
          <w:lang/>
        </w:rPr>
        <w:br/>
        <w:t xml:space="preserve">　　(82)创金启富</w:t>
      </w:r>
      <w:r>
        <w:rPr>
          <w:rFonts w:hint="eastAsia"/>
          <w:kern w:val="0"/>
          <w:szCs w:val="21"/>
          <w:lang/>
        </w:rPr>
        <w:br/>
        <w:t xml:space="preserve">　　(83)大连网金</w:t>
      </w:r>
      <w:r>
        <w:rPr>
          <w:rFonts w:hint="eastAsia"/>
          <w:kern w:val="0"/>
          <w:szCs w:val="21"/>
          <w:lang/>
        </w:rPr>
        <w:br/>
        <w:t xml:space="preserve">　　(84)度小满基金</w:t>
      </w:r>
      <w:r>
        <w:rPr>
          <w:rFonts w:hint="eastAsia"/>
          <w:kern w:val="0"/>
          <w:szCs w:val="21"/>
          <w:lang/>
        </w:rPr>
        <w:br/>
        <w:t xml:space="preserve">　　(85)普益基金</w:t>
      </w:r>
      <w:r>
        <w:rPr>
          <w:rFonts w:hint="eastAsia"/>
          <w:kern w:val="0"/>
          <w:szCs w:val="21"/>
          <w:lang/>
        </w:rPr>
        <w:br/>
        <w:t xml:space="preserve">　　(86)玄元保险</w:t>
      </w:r>
      <w:r>
        <w:rPr>
          <w:rFonts w:hint="eastAsia"/>
          <w:kern w:val="0"/>
          <w:szCs w:val="21"/>
          <w:lang/>
        </w:rPr>
        <w:br/>
        <w:t xml:space="preserve">　　(87)阳光人寿保险</w:t>
      </w:r>
      <w:r>
        <w:rPr>
          <w:rFonts w:hint="eastAsia"/>
          <w:kern w:val="0"/>
          <w:szCs w:val="21"/>
          <w:lang/>
        </w:rPr>
        <w:br/>
        <w:t xml:space="preserve">　　(88)泰信财富</w:t>
      </w:r>
      <w:r>
        <w:rPr>
          <w:rFonts w:hint="eastAsia"/>
          <w:kern w:val="0"/>
          <w:szCs w:val="21"/>
          <w:lang/>
        </w:rPr>
        <w:br/>
        <w:t xml:space="preserve">　　(89)招赢通</w:t>
      </w:r>
      <w:r>
        <w:rPr>
          <w:rFonts w:hint="eastAsia"/>
          <w:kern w:val="0"/>
          <w:szCs w:val="21"/>
          <w:lang/>
        </w:rPr>
        <w:br/>
        <w:t xml:space="preserve">　　(90)中国人寿保险</w:t>
      </w:r>
      <w:r>
        <w:rPr>
          <w:rFonts w:hint="eastAsia"/>
          <w:kern w:val="0"/>
          <w:szCs w:val="21"/>
          <w:lang/>
        </w:rPr>
        <w:br/>
        <w:t xml:space="preserve">　　(91)华源证券（鑫理财）</w:t>
      </w:r>
      <w:r>
        <w:rPr>
          <w:rFonts w:hint="eastAsia"/>
          <w:kern w:val="0"/>
          <w:szCs w:val="21"/>
          <w:lang/>
        </w:rPr>
        <w:br/>
        <w:t xml:space="preserve">　　(92)博时财富</w:t>
      </w:r>
      <w:r>
        <w:rPr>
          <w:rFonts w:hint="eastAsia"/>
          <w:kern w:val="0"/>
          <w:szCs w:val="21"/>
          <w:lang/>
        </w:rPr>
        <w:br/>
        <w:t xml:space="preserve">　　(93)上海陆享</w:t>
      </w:r>
      <w:r>
        <w:rPr>
          <w:rFonts w:hint="eastAsia"/>
          <w:kern w:val="0"/>
          <w:szCs w:val="21"/>
          <w:lang/>
        </w:rPr>
        <w:br/>
        <w:t xml:space="preserve">　　(94)华夏财富</w:t>
      </w:r>
      <w:r>
        <w:rPr>
          <w:rFonts w:hint="eastAsia"/>
          <w:kern w:val="0"/>
          <w:szCs w:val="21"/>
          <w:lang/>
        </w:rPr>
        <w:br/>
        <w:t xml:space="preserve">　　(95)中欧财富</w:t>
      </w:r>
      <w:r>
        <w:rPr>
          <w:rFonts w:hint="eastAsia"/>
          <w:kern w:val="0"/>
          <w:szCs w:val="21"/>
          <w:lang/>
        </w:rPr>
        <w:br/>
        <w:t xml:space="preserve">　　(96)易方达财富</w:t>
      </w:r>
      <w:r>
        <w:rPr>
          <w:rFonts w:hint="eastAsia"/>
          <w:kern w:val="0"/>
          <w:szCs w:val="21"/>
          <w:lang/>
        </w:rPr>
        <w:br/>
        <w:t xml:space="preserve">　　上述代销机构的网址及客户服务电话等信息详见本基金管理人网站。基金管理人可以根据相关法律法规要求，调整本基金的代销机构，并及时在本基金管理人网站公示。</w:t>
      </w:r>
      <w:r>
        <w:rPr>
          <w:rFonts w:hint="eastAsia"/>
          <w:kern w:val="0"/>
          <w:sz w:val="24"/>
        </w:rPr>
        <w:t xml:space="preserve"> </w:t>
      </w:r>
    </w:p>
    <w:p w:rsidR="000D478A" w:rsidRDefault="000D478A">
      <w:pPr>
        <w:pStyle w:val="XBRLTitle2"/>
        <w:spacing w:before="156"/>
        <w:divId w:val="1710915029"/>
        <w:rPr>
          <w:rFonts w:hint="eastAsia"/>
        </w:rPr>
      </w:pPr>
      <w:bookmarkStart w:id="165" w:name="_Toc3475852411"/>
      <w:bookmarkStart w:id="166" w:name="_Toc34841044"/>
      <w:proofErr w:type="spellStart"/>
      <w:r>
        <w:rPr>
          <w:rFonts w:hint="eastAsia"/>
        </w:rPr>
        <w:t>场内销售机构</w:t>
      </w:r>
      <w:bookmarkEnd w:id="72"/>
      <w:bookmarkEnd w:id="73"/>
      <w:bookmarkEnd w:id="74"/>
      <w:bookmarkEnd w:id="75"/>
      <w:bookmarkEnd w:id="76"/>
      <w:bookmarkEnd w:id="77"/>
      <w:bookmarkEnd w:id="78"/>
      <w:bookmarkEnd w:id="79"/>
      <w:bookmarkEnd w:id="80"/>
      <w:bookmarkEnd w:id="81"/>
      <w:bookmarkEnd w:id="82"/>
      <w:bookmarkEnd w:id="83"/>
      <w:bookmarkEnd w:id="84"/>
      <w:bookmarkEnd w:id="165"/>
      <w:bookmarkEnd w:id="166"/>
      <w:proofErr w:type="spellEnd"/>
    </w:p>
    <w:p w:rsidR="000D478A" w:rsidRDefault="000D478A">
      <w:pPr>
        <w:spacing w:line="360" w:lineRule="auto"/>
        <w:ind w:firstLineChars="200" w:firstLine="420"/>
        <w:divId w:val="1710915029"/>
        <w:rPr>
          <w:rFonts w:hint="eastAsia"/>
        </w:rPr>
      </w:pPr>
      <w:r>
        <w:rPr>
          <w:rFonts w:hint="eastAsia"/>
          <w:lang/>
        </w:rPr>
        <w:t>无</w:t>
      </w:r>
    </w:p>
    <w:p w:rsidR="000D478A" w:rsidRDefault="000D478A">
      <w:pPr>
        <w:pStyle w:val="XBRLTitle1"/>
        <w:spacing w:before="156" w:line="360" w:lineRule="auto"/>
        <w:rPr>
          <w:rFonts w:hint="eastAsia"/>
        </w:rPr>
      </w:pPr>
      <w:bookmarkStart w:id="167" w:name="_Toc3475853211"/>
      <w:bookmarkStart w:id="168" w:name="_Toc34841045"/>
      <w:proofErr w:type="spellStart"/>
      <w:r>
        <w:rPr>
          <w:rFonts w:hAnsi="宋体" w:hint="eastAsia"/>
        </w:rPr>
        <w:t>基金份额净值公告</w:t>
      </w:r>
      <w:proofErr w:type="spellEnd"/>
      <w:r>
        <w:rPr>
          <w:rFonts w:hAnsi="宋体" w:hint="eastAsia"/>
        </w:rPr>
        <w:t>/</w:t>
      </w:r>
      <w:proofErr w:type="spellStart"/>
      <w:r>
        <w:rPr>
          <w:rFonts w:hAnsi="宋体" w:hint="eastAsia"/>
        </w:rPr>
        <w:t>基金收益公告的披露安排</w:t>
      </w:r>
      <w:bookmarkEnd w:id="167"/>
      <w:bookmarkEnd w:id="168"/>
      <w:proofErr w:type="spellEnd"/>
      <w:r>
        <w:rPr>
          <w:rFonts w:hAnsi="宋体" w:hint="eastAsia"/>
        </w:rPr>
        <w:t xml:space="preserve"> </w:t>
      </w:r>
    </w:p>
    <w:p w:rsidR="000D478A" w:rsidRDefault="000D478A">
      <w:pPr>
        <w:spacing w:line="360" w:lineRule="auto"/>
        <w:ind w:firstLineChars="200" w:firstLine="420"/>
        <w:rPr>
          <w:rFonts w:hint="eastAsia"/>
        </w:rPr>
      </w:pPr>
      <w:r>
        <w:rPr>
          <w:rFonts w:hint="eastAsia"/>
          <w:lang/>
        </w:rPr>
        <w:t>《基金合同》生效后，在封闭期内，基金管理人应当至少每周在规定网站披露一次各类基金份额净值和各类基金份额累计净值。</w:t>
      </w:r>
      <w:r>
        <w:rPr>
          <w:rFonts w:hint="eastAsia"/>
          <w:lang/>
        </w:rPr>
        <w:br/>
        <w:t xml:space="preserve">　　在开放期内，基金管理人应当在不晚于每个开放日的次日，通过规定网站、基金销售机构网站或者营业网点披露开放日的各类基金份额净值和各类基金份额累计净值。</w:t>
      </w:r>
      <w:r>
        <w:rPr>
          <w:rFonts w:hint="eastAsia"/>
          <w:lang/>
        </w:rPr>
        <w:br/>
        <w:t xml:space="preserve">　　基金管理人应当在不晚于半年度和年度最后一日的次日，在规定网站披露半年度和年度最后一日的各类基金份额净值和各类基金份额累计净值。</w:t>
      </w:r>
    </w:p>
    <w:p w:rsidR="000D478A" w:rsidRDefault="000D478A">
      <w:pPr>
        <w:pStyle w:val="XBRLTitle1"/>
        <w:spacing w:before="156" w:line="360" w:lineRule="auto"/>
        <w:rPr>
          <w:rFonts w:hint="eastAsia"/>
        </w:rPr>
      </w:pPr>
      <w:bookmarkStart w:id="169" w:name="_Toc3475853212"/>
      <w:bookmarkStart w:id="170" w:name="_Toc34841046"/>
      <w:proofErr w:type="spellStart"/>
      <w:r>
        <w:rPr>
          <w:rFonts w:hAnsi="宋体" w:hint="eastAsia"/>
        </w:rPr>
        <w:t>其他需要提示的事项</w:t>
      </w:r>
      <w:bookmarkEnd w:id="16"/>
      <w:bookmarkEnd w:id="17"/>
      <w:bookmarkEnd w:id="18"/>
      <w:bookmarkEnd w:id="19"/>
      <w:bookmarkEnd w:id="20"/>
      <w:bookmarkEnd w:id="21"/>
      <w:bookmarkEnd w:id="22"/>
      <w:bookmarkEnd w:id="23"/>
      <w:bookmarkEnd w:id="39"/>
      <w:bookmarkEnd w:id="40"/>
      <w:bookmarkEnd w:id="169"/>
      <w:bookmarkEnd w:id="170"/>
      <w:proofErr w:type="spellEnd"/>
      <w:r>
        <w:rPr>
          <w:rFonts w:hAnsi="宋体" w:hint="eastAsia"/>
        </w:rPr>
        <w:t xml:space="preserve"> </w:t>
      </w:r>
    </w:p>
    <w:bookmarkEnd w:id="11"/>
    <w:p w:rsidR="000D478A" w:rsidRDefault="000D478A">
      <w:pPr>
        <w:spacing w:line="360" w:lineRule="auto"/>
        <w:ind w:firstLineChars="200" w:firstLine="420"/>
        <w:rPr>
          <w:rFonts w:hint="eastAsia"/>
        </w:rPr>
      </w:pPr>
      <w:r>
        <w:rPr>
          <w:rFonts w:hint="eastAsia"/>
          <w:lang/>
        </w:rPr>
        <w:t>1、本基金以定期开放方式运作，开放期内投资人可办理基金份额申购、赎回等业务，开放期内未赎回的基金份额将自动转入下一个封闭期，本基金在封闭期内不办理申购、赎回等业务。根据本基金《基金合同》约定，本基金将自2026年1月21日起进入下一个封闭期，敬请投资人根据自身情况妥善做好交易安排。</w:t>
      </w:r>
      <w:r>
        <w:rPr>
          <w:rFonts w:hint="eastAsia"/>
          <w:lang/>
        </w:rPr>
        <w:br/>
        <w:t xml:space="preserve">　　2、本公告仅对本基金本次开放期开放申购、赎回、转换业务等相关事项予以说明。投资人欲了解本基金的详细情况，请阅读本基金的《基金合同》、《招募说明书》，还可拨打本公司的客户服务电话（400-8868-666）咨询或登录本公司网站（www.ccfund.com.cn）查询。</w:t>
      </w:r>
      <w:r>
        <w:rPr>
          <w:rFonts w:hint="eastAsia"/>
          <w:lang/>
        </w:rPr>
        <w:br/>
        <w:t xml:space="preserve">　　特此公告。</w:t>
      </w:r>
      <w:bookmarkEnd w:id="12"/>
      <w:bookmarkEnd w:id="13"/>
      <w:bookmarkEnd w:id="24"/>
      <w:bookmarkEnd w:id="25"/>
      <w:bookmarkEnd w:id="26"/>
      <w:bookmarkEnd w:id="27"/>
      <w:r>
        <w:rPr>
          <w:rFonts w:hint="eastAsia"/>
          <w:lang/>
        </w:rPr>
        <w:t xml:space="preserve"> </w:t>
      </w:r>
    </w:p>
    <w:p w:rsidR="000D478A" w:rsidRDefault="000D478A">
      <w:pPr>
        <w:spacing w:line="360" w:lineRule="auto"/>
        <w:ind w:firstLineChars="600" w:firstLine="1446"/>
        <w:jc w:val="left"/>
        <w:rPr>
          <w:rFonts w:hint="eastAsia"/>
        </w:rPr>
      </w:pPr>
      <w:r>
        <w:rPr>
          <w:rFonts w:hint="eastAsia"/>
          <w:b/>
          <w:bCs/>
          <w:sz w:val="24"/>
          <w:szCs w:val="30"/>
        </w:rPr>
        <w:t xml:space="preserve">　 </w:t>
      </w:r>
    </w:p>
    <w:p w:rsidR="000D478A" w:rsidRDefault="000D478A">
      <w:pPr>
        <w:spacing w:line="360" w:lineRule="auto"/>
        <w:ind w:firstLineChars="600" w:firstLine="1446"/>
        <w:jc w:val="left"/>
        <w:rPr>
          <w:rFonts w:hint="eastAsia"/>
        </w:rPr>
      </w:pPr>
      <w:r>
        <w:rPr>
          <w:rFonts w:hint="eastAsia"/>
          <w:b/>
          <w:bCs/>
          <w:sz w:val="24"/>
          <w:szCs w:val="30"/>
        </w:rPr>
        <w:t xml:space="preserve">　 </w:t>
      </w:r>
    </w:p>
    <w:p w:rsidR="000D478A" w:rsidRDefault="000D478A">
      <w:pPr>
        <w:spacing w:line="360" w:lineRule="auto"/>
        <w:ind w:firstLineChars="600" w:firstLine="1446"/>
        <w:jc w:val="right"/>
        <w:rPr>
          <w:rFonts w:hint="eastAsia"/>
        </w:rPr>
      </w:pPr>
      <w:r>
        <w:rPr>
          <w:rFonts w:hint="eastAsia"/>
          <w:b/>
          <w:bCs/>
          <w:sz w:val="24"/>
          <w:szCs w:val="24"/>
        </w:rPr>
        <w:t>长城基金管理有限公司</w:t>
      </w:r>
    </w:p>
    <w:p w:rsidR="000D478A" w:rsidRDefault="000D478A">
      <w:pPr>
        <w:spacing w:line="360" w:lineRule="auto"/>
        <w:ind w:firstLineChars="600" w:firstLine="1446"/>
        <w:jc w:val="right"/>
        <w:rPr>
          <w:rFonts w:hint="eastAsia"/>
        </w:rPr>
      </w:pPr>
      <w:r>
        <w:rPr>
          <w:rFonts w:hint="eastAsia"/>
          <w:b/>
          <w:bCs/>
          <w:sz w:val="24"/>
          <w:szCs w:val="24"/>
        </w:rPr>
        <w:t>2025年12月17日</w:t>
      </w:r>
      <w:bookmarkEnd w:id="28"/>
      <w:r>
        <w:rPr>
          <w:rFonts w:hint="eastAsia"/>
          <w:b/>
          <w:bCs/>
          <w:sz w:val="24"/>
          <w:szCs w:val="24"/>
        </w:rPr>
        <w:t xml:space="preserve"> </w:t>
      </w:r>
    </w:p>
    <w:sectPr w:rsidR="000D478A">
      <w:pgSz w:w="11907" w:h="16839"/>
      <w:pgMar w:top="1440" w:right="1531" w:bottom="1134" w:left="1531" w:header="851" w:footer="992" w:gutter="0"/>
      <w:pgNumType w:start="1"/>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2333"/>
    <w:rsid w:val="000D478A"/>
    <w:rsid w:val="00255E62"/>
    <w:rsid w:val="00475609"/>
    <w:rsid w:val="00674EBD"/>
    <w:rsid w:val="006D23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pPr>
      <w:ind w:leftChars="200" w:left="420"/>
    </w:pPr>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left"/>
    </w:pPr>
    <w:rPr>
      <w:rFonts w:hAnsi="Cambria"/>
      <w:sz w:val="24"/>
      <w:szCs w:val="32"/>
    </w:rPr>
  </w:style>
  <w:style w:type="paragraph" w:customStyle="1" w:styleId="XBRLTitle2">
    <w:name w:val="XBRLTitle2"/>
    <w:basedOn w:val="aa"/>
    <w:next w:val="4"/>
    <w:qFormat/>
    <w:pPr>
      <w:keepNext w:val="0"/>
      <w:keepLines w:val="0"/>
      <w:numPr>
        <w:ilvl w:val="1"/>
        <w:numId w:val="2"/>
      </w:numPr>
      <w:spacing w:beforeLines="50" w:after="0" w:line="240" w:lineRule="auto"/>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560478300">
      <w:marLeft w:val="0"/>
      <w:marRight w:val="0"/>
      <w:marTop w:val="0"/>
      <w:marBottom w:val="0"/>
      <w:divBdr>
        <w:top w:val="none" w:sz="0" w:space="0" w:color="auto"/>
        <w:left w:val="none" w:sz="0" w:space="0" w:color="auto"/>
        <w:bottom w:val="none" w:sz="0" w:space="0" w:color="auto"/>
        <w:right w:val="none" w:sz="0" w:space="0" w:color="auto"/>
      </w:divBdr>
      <w:divsChild>
        <w:div w:id="1378774261">
          <w:marLeft w:val="0"/>
          <w:marRight w:val="0"/>
          <w:marTop w:val="0"/>
          <w:marBottom w:val="0"/>
          <w:divBdr>
            <w:top w:val="none" w:sz="0" w:space="0" w:color="auto"/>
            <w:left w:val="none" w:sz="0" w:space="0" w:color="auto"/>
            <w:bottom w:val="none" w:sz="0" w:space="0" w:color="auto"/>
            <w:right w:val="none" w:sz="0" w:space="0" w:color="auto"/>
          </w:divBdr>
          <w:divsChild>
            <w:div w:id="1024791208">
              <w:marLeft w:val="0"/>
              <w:marRight w:val="0"/>
              <w:marTop w:val="0"/>
              <w:marBottom w:val="0"/>
              <w:divBdr>
                <w:top w:val="none" w:sz="0" w:space="0" w:color="auto"/>
                <w:left w:val="none" w:sz="0" w:space="0" w:color="auto"/>
                <w:bottom w:val="none" w:sz="0" w:space="0" w:color="auto"/>
                <w:right w:val="none" w:sz="0" w:space="0" w:color="auto"/>
              </w:divBdr>
            </w:div>
            <w:div w:id="11044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5885">
      <w:marLeft w:val="0"/>
      <w:marRight w:val="0"/>
      <w:marTop w:val="0"/>
      <w:marBottom w:val="0"/>
      <w:divBdr>
        <w:top w:val="none" w:sz="0" w:space="0" w:color="auto"/>
        <w:left w:val="none" w:sz="0" w:space="0" w:color="auto"/>
        <w:bottom w:val="none" w:sz="0" w:space="0" w:color="auto"/>
        <w:right w:val="none" w:sz="0" w:space="0" w:color="auto"/>
      </w:divBdr>
    </w:div>
    <w:div w:id="1251889590">
      <w:marLeft w:val="0"/>
      <w:marRight w:val="0"/>
      <w:marTop w:val="0"/>
      <w:marBottom w:val="0"/>
      <w:divBdr>
        <w:top w:val="none" w:sz="0" w:space="0" w:color="auto"/>
        <w:left w:val="none" w:sz="0" w:space="0" w:color="auto"/>
        <w:bottom w:val="none" w:sz="0" w:space="0" w:color="auto"/>
        <w:right w:val="none" w:sz="0" w:space="0" w:color="auto"/>
      </w:divBdr>
    </w:div>
    <w:div w:id="1369799003">
      <w:marLeft w:val="0"/>
      <w:marRight w:val="0"/>
      <w:marTop w:val="0"/>
      <w:marBottom w:val="0"/>
      <w:divBdr>
        <w:top w:val="none" w:sz="0" w:space="0" w:color="auto"/>
        <w:left w:val="none" w:sz="0" w:space="0" w:color="auto"/>
        <w:bottom w:val="none" w:sz="0" w:space="0" w:color="auto"/>
        <w:right w:val="none" w:sz="0" w:space="0" w:color="auto"/>
      </w:divBdr>
      <w:divsChild>
        <w:div w:id="1069961527">
          <w:marLeft w:val="0"/>
          <w:marRight w:val="0"/>
          <w:marTop w:val="0"/>
          <w:marBottom w:val="0"/>
          <w:divBdr>
            <w:top w:val="none" w:sz="0" w:space="0" w:color="auto"/>
            <w:left w:val="none" w:sz="0" w:space="0" w:color="auto"/>
            <w:bottom w:val="none" w:sz="0" w:space="0" w:color="auto"/>
            <w:right w:val="none" w:sz="0" w:space="0" w:color="auto"/>
          </w:divBdr>
          <w:divsChild>
            <w:div w:id="666637593">
              <w:marLeft w:val="0"/>
              <w:marRight w:val="0"/>
              <w:marTop w:val="0"/>
              <w:marBottom w:val="0"/>
              <w:divBdr>
                <w:top w:val="none" w:sz="0" w:space="0" w:color="auto"/>
                <w:left w:val="none" w:sz="0" w:space="0" w:color="auto"/>
                <w:bottom w:val="none" w:sz="0" w:space="0" w:color="auto"/>
                <w:right w:val="none" w:sz="0" w:space="0" w:color="auto"/>
              </w:divBdr>
            </w:div>
            <w:div w:id="19881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5029">
      <w:marLeft w:val="0"/>
      <w:marRight w:val="0"/>
      <w:marTop w:val="0"/>
      <w:marBottom w:val="0"/>
      <w:divBdr>
        <w:top w:val="none" w:sz="0" w:space="0" w:color="auto"/>
        <w:left w:val="none" w:sz="0" w:space="0" w:color="auto"/>
        <w:bottom w:val="none" w:sz="0" w:space="0" w:color="auto"/>
        <w:right w:val="none" w:sz="0" w:space="0" w:color="auto"/>
      </w:divBdr>
    </w:div>
    <w:div w:id="1871608368">
      <w:marLeft w:val="0"/>
      <w:marRight w:val="0"/>
      <w:marTop w:val="0"/>
      <w:marBottom w:val="0"/>
      <w:divBdr>
        <w:top w:val="none" w:sz="0" w:space="0" w:color="auto"/>
        <w:left w:val="none" w:sz="0" w:space="0" w:color="auto"/>
        <w:bottom w:val="none" w:sz="0" w:space="0" w:color="auto"/>
        <w:right w:val="none" w:sz="0" w:space="0" w:color="auto"/>
      </w:divBdr>
      <w:divsChild>
        <w:div w:id="971710756">
          <w:marLeft w:val="0"/>
          <w:marRight w:val="0"/>
          <w:marTop w:val="0"/>
          <w:marBottom w:val="0"/>
          <w:divBdr>
            <w:top w:val="none" w:sz="0" w:space="0" w:color="auto"/>
            <w:left w:val="none" w:sz="0" w:space="0" w:color="auto"/>
            <w:bottom w:val="none" w:sz="0" w:space="0" w:color="auto"/>
            <w:right w:val="none" w:sz="0" w:space="0" w:color="auto"/>
          </w:divBdr>
        </w:div>
        <w:div w:id="170139178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A7588-EBDD-4994-8983-9B157F1C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7232</Characters>
  <Application>Microsoft Office Word</Application>
  <DocSecurity>4</DocSecurity>
  <Lines>60</Lines>
  <Paragraphs>16</Paragraphs>
  <ScaleCrop>false</ScaleCrop>
  <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