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563C1">
      <w:pPr>
        <w:pStyle w:val="msonormalfy"/>
        <w:spacing w:line="276" w:lineRule="auto"/>
        <w:rPr>
          <w:b/>
          <w:bCs/>
        </w:rPr>
      </w:pPr>
      <w:r>
        <w:rPr>
          <w:rFonts w:hint="eastAsia"/>
          <w:b/>
          <w:bCs/>
        </w:rPr>
        <w:t>嘉合磐昇纯债债券型证券投资基金</w:t>
      </w:r>
    </w:p>
    <w:p w:rsidR="00000000" w:rsidRDefault="006563C1">
      <w:pPr>
        <w:pStyle w:val="msonormalfy"/>
        <w:spacing w:line="276" w:lineRule="auto"/>
        <w:rPr>
          <w:b/>
          <w:bCs/>
        </w:rPr>
      </w:pPr>
      <w:r>
        <w:rPr>
          <w:b/>
          <w:bCs/>
        </w:rPr>
        <w:t>暂停大额申购（</w:t>
      </w:r>
      <w:r>
        <w:rPr>
          <w:rFonts w:hint="eastAsia"/>
          <w:b/>
          <w:bCs/>
        </w:rPr>
        <w:t>含</w:t>
      </w:r>
      <w:r>
        <w:rPr>
          <w:b/>
          <w:bCs/>
        </w:rPr>
        <w:t>转换转入、定期定额投资）</w:t>
      </w:r>
      <w:r>
        <w:rPr>
          <w:rFonts w:hint="eastAsia"/>
          <w:b/>
          <w:bCs/>
        </w:rPr>
        <w:t>业务</w:t>
      </w:r>
      <w:r>
        <w:rPr>
          <w:b/>
          <w:bCs/>
        </w:rPr>
        <w:t>的公告</w:t>
      </w:r>
    </w:p>
    <w:p w:rsidR="00000000" w:rsidRDefault="006563C1">
      <w:pPr>
        <w:pStyle w:val="msonormalfy"/>
        <w:spacing w:line="276" w:lineRule="auto"/>
        <w:rPr>
          <w:sz w:val="24"/>
          <w:szCs w:val="24"/>
        </w:rPr>
      </w:pPr>
      <w:r>
        <w:rPr>
          <w:rFonts w:hint="eastAsia"/>
          <w:b/>
          <w:bCs/>
          <w:sz w:val="24"/>
          <w:szCs w:val="24"/>
        </w:rPr>
        <w:t>公告</w:t>
      </w:r>
      <w:r>
        <w:rPr>
          <w:b/>
          <w:bCs/>
          <w:sz w:val="24"/>
          <w:szCs w:val="24"/>
        </w:rPr>
        <w:t>送出日期：</w:t>
      </w:r>
      <w:r>
        <w:rPr>
          <w:b/>
          <w:bCs/>
          <w:sz w:val="24"/>
          <w:szCs w:val="24"/>
        </w:rPr>
        <w:t>202</w:t>
      </w:r>
      <w:r>
        <w:rPr>
          <w:rFonts w:hint="eastAsia"/>
          <w:b/>
          <w:bCs/>
          <w:sz w:val="24"/>
          <w:szCs w:val="24"/>
        </w:rPr>
        <w:t>5</w:t>
      </w:r>
      <w:r>
        <w:rPr>
          <w:b/>
          <w:bCs/>
          <w:sz w:val="24"/>
          <w:szCs w:val="24"/>
        </w:rPr>
        <w:t>年</w:t>
      </w:r>
      <w:r>
        <w:rPr>
          <w:b/>
          <w:bCs/>
          <w:sz w:val="24"/>
          <w:szCs w:val="24"/>
        </w:rPr>
        <w:t>1</w:t>
      </w:r>
      <w:r>
        <w:rPr>
          <w:rFonts w:hint="eastAsia"/>
          <w:b/>
          <w:bCs/>
          <w:sz w:val="24"/>
          <w:szCs w:val="24"/>
        </w:rPr>
        <w:t>2</w:t>
      </w:r>
      <w:r>
        <w:rPr>
          <w:b/>
          <w:bCs/>
          <w:sz w:val="24"/>
          <w:szCs w:val="24"/>
        </w:rPr>
        <w:t>月</w:t>
      </w:r>
      <w:r>
        <w:rPr>
          <w:rFonts w:hint="eastAsia"/>
          <w:b/>
          <w:bCs/>
          <w:sz w:val="24"/>
          <w:szCs w:val="24"/>
        </w:rPr>
        <w:t>17</w:t>
      </w:r>
      <w:r>
        <w:rPr>
          <w:b/>
          <w:bCs/>
          <w:sz w:val="24"/>
          <w:szCs w:val="24"/>
        </w:rPr>
        <w:t>日</w:t>
      </w:r>
    </w:p>
    <w:p w:rsidR="00000000" w:rsidRDefault="006563C1">
      <w:pPr>
        <w:pStyle w:val="biaogecenter"/>
        <w:spacing w:line="276" w:lineRule="auto"/>
        <w:rPr>
          <w:rFonts w:ascii="Times New Roman" w:hAnsi="Times New Roman" w:cs="Times New Roman"/>
        </w:rPr>
      </w:pPr>
    </w:p>
    <w:p w:rsidR="00000000" w:rsidRDefault="006563C1">
      <w:pPr>
        <w:pStyle w:val="dazhangjie"/>
        <w:spacing w:line="276" w:lineRule="auto"/>
        <w:rPr>
          <w:rFonts w:hint="eastAsia"/>
        </w:rPr>
      </w:pPr>
      <w:r>
        <w:rPr>
          <w:rFonts w:ascii="Times New Roman" w:hAnsi="Times New Roman" w:cs="Times New Roman"/>
          <w:b/>
          <w:bCs/>
        </w:rPr>
        <w:t>1</w:t>
      </w:r>
      <w:r>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
          <w:bCs/>
        </w:rPr>
        <w:t>公告基本信息</w:t>
      </w:r>
    </w:p>
    <w:tbl>
      <w:tblPr>
        <w:tblW w:w="9639" w:type="dxa"/>
        <w:tblInd w:w="108" w:type="dxa"/>
        <w:tblLook w:val="0000"/>
      </w:tblPr>
      <w:tblGrid>
        <w:gridCol w:w="1701"/>
        <w:gridCol w:w="3119"/>
        <w:gridCol w:w="1572"/>
        <w:gridCol w:w="1550"/>
        <w:gridCol w:w="1697"/>
      </w:tblGrid>
      <w:tr w:rsidR="00000000">
        <w:tc>
          <w:tcPr>
            <w:tcW w:w="4820"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pPr>
            <w:r>
              <w:t>基金名称</w:t>
            </w:r>
          </w:p>
        </w:tc>
        <w:tc>
          <w:tcPr>
            <w:tcW w:w="4819" w:type="dxa"/>
            <w:gridSpan w:val="3"/>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cs="Times New Roman" w:hint="eastAsia"/>
              </w:rPr>
            </w:pPr>
            <w:r>
              <w:rPr>
                <w:rFonts w:cs="Times New Roman" w:hint="eastAsia"/>
              </w:rPr>
              <w:t>嘉合磐昇纯债债券型证券投资基金</w:t>
            </w:r>
          </w:p>
        </w:tc>
      </w:tr>
      <w:tr w:rsidR="00000000">
        <w:tc>
          <w:tcPr>
            <w:tcW w:w="4820"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pPr>
            <w:r>
              <w:t>基金简称</w:t>
            </w:r>
          </w:p>
        </w:tc>
        <w:tc>
          <w:tcPr>
            <w:tcW w:w="4819" w:type="dxa"/>
            <w:gridSpan w:val="3"/>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hint="eastAsia"/>
              </w:rPr>
            </w:pPr>
            <w:r>
              <w:rPr>
                <w:rFonts w:hint="eastAsia"/>
              </w:rPr>
              <w:t>嘉合</w:t>
            </w:r>
            <w:r>
              <w:rPr>
                <w:rFonts w:hint="eastAsia"/>
              </w:rPr>
              <w:t>磐昇纯债</w:t>
            </w:r>
          </w:p>
        </w:tc>
      </w:tr>
      <w:tr w:rsidR="00000000">
        <w:tc>
          <w:tcPr>
            <w:tcW w:w="4820"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基金主代码</w:t>
            </w:r>
          </w:p>
        </w:tc>
        <w:tc>
          <w:tcPr>
            <w:tcW w:w="4819" w:type="dxa"/>
            <w:gridSpan w:val="3"/>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cs="Times New Roman"/>
              </w:rPr>
            </w:pPr>
            <w:r>
              <w:rPr>
                <w:rFonts w:cs="Times New Roman" w:hint="eastAsia"/>
              </w:rPr>
              <w:t>007332</w:t>
            </w:r>
          </w:p>
        </w:tc>
      </w:tr>
      <w:tr w:rsidR="00000000">
        <w:tc>
          <w:tcPr>
            <w:tcW w:w="4820"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基金管理人名称</w:t>
            </w:r>
          </w:p>
        </w:tc>
        <w:tc>
          <w:tcPr>
            <w:tcW w:w="4819" w:type="dxa"/>
            <w:gridSpan w:val="3"/>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cs="Times New Roman"/>
              </w:rPr>
            </w:pPr>
            <w:r>
              <w:rPr>
                <w:rFonts w:cs="Times New Roman"/>
              </w:rPr>
              <w:t>嘉合基金管理有限公司</w:t>
            </w:r>
          </w:p>
        </w:tc>
      </w:tr>
      <w:tr w:rsidR="00000000">
        <w:tc>
          <w:tcPr>
            <w:tcW w:w="4820"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公告依据</w:t>
            </w:r>
          </w:p>
        </w:tc>
        <w:tc>
          <w:tcPr>
            <w:tcW w:w="4819" w:type="dxa"/>
            <w:gridSpan w:val="3"/>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cs="Times New Roman"/>
              </w:rPr>
              <w:t>根据《中华人民共和国证券投资基金法》、《公开募集证券投资基金运作管理办法》等法律法规以及《</w:t>
            </w:r>
            <w:r>
              <w:rPr>
                <w:rFonts w:cs="Times New Roman" w:hint="eastAsia"/>
              </w:rPr>
              <w:t>嘉合磐昇纯债债券型证券投资基金</w:t>
            </w:r>
            <w:r>
              <w:rPr>
                <w:rFonts w:cs="Times New Roman"/>
              </w:rPr>
              <w:t>基金合同》、《</w:t>
            </w:r>
            <w:r>
              <w:rPr>
                <w:rFonts w:cs="Times New Roman" w:hint="eastAsia"/>
              </w:rPr>
              <w:t>嘉合磐昇纯债债券型证券投资基金</w:t>
            </w:r>
            <w:r>
              <w:rPr>
                <w:rFonts w:cs="Times New Roman"/>
              </w:rPr>
              <w:t>招募说明书</w:t>
            </w:r>
            <w:r>
              <w:rPr>
                <w:rFonts w:cs="Times New Roman" w:hint="eastAsia"/>
              </w:rPr>
              <w:t>（更新）</w:t>
            </w:r>
            <w:r>
              <w:rPr>
                <w:rFonts w:cs="Times New Roman"/>
              </w:rPr>
              <w:t>》</w:t>
            </w:r>
          </w:p>
        </w:tc>
      </w:tr>
      <w:tr w:rsidR="00000000">
        <w:tc>
          <w:tcPr>
            <w:tcW w:w="1701" w:type="dxa"/>
            <w:vMerge w:val="restart"/>
            <w:tcBorders>
              <w:top w:val="single" w:sz="8" w:space="0" w:color="000000"/>
              <w:left w:val="single" w:sz="8" w:space="0" w:color="000000"/>
              <w:bottom w:val="single" w:sz="8" w:space="0" w:color="000000"/>
              <w:right w:val="single" w:sz="8" w:space="0" w:color="000000"/>
            </w:tcBorders>
            <w:vAlign w:val="center"/>
          </w:tcPr>
          <w:p w:rsidR="00000000" w:rsidRDefault="006563C1">
            <w:pPr>
              <w:widowControl/>
              <w:spacing w:line="276" w:lineRule="auto"/>
              <w:jc w:val="left"/>
              <w:rPr>
                <w:kern w:val="0"/>
                <w:sz w:val="24"/>
                <w:szCs w:val="24"/>
              </w:rPr>
            </w:pPr>
            <w:r>
              <w:rPr>
                <w:rFonts w:ascii="宋体" w:hAnsi="宋体" w:cs="宋体"/>
                <w:kern w:val="0"/>
                <w:sz w:val="24"/>
                <w:szCs w:val="24"/>
              </w:rPr>
              <w:t>暂停相关业务的起始日、金额及原因</w:t>
            </w:r>
            <w:r>
              <w:rPr>
                <w:rFonts w:ascii="宋体" w:hAnsi="宋体" w:cs="宋体"/>
                <w:kern w:val="0"/>
                <w:sz w:val="24"/>
                <w:szCs w:val="24"/>
              </w:rPr>
              <w:t>说明</w:t>
            </w:r>
          </w:p>
        </w:tc>
        <w:tc>
          <w:tcPr>
            <w:tcW w:w="3119" w:type="dxa"/>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暂停大额申购起始日</w:t>
            </w:r>
          </w:p>
        </w:tc>
        <w:tc>
          <w:tcPr>
            <w:tcW w:w="4819" w:type="dxa"/>
            <w:gridSpan w:val="3"/>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202</w:t>
            </w:r>
            <w:r>
              <w:rPr>
                <w:rFonts w:ascii="Times New Roman" w:hAnsi="Times New Roman" w:cs="Times New Roman" w:hint="eastAsia"/>
              </w:rPr>
              <w:t>5</w:t>
            </w:r>
            <w:r>
              <w:rPr>
                <w:rFonts w:ascii="Times New Roman" w:hAnsi="Times New Roman" w:cs="Times New Roman"/>
              </w:rPr>
              <w:t>年</w:t>
            </w:r>
            <w:r>
              <w:rPr>
                <w:rFonts w:ascii="Times New Roman" w:hAnsi="Times New Roman" w:cs="Times New Roman"/>
              </w:rPr>
              <w:t>1</w:t>
            </w:r>
            <w:r>
              <w:rPr>
                <w:rFonts w:ascii="Times New Roman" w:hAnsi="Times New Roman" w:cs="Times New Roman" w:hint="eastAsia"/>
              </w:rPr>
              <w:t>2</w:t>
            </w:r>
            <w:r>
              <w:rPr>
                <w:rFonts w:ascii="Times New Roman" w:hAnsi="Times New Roman" w:cs="Times New Roman"/>
              </w:rPr>
              <w:t>月</w:t>
            </w:r>
            <w:r>
              <w:rPr>
                <w:rFonts w:ascii="Times New Roman" w:hAnsi="Times New Roman" w:cs="Times New Roman" w:hint="eastAsia"/>
              </w:rPr>
              <w:t>17</w:t>
            </w:r>
            <w:r>
              <w:rPr>
                <w:rFonts w:ascii="Times New Roman" w:hAnsi="Times New Roman" w:cs="Times New Roman"/>
              </w:rPr>
              <w:t>日</w:t>
            </w:r>
          </w:p>
        </w:tc>
      </w:tr>
      <w:tr w:rsidR="00000000">
        <w:tc>
          <w:tcPr>
            <w:tcW w:w="1701" w:type="dxa"/>
            <w:vMerge/>
            <w:tcBorders>
              <w:top w:val="single" w:sz="8" w:space="0" w:color="000000"/>
              <w:left w:val="single" w:sz="8" w:space="0" w:color="000000"/>
              <w:bottom w:val="single" w:sz="8" w:space="0" w:color="000000"/>
              <w:right w:val="single" w:sz="8" w:space="0" w:color="000000"/>
            </w:tcBorders>
            <w:vAlign w:val="center"/>
          </w:tcPr>
          <w:p w:rsidR="00000000" w:rsidRDefault="006563C1">
            <w:pPr>
              <w:widowControl/>
              <w:spacing w:line="276" w:lineRule="auto"/>
              <w:jc w:val="left"/>
              <w:rPr>
                <w:kern w:val="0"/>
                <w:sz w:val="24"/>
                <w:szCs w:val="24"/>
              </w:rPr>
            </w:pPr>
          </w:p>
        </w:tc>
        <w:tc>
          <w:tcPr>
            <w:tcW w:w="3119" w:type="dxa"/>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暂停大额转换转入起始日</w:t>
            </w:r>
          </w:p>
        </w:tc>
        <w:tc>
          <w:tcPr>
            <w:tcW w:w="4819" w:type="dxa"/>
            <w:gridSpan w:val="3"/>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20</w:t>
            </w:r>
            <w:r>
              <w:rPr>
                <w:rFonts w:ascii="Times New Roman" w:hAnsi="Times New Roman" w:cs="Times New Roman" w:hint="eastAsia"/>
              </w:rPr>
              <w:t>25</w:t>
            </w:r>
            <w:r>
              <w:rPr>
                <w:rFonts w:ascii="Times New Roman" w:hAnsi="Times New Roman" w:cs="Times New Roman"/>
              </w:rPr>
              <w:t>年</w:t>
            </w:r>
            <w:r>
              <w:rPr>
                <w:rFonts w:ascii="Times New Roman" w:hAnsi="Times New Roman" w:cs="Times New Roman"/>
              </w:rPr>
              <w:t>1</w:t>
            </w:r>
            <w:r>
              <w:rPr>
                <w:rFonts w:ascii="Times New Roman" w:hAnsi="Times New Roman" w:cs="Times New Roman" w:hint="eastAsia"/>
              </w:rPr>
              <w:t>2</w:t>
            </w:r>
            <w:r>
              <w:rPr>
                <w:rFonts w:ascii="Times New Roman" w:hAnsi="Times New Roman" w:cs="Times New Roman"/>
              </w:rPr>
              <w:t>月</w:t>
            </w:r>
            <w:r>
              <w:rPr>
                <w:rFonts w:ascii="Times New Roman" w:hAnsi="Times New Roman" w:cs="Times New Roman" w:hint="eastAsia"/>
              </w:rPr>
              <w:t>17</w:t>
            </w:r>
            <w:r>
              <w:rPr>
                <w:rFonts w:ascii="Times New Roman" w:hAnsi="Times New Roman" w:cs="Times New Roman"/>
              </w:rPr>
              <w:t>日</w:t>
            </w:r>
          </w:p>
        </w:tc>
      </w:tr>
      <w:tr w:rsidR="00000000">
        <w:tc>
          <w:tcPr>
            <w:tcW w:w="1701" w:type="dxa"/>
            <w:vMerge/>
            <w:tcBorders>
              <w:top w:val="single" w:sz="8" w:space="0" w:color="000000"/>
              <w:left w:val="single" w:sz="8" w:space="0" w:color="000000"/>
              <w:bottom w:val="single" w:sz="8" w:space="0" w:color="000000"/>
              <w:right w:val="single" w:sz="8" w:space="0" w:color="000000"/>
            </w:tcBorders>
            <w:vAlign w:val="center"/>
          </w:tcPr>
          <w:p w:rsidR="00000000" w:rsidRDefault="006563C1">
            <w:pPr>
              <w:widowControl/>
              <w:spacing w:line="276" w:lineRule="auto"/>
              <w:jc w:val="left"/>
              <w:rPr>
                <w:kern w:val="0"/>
                <w:sz w:val="24"/>
                <w:szCs w:val="24"/>
              </w:rPr>
            </w:pPr>
          </w:p>
        </w:tc>
        <w:tc>
          <w:tcPr>
            <w:tcW w:w="3119" w:type="dxa"/>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暂停定期定额投资起始日</w:t>
            </w:r>
          </w:p>
        </w:tc>
        <w:tc>
          <w:tcPr>
            <w:tcW w:w="4819" w:type="dxa"/>
            <w:gridSpan w:val="3"/>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202</w:t>
            </w:r>
            <w:r>
              <w:rPr>
                <w:rFonts w:ascii="Times New Roman" w:hAnsi="Times New Roman" w:cs="Times New Roman" w:hint="eastAsia"/>
              </w:rPr>
              <w:t>5</w:t>
            </w:r>
            <w:r>
              <w:rPr>
                <w:rFonts w:ascii="Times New Roman" w:hAnsi="Times New Roman" w:cs="Times New Roman"/>
              </w:rPr>
              <w:t>年</w:t>
            </w:r>
            <w:r>
              <w:rPr>
                <w:rFonts w:ascii="Times New Roman" w:hAnsi="Times New Roman" w:cs="Times New Roman"/>
              </w:rPr>
              <w:t>1</w:t>
            </w:r>
            <w:r>
              <w:rPr>
                <w:rFonts w:ascii="Times New Roman" w:hAnsi="Times New Roman" w:cs="Times New Roman" w:hint="eastAsia"/>
              </w:rPr>
              <w:t>2</w:t>
            </w:r>
            <w:r>
              <w:rPr>
                <w:rFonts w:ascii="Times New Roman" w:hAnsi="Times New Roman" w:cs="Times New Roman"/>
              </w:rPr>
              <w:t>月</w:t>
            </w:r>
            <w:r>
              <w:rPr>
                <w:rFonts w:ascii="Times New Roman" w:hAnsi="Times New Roman" w:cs="Times New Roman" w:hint="eastAsia"/>
              </w:rPr>
              <w:t>17</w:t>
            </w:r>
            <w:r>
              <w:rPr>
                <w:rFonts w:ascii="Times New Roman" w:hAnsi="Times New Roman" w:cs="Times New Roman"/>
              </w:rPr>
              <w:t>日</w:t>
            </w:r>
          </w:p>
        </w:tc>
      </w:tr>
      <w:tr w:rsidR="00000000">
        <w:tc>
          <w:tcPr>
            <w:tcW w:w="1701" w:type="dxa"/>
            <w:vMerge/>
            <w:tcBorders>
              <w:top w:val="single" w:sz="8" w:space="0" w:color="000000"/>
              <w:left w:val="single" w:sz="8" w:space="0" w:color="000000"/>
              <w:bottom w:val="single" w:sz="8" w:space="0" w:color="000000"/>
              <w:right w:val="single" w:sz="8" w:space="0" w:color="000000"/>
            </w:tcBorders>
            <w:vAlign w:val="center"/>
          </w:tcPr>
          <w:p w:rsidR="00000000" w:rsidRDefault="006563C1">
            <w:pPr>
              <w:widowControl/>
              <w:spacing w:line="276" w:lineRule="auto"/>
              <w:jc w:val="left"/>
              <w:rPr>
                <w:kern w:val="0"/>
                <w:sz w:val="24"/>
                <w:szCs w:val="24"/>
              </w:rPr>
            </w:pPr>
          </w:p>
        </w:tc>
        <w:tc>
          <w:tcPr>
            <w:tcW w:w="3119" w:type="dxa"/>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限制申购（转换转入、定期定额投资）金额（单位</w:t>
            </w:r>
            <w:r>
              <w:rPr>
                <w:rFonts w:ascii="Times New Roman" w:hAnsi="Times New Roman" w:cs="Times New Roman"/>
              </w:rPr>
              <w:t>:</w:t>
            </w:r>
            <w:r>
              <w:rPr>
                <w:rFonts w:ascii="Times New Roman" w:hAnsi="Times New Roman" w:cs="Times New Roman"/>
              </w:rPr>
              <w:t>人民币元）</w:t>
            </w:r>
          </w:p>
        </w:tc>
        <w:tc>
          <w:tcPr>
            <w:tcW w:w="4819" w:type="dxa"/>
            <w:gridSpan w:val="3"/>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hint="eastAsia"/>
              </w:rPr>
              <w:t>2,0</w:t>
            </w:r>
            <w:r>
              <w:rPr>
                <w:rFonts w:ascii="Times New Roman" w:hAnsi="Times New Roman" w:cs="Times New Roman"/>
              </w:rPr>
              <w:t>00,000.00</w:t>
            </w:r>
          </w:p>
        </w:tc>
      </w:tr>
      <w:tr w:rsidR="00000000">
        <w:tc>
          <w:tcPr>
            <w:tcW w:w="1701" w:type="dxa"/>
            <w:vMerge/>
            <w:tcBorders>
              <w:top w:val="single" w:sz="8" w:space="0" w:color="000000"/>
              <w:left w:val="single" w:sz="8" w:space="0" w:color="000000"/>
              <w:bottom w:val="single" w:sz="8" w:space="0" w:color="000000"/>
              <w:right w:val="single" w:sz="8" w:space="0" w:color="000000"/>
            </w:tcBorders>
            <w:vAlign w:val="center"/>
          </w:tcPr>
          <w:p w:rsidR="00000000" w:rsidRDefault="006563C1">
            <w:pPr>
              <w:widowControl/>
              <w:spacing w:line="276" w:lineRule="auto"/>
              <w:jc w:val="left"/>
              <w:rPr>
                <w:kern w:val="0"/>
                <w:sz w:val="24"/>
                <w:szCs w:val="24"/>
              </w:rPr>
            </w:pPr>
          </w:p>
        </w:tc>
        <w:tc>
          <w:tcPr>
            <w:tcW w:w="3119" w:type="dxa"/>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暂停大额申购（转换转入、定期定额投资）的原因说明</w:t>
            </w:r>
          </w:p>
        </w:tc>
        <w:tc>
          <w:tcPr>
            <w:tcW w:w="4819" w:type="dxa"/>
            <w:gridSpan w:val="3"/>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为了保证基金的平稳运作，保护基金份额持有人利益。</w:t>
            </w:r>
          </w:p>
        </w:tc>
      </w:tr>
      <w:tr w:rsidR="00000000">
        <w:tc>
          <w:tcPr>
            <w:tcW w:w="4820"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下属各类别基金的基金简称</w:t>
            </w:r>
          </w:p>
        </w:tc>
        <w:tc>
          <w:tcPr>
            <w:tcW w:w="1572" w:type="dxa"/>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Calibri" w:hAnsi="Calibri" w:cs="Calibri" w:hint="eastAsia"/>
              </w:rPr>
              <w:t>嘉合</w:t>
            </w:r>
            <w:r>
              <w:rPr>
                <w:rFonts w:ascii="Calibri" w:hAnsi="Calibri" w:cs="Calibri" w:hint="eastAsia"/>
              </w:rPr>
              <w:t>磐昇纯债</w:t>
            </w:r>
            <w:r>
              <w:rPr>
                <w:rFonts w:ascii="Times New Roman" w:hAnsi="Times New Roman" w:cs="Times New Roman"/>
              </w:rPr>
              <w:t>A</w:t>
            </w:r>
          </w:p>
        </w:tc>
        <w:tc>
          <w:tcPr>
            <w:tcW w:w="1550" w:type="dxa"/>
            <w:tcBorders>
              <w:top w:val="single" w:sz="8" w:space="0" w:color="000000"/>
              <w:left w:val="single" w:sz="8" w:space="0" w:color="000000"/>
              <w:bottom w:val="single" w:sz="8" w:space="0" w:color="000000"/>
              <w:right w:val="single" w:sz="4" w:space="0" w:color="auto"/>
            </w:tcBorders>
            <w:vAlign w:val="center"/>
          </w:tcPr>
          <w:p w:rsidR="00000000" w:rsidRDefault="006563C1">
            <w:pPr>
              <w:pStyle w:val="biaogeleft"/>
              <w:wordWrap w:val="0"/>
              <w:spacing w:line="276" w:lineRule="auto"/>
              <w:rPr>
                <w:rFonts w:ascii="Times New Roman" w:hAnsi="Times New Roman" w:cs="Times New Roman"/>
              </w:rPr>
            </w:pPr>
            <w:r>
              <w:rPr>
                <w:rFonts w:ascii="Calibri" w:hAnsi="Calibri" w:cs="Calibri" w:hint="eastAsia"/>
              </w:rPr>
              <w:t>嘉合</w:t>
            </w:r>
            <w:r>
              <w:rPr>
                <w:rFonts w:ascii="Calibri" w:hAnsi="Calibri" w:cs="Calibri" w:hint="eastAsia"/>
              </w:rPr>
              <w:t>磐昇纯债</w:t>
            </w:r>
            <w:r>
              <w:rPr>
                <w:rFonts w:ascii="Times New Roman" w:hAnsi="Times New Roman" w:cs="Times New Roman"/>
              </w:rPr>
              <w:t>C</w:t>
            </w:r>
          </w:p>
        </w:tc>
        <w:tc>
          <w:tcPr>
            <w:tcW w:w="1697" w:type="dxa"/>
            <w:tcBorders>
              <w:top w:val="single" w:sz="8" w:space="0" w:color="000000"/>
              <w:left w:val="single" w:sz="4" w:space="0" w:color="auto"/>
              <w:bottom w:val="single" w:sz="8" w:space="0" w:color="000000"/>
              <w:right w:val="single" w:sz="8" w:space="0" w:color="000000"/>
            </w:tcBorders>
            <w:vAlign w:val="center"/>
          </w:tcPr>
          <w:p w:rsidR="00000000" w:rsidRDefault="006563C1">
            <w:pPr>
              <w:pStyle w:val="biaogeleft"/>
              <w:wordWrap w:val="0"/>
              <w:spacing w:line="276" w:lineRule="auto"/>
              <w:rPr>
                <w:rFonts w:ascii="Calibri" w:hAnsi="Calibri" w:cs="Calibri"/>
              </w:rPr>
            </w:pPr>
            <w:r>
              <w:rPr>
                <w:rFonts w:ascii="Calibri" w:hAnsi="Calibri" w:cs="Calibri" w:hint="eastAsia"/>
              </w:rPr>
              <w:t>嘉合</w:t>
            </w:r>
            <w:r>
              <w:rPr>
                <w:rFonts w:ascii="Calibri" w:hAnsi="Calibri" w:cs="Calibri" w:hint="eastAsia"/>
              </w:rPr>
              <w:t>磐昇纯债</w:t>
            </w:r>
            <w:r>
              <w:rPr>
                <w:rFonts w:ascii="Calibri" w:hAnsi="Calibri" w:cs="Calibri"/>
              </w:rPr>
              <w:t>D</w:t>
            </w:r>
          </w:p>
        </w:tc>
      </w:tr>
      <w:tr w:rsidR="00000000">
        <w:tc>
          <w:tcPr>
            <w:tcW w:w="4820"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下属各类别基金的交易代码</w:t>
            </w:r>
          </w:p>
        </w:tc>
        <w:tc>
          <w:tcPr>
            <w:tcW w:w="1572" w:type="dxa"/>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0</w:t>
            </w:r>
            <w:r>
              <w:rPr>
                <w:rFonts w:ascii="Times New Roman" w:hAnsi="Times New Roman" w:cs="Times New Roman" w:hint="eastAsia"/>
              </w:rPr>
              <w:t>07332</w:t>
            </w:r>
          </w:p>
        </w:tc>
        <w:tc>
          <w:tcPr>
            <w:tcW w:w="1550" w:type="dxa"/>
            <w:tcBorders>
              <w:top w:val="single" w:sz="8" w:space="0" w:color="000000"/>
              <w:left w:val="single" w:sz="8" w:space="0" w:color="000000"/>
              <w:bottom w:val="single" w:sz="8" w:space="0" w:color="000000"/>
              <w:right w:val="single" w:sz="4" w:space="0" w:color="auto"/>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0</w:t>
            </w:r>
            <w:r>
              <w:rPr>
                <w:rFonts w:ascii="Times New Roman" w:hAnsi="Times New Roman" w:cs="Times New Roman" w:hint="eastAsia"/>
              </w:rPr>
              <w:t>07333</w:t>
            </w:r>
          </w:p>
        </w:tc>
        <w:tc>
          <w:tcPr>
            <w:tcW w:w="1697" w:type="dxa"/>
            <w:tcBorders>
              <w:top w:val="single" w:sz="8" w:space="0" w:color="000000"/>
              <w:left w:val="single" w:sz="4" w:space="0" w:color="auto"/>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hint="eastAsia"/>
              </w:rPr>
              <w:t>020264</w:t>
            </w:r>
          </w:p>
        </w:tc>
      </w:tr>
      <w:tr w:rsidR="00000000">
        <w:tc>
          <w:tcPr>
            <w:tcW w:w="4820"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该基金类别是否暂停</w:t>
            </w:r>
            <w:r>
              <w:rPr>
                <w:rFonts w:ascii="Times New Roman" w:hAnsi="Times New Roman" w:cs="Times New Roman"/>
              </w:rPr>
              <w:t>大额申购（转换转入、定期定额投资）</w:t>
            </w:r>
          </w:p>
        </w:tc>
        <w:tc>
          <w:tcPr>
            <w:tcW w:w="1572" w:type="dxa"/>
            <w:tcBorders>
              <w:top w:val="single" w:sz="8" w:space="0" w:color="000000"/>
              <w:left w:val="single" w:sz="8" w:space="0" w:color="000000"/>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是</w:t>
            </w:r>
          </w:p>
        </w:tc>
        <w:tc>
          <w:tcPr>
            <w:tcW w:w="1550" w:type="dxa"/>
            <w:tcBorders>
              <w:top w:val="single" w:sz="8" w:space="0" w:color="000000"/>
              <w:left w:val="single" w:sz="8" w:space="0" w:color="000000"/>
              <w:bottom w:val="single" w:sz="8" w:space="0" w:color="000000"/>
              <w:right w:val="single" w:sz="4" w:space="0" w:color="auto"/>
            </w:tcBorders>
            <w:vAlign w:val="center"/>
          </w:tcPr>
          <w:p w:rsidR="00000000" w:rsidRDefault="006563C1">
            <w:pPr>
              <w:pStyle w:val="biaogeleft"/>
              <w:wordWrap w:val="0"/>
              <w:spacing w:line="276" w:lineRule="auto"/>
              <w:rPr>
                <w:rFonts w:ascii="Times New Roman" w:hAnsi="Times New Roman" w:cs="Times New Roman"/>
              </w:rPr>
            </w:pPr>
            <w:r>
              <w:rPr>
                <w:rFonts w:ascii="Times New Roman" w:hAnsi="Times New Roman" w:cs="Times New Roman"/>
              </w:rPr>
              <w:t>是</w:t>
            </w:r>
          </w:p>
        </w:tc>
        <w:tc>
          <w:tcPr>
            <w:tcW w:w="1697" w:type="dxa"/>
            <w:tcBorders>
              <w:top w:val="single" w:sz="8" w:space="0" w:color="000000"/>
              <w:left w:val="single" w:sz="4" w:space="0" w:color="auto"/>
              <w:bottom w:val="single" w:sz="8" w:space="0" w:color="000000"/>
              <w:right w:val="single" w:sz="8" w:space="0" w:color="000000"/>
            </w:tcBorders>
            <w:vAlign w:val="center"/>
          </w:tcPr>
          <w:p w:rsidR="00000000" w:rsidRDefault="006563C1">
            <w:pPr>
              <w:pStyle w:val="biaogeleft"/>
              <w:wordWrap w:val="0"/>
              <w:spacing w:line="276" w:lineRule="auto"/>
              <w:rPr>
                <w:rFonts w:ascii="Times New Roman" w:hAnsi="Times New Roman" w:cs="Times New Roman" w:hint="eastAsia"/>
              </w:rPr>
            </w:pPr>
            <w:r>
              <w:rPr>
                <w:rFonts w:ascii="Times New Roman" w:hAnsi="Times New Roman" w:cs="Times New Roman" w:hint="eastAsia"/>
              </w:rPr>
              <w:t>是</w:t>
            </w:r>
          </w:p>
        </w:tc>
      </w:tr>
    </w:tbl>
    <w:p w:rsidR="00000000" w:rsidRDefault="006563C1">
      <w:pPr>
        <w:widowControl/>
        <w:spacing w:line="276" w:lineRule="auto"/>
        <w:jc w:val="left"/>
        <w:rPr>
          <w:rFonts w:ascii="宋体" w:hAnsi="宋体" w:cs="宋体"/>
          <w:kern w:val="0"/>
          <w:sz w:val="24"/>
          <w:szCs w:val="24"/>
        </w:rPr>
      </w:pPr>
    </w:p>
    <w:p w:rsidR="00000000" w:rsidRDefault="006563C1">
      <w:pPr>
        <w:pStyle w:val="dazhangjie"/>
        <w:spacing w:line="360" w:lineRule="auto"/>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
          <w:bCs/>
        </w:rPr>
        <w:t>其他需要提示的事项</w:t>
      </w:r>
    </w:p>
    <w:p w:rsidR="00000000" w:rsidRDefault="006563C1">
      <w:pPr>
        <w:spacing w:line="360" w:lineRule="auto"/>
        <w:ind w:firstLineChars="200" w:firstLine="480"/>
        <w:rPr>
          <w:sz w:val="24"/>
          <w:szCs w:val="24"/>
        </w:rPr>
      </w:pPr>
      <w:r>
        <w:rPr>
          <w:sz w:val="24"/>
          <w:szCs w:val="24"/>
        </w:rPr>
        <w:t>（</w:t>
      </w:r>
      <w:r>
        <w:rPr>
          <w:sz w:val="24"/>
          <w:szCs w:val="24"/>
        </w:rPr>
        <w:t>1</w:t>
      </w:r>
      <w:r>
        <w:rPr>
          <w:sz w:val="24"/>
          <w:szCs w:val="24"/>
        </w:rPr>
        <w:t>）根据法律法规和基金合同的相关规定，嘉合基金管理有限公司（以下简称</w:t>
      </w:r>
      <w:r>
        <w:rPr>
          <w:sz w:val="24"/>
          <w:szCs w:val="24"/>
        </w:rPr>
        <w:t>“</w:t>
      </w:r>
      <w:r>
        <w:rPr>
          <w:sz w:val="24"/>
          <w:szCs w:val="24"/>
        </w:rPr>
        <w:t>本公司</w:t>
      </w:r>
      <w:r>
        <w:rPr>
          <w:sz w:val="24"/>
          <w:szCs w:val="24"/>
        </w:rPr>
        <w:t>”</w:t>
      </w:r>
      <w:r>
        <w:rPr>
          <w:sz w:val="24"/>
          <w:szCs w:val="24"/>
        </w:rPr>
        <w:t>）自</w:t>
      </w:r>
      <w:r>
        <w:rPr>
          <w:sz w:val="24"/>
          <w:szCs w:val="24"/>
        </w:rPr>
        <w:t>202</w:t>
      </w:r>
      <w:r>
        <w:rPr>
          <w:rFonts w:hint="eastAsia"/>
          <w:sz w:val="24"/>
          <w:szCs w:val="24"/>
        </w:rPr>
        <w:t>5</w:t>
      </w:r>
      <w:r>
        <w:rPr>
          <w:sz w:val="24"/>
          <w:szCs w:val="24"/>
        </w:rPr>
        <w:t>年</w:t>
      </w:r>
      <w:r>
        <w:rPr>
          <w:sz w:val="24"/>
          <w:szCs w:val="24"/>
        </w:rPr>
        <w:t>1</w:t>
      </w:r>
      <w:r>
        <w:rPr>
          <w:rFonts w:hint="eastAsia"/>
          <w:sz w:val="24"/>
          <w:szCs w:val="24"/>
        </w:rPr>
        <w:t>2</w:t>
      </w:r>
      <w:r>
        <w:rPr>
          <w:sz w:val="24"/>
          <w:szCs w:val="24"/>
        </w:rPr>
        <w:t>月</w:t>
      </w:r>
      <w:r>
        <w:rPr>
          <w:rFonts w:hint="eastAsia"/>
          <w:sz w:val="24"/>
          <w:szCs w:val="24"/>
        </w:rPr>
        <w:t>17</w:t>
      </w:r>
      <w:r>
        <w:rPr>
          <w:sz w:val="24"/>
          <w:szCs w:val="24"/>
        </w:rPr>
        <w:t>日起，暂停接受对</w:t>
      </w:r>
      <w:r>
        <w:rPr>
          <w:rFonts w:hint="eastAsia"/>
          <w:sz w:val="24"/>
          <w:szCs w:val="24"/>
        </w:rPr>
        <w:t>嘉合磐昇纯债债券型证券投资基金</w:t>
      </w:r>
      <w:r>
        <w:rPr>
          <w:sz w:val="24"/>
          <w:szCs w:val="24"/>
        </w:rPr>
        <w:t>（以下简称</w:t>
      </w:r>
      <w:r>
        <w:rPr>
          <w:sz w:val="24"/>
          <w:szCs w:val="24"/>
        </w:rPr>
        <w:t>“</w:t>
      </w:r>
      <w:r>
        <w:rPr>
          <w:sz w:val="24"/>
          <w:szCs w:val="24"/>
        </w:rPr>
        <w:t>本基金</w:t>
      </w:r>
      <w:r>
        <w:rPr>
          <w:sz w:val="24"/>
          <w:szCs w:val="24"/>
        </w:rPr>
        <w:t>”</w:t>
      </w:r>
      <w:r>
        <w:rPr>
          <w:sz w:val="24"/>
          <w:szCs w:val="24"/>
        </w:rPr>
        <w:t>）单个开放日单个基金账户申购（含定期定额投资、转换转入）金额超过</w:t>
      </w:r>
      <w:r>
        <w:rPr>
          <w:rFonts w:hint="eastAsia"/>
          <w:sz w:val="24"/>
          <w:szCs w:val="24"/>
        </w:rPr>
        <w:t>20</w:t>
      </w:r>
      <w:r>
        <w:rPr>
          <w:sz w:val="24"/>
          <w:szCs w:val="24"/>
        </w:rPr>
        <w:t>0</w:t>
      </w:r>
      <w:r>
        <w:rPr>
          <w:rFonts w:hint="eastAsia"/>
          <w:sz w:val="24"/>
          <w:szCs w:val="24"/>
        </w:rPr>
        <w:t>万</w:t>
      </w:r>
      <w:r>
        <w:rPr>
          <w:sz w:val="24"/>
          <w:szCs w:val="24"/>
        </w:rPr>
        <w:t>元（不含）的申请（申购、转换转入、定期定额投资的申请金额合并计算，</w:t>
      </w:r>
      <w:r>
        <w:rPr>
          <w:sz w:val="24"/>
          <w:szCs w:val="24"/>
        </w:rPr>
        <w:t>A</w:t>
      </w:r>
      <w:r>
        <w:rPr>
          <w:sz w:val="24"/>
          <w:szCs w:val="24"/>
        </w:rPr>
        <w:t>类</w:t>
      </w:r>
      <w:r>
        <w:rPr>
          <w:rFonts w:hint="eastAsia"/>
          <w:sz w:val="24"/>
          <w:szCs w:val="24"/>
        </w:rPr>
        <w:t>、</w:t>
      </w:r>
      <w:r>
        <w:rPr>
          <w:sz w:val="24"/>
          <w:szCs w:val="24"/>
        </w:rPr>
        <w:t>C</w:t>
      </w:r>
      <w:r>
        <w:rPr>
          <w:sz w:val="24"/>
          <w:szCs w:val="24"/>
        </w:rPr>
        <w:t>类</w:t>
      </w:r>
      <w:r>
        <w:rPr>
          <w:rFonts w:hint="eastAsia"/>
          <w:sz w:val="24"/>
          <w:szCs w:val="24"/>
        </w:rPr>
        <w:t>和</w:t>
      </w:r>
      <w:r>
        <w:rPr>
          <w:rFonts w:hint="eastAsia"/>
          <w:sz w:val="24"/>
          <w:szCs w:val="24"/>
        </w:rPr>
        <w:t>D</w:t>
      </w:r>
      <w:r>
        <w:rPr>
          <w:rFonts w:hint="eastAsia"/>
          <w:sz w:val="24"/>
          <w:szCs w:val="24"/>
        </w:rPr>
        <w:t>类三</w:t>
      </w:r>
      <w:r>
        <w:rPr>
          <w:sz w:val="24"/>
          <w:szCs w:val="24"/>
        </w:rPr>
        <w:t>类基金份额的申请金额合并计算）。</w:t>
      </w:r>
    </w:p>
    <w:p w:rsidR="00000000" w:rsidRDefault="006563C1">
      <w:pPr>
        <w:spacing w:line="360" w:lineRule="auto"/>
        <w:ind w:firstLineChars="200" w:firstLine="480"/>
        <w:rPr>
          <w:sz w:val="24"/>
          <w:szCs w:val="24"/>
        </w:rPr>
      </w:pPr>
      <w:r>
        <w:rPr>
          <w:sz w:val="24"/>
          <w:szCs w:val="24"/>
        </w:rPr>
        <w:t>如单个开放日单个基金账户单笔申购金额超过</w:t>
      </w:r>
      <w:r>
        <w:rPr>
          <w:rFonts w:hint="eastAsia"/>
          <w:sz w:val="24"/>
          <w:szCs w:val="24"/>
        </w:rPr>
        <w:t>20</w:t>
      </w:r>
      <w:r>
        <w:rPr>
          <w:rFonts w:hint="eastAsia"/>
          <w:sz w:val="24"/>
          <w:szCs w:val="24"/>
        </w:rPr>
        <w:t>0</w:t>
      </w:r>
      <w:r>
        <w:rPr>
          <w:rFonts w:hint="eastAsia"/>
          <w:sz w:val="24"/>
          <w:szCs w:val="24"/>
        </w:rPr>
        <w:t>万</w:t>
      </w:r>
      <w:r>
        <w:rPr>
          <w:sz w:val="24"/>
          <w:szCs w:val="24"/>
        </w:rPr>
        <w:t>元（不含），则</w:t>
      </w:r>
      <w:r>
        <w:rPr>
          <w:rFonts w:hint="eastAsia"/>
          <w:sz w:val="24"/>
          <w:szCs w:val="24"/>
        </w:rPr>
        <w:t>20</w:t>
      </w:r>
      <w:r>
        <w:rPr>
          <w:rFonts w:hint="eastAsia"/>
          <w:sz w:val="24"/>
          <w:szCs w:val="24"/>
        </w:rPr>
        <w:t>0</w:t>
      </w:r>
      <w:r>
        <w:rPr>
          <w:rFonts w:hint="eastAsia"/>
          <w:sz w:val="24"/>
          <w:szCs w:val="24"/>
        </w:rPr>
        <w:t>万</w:t>
      </w:r>
      <w:r>
        <w:rPr>
          <w:sz w:val="24"/>
          <w:szCs w:val="24"/>
        </w:rPr>
        <w:t>元确</w:t>
      </w:r>
      <w:r>
        <w:rPr>
          <w:sz w:val="24"/>
          <w:szCs w:val="24"/>
        </w:rPr>
        <w:t>认</w:t>
      </w:r>
      <w:r>
        <w:rPr>
          <w:sz w:val="24"/>
          <w:szCs w:val="24"/>
        </w:rPr>
        <w:lastRenderedPageBreak/>
        <w:t>申购成功，超过</w:t>
      </w:r>
      <w:r>
        <w:rPr>
          <w:rFonts w:hint="eastAsia"/>
          <w:sz w:val="24"/>
          <w:szCs w:val="24"/>
        </w:rPr>
        <w:t>20</w:t>
      </w:r>
      <w:r>
        <w:rPr>
          <w:rFonts w:hint="eastAsia"/>
          <w:sz w:val="24"/>
          <w:szCs w:val="24"/>
        </w:rPr>
        <w:t>0</w:t>
      </w:r>
      <w:r>
        <w:rPr>
          <w:rFonts w:hint="eastAsia"/>
          <w:sz w:val="24"/>
          <w:szCs w:val="24"/>
        </w:rPr>
        <w:t>万</w:t>
      </w:r>
      <w:r>
        <w:rPr>
          <w:sz w:val="24"/>
          <w:szCs w:val="24"/>
        </w:rPr>
        <w:t>元（不含）的部分，本基金管理人有权拒绝；如单个开放日单个基金账户多笔申购累计金额超过</w:t>
      </w:r>
      <w:r>
        <w:rPr>
          <w:rFonts w:hint="eastAsia"/>
          <w:sz w:val="24"/>
          <w:szCs w:val="24"/>
        </w:rPr>
        <w:t>20</w:t>
      </w:r>
      <w:r>
        <w:rPr>
          <w:rFonts w:hint="eastAsia"/>
          <w:sz w:val="24"/>
          <w:szCs w:val="24"/>
        </w:rPr>
        <w:t>0</w:t>
      </w:r>
      <w:r>
        <w:rPr>
          <w:rFonts w:hint="eastAsia"/>
          <w:sz w:val="24"/>
          <w:szCs w:val="24"/>
        </w:rPr>
        <w:t>万</w:t>
      </w:r>
      <w:r>
        <w:rPr>
          <w:sz w:val="24"/>
          <w:szCs w:val="24"/>
        </w:rPr>
        <w:t>元（不含），则对该账户基金份额的申请按照申请金额从大到小排序，基金管理人将逐笔累加至不超过</w:t>
      </w:r>
      <w:r>
        <w:rPr>
          <w:rFonts w:hint="eastAsia"/>
          <w:sz w:val="24"/>
          <w:szCs w:val="24"/>
        </w:rPr>
        <w:t>20</w:t>
      </w:r>
      <w:r>
        <w:rPr>
          <w:rFonts w:hint="eastAsia"/>
          <w:sz w:val="24"/>
          <w:szCs w:val="24"/>
        </w:rPr>
        <w:t>0</w:t>
      </w:r>
      <w:r>
        <w:rPr>
          <w:rFonts w:hint="eastAsia"/>
          <w:sz w:val="24"/>
          <w:szCs w:val="24"/>
        </w:rPr>
        <w:t>万</w:t>
      </w:r>
      <w:r>
        <w:rPr>
          <w:sz w:val="24"/>
          <w:szCs w:val="24"/>
        </w:rPr>
        <w:t>元（含）限额的申请确认成功，其余申请金额本基金管理人有权拒绝。</w:t>
      </w:r>
    </w:p>
    <w:p w:rsidR="00000000" w:rsidRDefault="006563C1">
      <w:pPr>
        <w:spacing w:line="360" w:lineRule="auto"/>
        <w:ind w:firstLineChars="200" w:firstLine="480"/>
        <w:rPr>
          <w:sz w:val="24"/>
          <w:szCs w:val="24"/>
        </w:rPr>
      </w:pPr>
      <w:r>
        <w:rPr>
          <w:rFonts w:hint="eastAsia"/>
          <w:sz w:val="24"/>
          <w:szCs w:val="24"/>
        </w:rPr>
        <w:t>202</w:t>
      </w:r>
      <w:r>
        <w:rPr>
          <w:rFonts w:hint="eastAsia"/>
          <w:sz w:val="24"/>
          <w:szCs w:val="24"/>
        </w:rPr>
        <w:t>5</w:t>
      </w:r>
      <w:r>
        <w:rPr>
          <w:rFonts w:hint="eastAsia"/>
          <w:sz w:val="24"/>
          <w:szCs w:val="24"/>
        </w:rPr>
        <w:t>年</w:t>
      </w:r>
      <w:r>
        <w:rPr>
          <w:rFonts w:hint="eastAsia"/>
          <w:sz w:val="24"/>
          <w:szCs w:val="24"/>
        </w:rPr>
        <w:t>12</w:t>
      </w:r>
      <w:r>
        <w:rPr>
          <w:rFonts w:hint="eastAsia"/>
          <w:sz w:val="24"/>
          <w:szCs w:val="24"/>
        </w:rPr>
        <w:t>月</w:t>
      </w:r>
      <w:r>
        <w:rPr>
          <w:rFonts w:hint="eastAsia"/>
          <w:sz w:val="24"/>
          <w:szCs w:val="24"/>
        </w:rPr>
        <w:t>19</w:t>
      </w:r>
      <w:r>
        <w:rPr>
          <w:rFonts w:hint="eastAsia"/>
          <w:sz w:val="24"/>
          <w:szCs w:val="24"/>
        </w:rPr>
        <w:t>日起恢复本基金的大额申购（含转换转入、定期定额投资）业务，届时将不再另行公告。</w:t>
      </w:r>
      <w:r>
        <w:rPr>
          <w:rFonts w:hint="eastAsia"/>
          <w:sz w:val="24"/>
          <w:szCs w:val="24"/>
        </w:rPr>
        <w:t xml:space="preserve"> </w:t>
      </w:r>
    </w:p>
    <w:p w:rsidR="00000000" w:rsidRDefault="006563C1">
      <w:pPr>
        <w:spacing w:line="360" w:lineRule="auto"/>
        <w:ind w:firstLineChars="200" w:firstLine="480"/>
        <w:rPr>
          <w:sz w:val="24"/>
          <w:szCs w:val="24"/>
        </w:rPr>
      </w:pPr>
      <w:r>
        <w:rPr>
          <w:sz w:val="24"/>
          <w:szCs w:val="24"/>
        </w:rPr>
        <w:t>（</w:t>
      </w:r>
      <w:r>
        <w:rPr>
          <w:rFonts w:hint="eastAsia"/>
          <w:sz w:val="24"/>
          <w:szCs w:val="24"/>
        </w:rPr>
        <w:t>2</w:t>
      </w:r>
      <w:r>
        <w:rPr>
          <w:sz w:val="24"/>
          <w:szCs w:val="24"/>
        </w:rPr>
        <w:t>）本基金暂停办理上述相关业务期间，赎回（含转换转出）等其他业务仍正常办理。</w:t>
      </w:r>
    </w:p>
    <w:p w:rsidR="00000000" w:rsidRDefault="006563C1">
      <w:pPr>
        <w:spacing w:line="360" w:lineRule="auto"/>
        <w:ind w:firstLineChars="200" w:firstLine="480"/>
        <w:rPr>
          <w:sz w:val="24"/>
          <w:szCs w:val="24"/>
        </w:rPr>
      </w:pPr>
      <w:r>
        <w:rPr>
          <w:sz w:val="24"/>
          <w:szCs w:val="24"/>
        </w:rPr>
        <w:t>（</w:t>
      </w:r>
      <w:r>
        <w:rPr>
          <w:rFonts w:hint="eastAsia"/>
          <w:sz w:val="24"/>
          <w:szCs w:val="24"/>
        </w:rPr>
        <w:t>3</w:t>
      </w:r>
      <w:r>
        <w:rPr>
          <w:sz w:val="24"/>
          <w:szCs w:val="24"/>
        </w:rPr>
        <w:t>）如有疑问，请拨打本公司客户服务电话，客户服务热</w:t>
      </w:r>
      <w:r>
        <w:rPr>
          <w:sz w:val="24"/>
          <w:szCs w:val="24"/>
        </w:rPr>
        <w:t>线</w:t>
      </w:r>
      <w:r>
        <w:rPr>
          <w:sz w:val="24"/>
          <w:szCs w:val="24"/>
        </w:rPr>
        <w:t>400-060-3299</w:t>
      </w:r>
      <w:r>
        <w:rPr>
          <w:sz w:val="24"/>
          <w:szCs w:val="24"/>
        </w:rPr>
        <w:t>，或</w:t>
      </w:r>
      <w:r>
        <w:rPr>
          <w:rFonts w:hint="eastAsia"/>
          <w:sz w:val="24"/>
          <w:szCs w:val="24"/>
        </w:rPr>
        <w:t>访问</w:t>
      </w:r>
      <w:r>
        <w:rPr>
          <w:sz w:val="24"/>
          <w:szCs w:val="24"/>
        </w:rPr>
        <w:t>本公司网站</w:t>
      </w:r>
      <w:r>
        <w:rPr>
          <w:sz w:val="24"/>
          <w:szCs w:val="24"/>
        </w:rPr>
        <w:t xml:space="preserve"> www.haoamc.com </w:t>
      </w:r>
      <w:r>
        <w:rPr>
          <w:sz w:val="24"/>
          <w:szCs w:val="24"/>
        </w:rPr>
        <w:t>获取相关信息。</w:t>
      </w:r>
    </w:p>
    <w:p w:rsidR="00000000" w:rsidRDefault="006563C1">
      <w:pPr>
        <w:spacing w:line="360" w:lineRule="auto"/>
        <w:ind w:firstLineChars="200" w:firstLine="480"/>
        <w:rPr>
          <w:sz w:val="24"/>
          <w:szCs w:val="24"/>
        </w:rPr>
      </w:pPr>
      <w:r>
        <w:rPr>
          <w:sz w:val="24"/>
          <w:szCs w:val="24"/>
        </w:rPr>
        <w:t>（</w:t>
      </w:r>
      <w:r>
        <w:rPr>
          <w:rFonts w:hint="eastAsia"/>
          <w:sz w:val="24"/>
          <w:szCs w:val="24"/>
        </w:rPr>
        <w:t>4</w:t>
      </w:r>
      <w:r>
        <w:rPr>
          <w:sz w:val="24"/>
          <w:szCs w:val="24"/>
        </w:rPr>
        <w:t>）风险提示</w:t>
      </w:r>
    </w:p>
    <w:p w:rsidR="00000000" w:rsidRDefault="006563C1">
      <w:pPr>
        <w:spacing w:line="360" w:lineRule="auto"/>
        <w:ind w:firstLineChars="200" w:firstLine="480"/>
        <w:rPr>
          <w:sz w:val="24"/>
          <w:szCs w:val="24"/>
        </w:rPr>
      </w:pPr>
      <w:r>
        <w:rPr>
          <w:sz w:val="24"/>
          <w:szCs w:val="24"/>
        </w:rPr>
        <w:t>基金管理人依照恪尽职守、诚实信用、谨慎勤勉的原则管理和运用基金财产，但不保证本基金一定盈利，也不保证最低收益。基金的过往业绩并不预示其未来表现。基金管理人管理的其他基金的业绩并不构成本基金业绩表现的保证。投资者购买本基金并不等于将资金作为存款存放在银行或存款类金融机构。</w:t>
      </w:r>
    </w:p>
    <w:p w:rsidR="00000000" w:rsidRDefault="006563C1">
      <w:pPr>
        <w:spacing w:line="360" w:lineRule="auto"/>
        <w:ind w:firstLineChars="200" w:firstLine="480"/>
        <w:rPr>
          <w:sz w:val="24"/>
          <w:szCs w:val="24"/>
        </w:rPr>
      </w:pPr>
      <w:r>
        <w:rPr>
          <w:sz w:val="24"/>
          <w:szCs w:val="24"/>
        </w:rPr>
        <w:t>投资有风险，投资者申购本基金时应认真阅读本基金基金合同</w:t>
      </w:r>
      <w:r>
        <w:rPr>
          <w:rFonts w:hint="eastAsia"/>
          <w:sz w:val="24"/>
          <w:szCs w:val="24"/>
        </w:rPr>
        <w:t>、</w:t>
      </w:r>
      <w:r>
        <w:rPr>
          <w:sz w:val="24"/>
          <w:szCs w:val="24"/>
        </w:rPr>
        <w:t>招募说明书及基金产品资料概要等信息披露文件，全面认识本基金的风险收益特征，自</w:t>
      </w:r>
      <w:r>
        <w:rPr>
          <w:sz w:val="24"/>
          <w:szCs w:val="24"/>
        </w:rPr>
        <w:t>主判断本基金的投资价值，并应充分考虑自身的风险承受能力，选择适合自己的基金产品。</w:t>
      </w:r>
    </w:p>
    <w:p w:rsidR="00000000" w:rsidRDefault="006563C1">
      <w:pPr>
        <w:spacing w:line="360" w:lineRule="auto"/>
        <w:jc w:val="left"/>
        <w:rPr>
          <w:sz w:val="24"/>
          <w:szCs w:val="24"/>
        </w:rPr>
      </w:pPr>
    </w:p>
    <w:p w:rsidR="00000000" w:rsidRDefault="006563C1">
      <w:pPr>
        <w:spacing w:line="360" w:lineRule="auto"/>
        <w:ind w:firstLineChars="200" w:firstLine="480"/>
        <w:jc w:val="left"/>
        <w:rPr>
          <w:sz w:val="24"/>
          <w:szCs w:val="24"/>
        </w:rPr>
      </w:pPr>
      <w:r>
        <w:rPr>
          <w:sz w:val="24"/>
          <w:szCs w:val="24"/>
        </w:rPr>
        <w:t>特此公告。</w:t>
      </w:r>
    </w:p>
    <w:p w:rsidR="00000000" w:rsidRDefault="006563C1">
      <w:pPr>
        <w:pStyle w:val="dazhangjie"/>
        <w:spacing w:line="276" w:lineRule="auto"/>
        <w:rPr>
          <w:rFonts w:ascii="Times New Roman" w:hAnsi="Times New Roman" w:cs="Times New Roman"/>
          <w:b/>
          <w:bCs/>
        </w:rPr>
      </w:pPr>
    </w:p>
    <w:p w:rsidR="00000000" w:rsidRDefault="006563C1">
      <w:pPr>
        <w:pStyle w:val="dazhangjie"/>
        <w:spacing w:line="276" w:lineRule="auto"/>
        <w:rPr>
          <w:rFonts w:ascii="Times New Roman" w:hAnsi="Times New Roman" w:cs="Times New Roman"/>
        </w:rPr>
      </w:pPr>
    </w:p>
    <w:p w:rsidR="00000000" w:rsidRDefault="006563C1">
      <w:pPr>
        <w:pStyle w:val="biaogeright"/>
        <w:spacing w:line="276" w:lineRule="auto"/>
        <w:rPr>
          <w:rFonts w:ascii="Times New Roman" w:hAnsi="Times New Roman" w:cs="Times New Roman"/>
          <w:kern w:val="2"/>
        </w:rPr>
      </w:pPr>
      <w:r>
        <w:rPr>
          <w:rFonts w:ascii="Times New Roman" w:hAnsi="Times New Roman" w:cs="Times New Roman"/>
          <w:kern w:val="2"/>
        </w:rPr>
        <w:t>嘉合基金管理有限公司</w:t>
      </w:r>
    </w:p>
    <w:p w:rsidR="00000000" w:rsidRDefault="006563C1">
      <w:pPr>
        <w:pStyle w:val="biaogeright"/>
        <w:spacing w:line="276" w:lineRule="auto"/>
        <w:rPr>
          <w:rFonts w:ascii="Times New Roman" w:hAnsi="Times New Roman" w:cs="Times New Roman"/>
          <w:kern w:val="2"/>
        </w:rPr>
      </w:pPr>
      <w:r>
        <w:rPr>
          <w:rFonts w:ascii="Times New Roman" w:hAnsi="Times New Roman" w:cs="Times New Roman"/>
          <w:kern w:val="2"/>
        </w:rPr>
        <w:t>202</w:t>
      </w:r>
      <w:r>
        <w:rPr>
          <w:rFonts w:ascii="Times New Roman" w:hAnsi="Times New Roman" w:cs="Times New Roman" w:hint="eastAsia"/>
          <w:kern w:val="2"/>
        </w:rPr>
        <w:t>5</w:t>
      </w:r>
      <w:r>
        <w:rPr>
          <w:rFonts w:ascii="Times New Roman" w:hAnsi="Times New Roman" w:cs="Times New Roman"/>
          <w:kern w:val="2"/>
        </w:rPr>
        <w:t>年</w:t>
      </w:r>
      <w:r>
        <w:rPr>
          <w:rFonts w:ascii="Times New Roman" w:hAnsi="Times New Roman" w:cs="Times New Roman"/>
          <w:kern w:val="2"/>
        </w:rPr>
        <w:t>1</w:t>
      </w:r>
      <w:r>
        <w:rPr>
          <w:rFonts w:ascii="Times New Roman" w:hAnsi="Times New Roman" w:cs="Times New Roman" w:hint="eastAsia"/>
          <w:kern w:val="2"/>
        </w:rPr>
        <w:t>2</w:t>
      </w:r>
      <w:r>
        <w:rPr>
          <w:rFonts w:ascii="Times New Roman" w:hAnsi="Times New Roman" w:cs="Times New Roman"/>
          <w:kern w:val="2"/>
        </w:rPr>
        <w:t>月</w:t>
      </w:r>
      <w:r>
        <w:rPr>
          <w:rFonts w:ascii="Times New Roman" w:hAnsi="Times New Roman" w:cs="Times New Roman" w:hint="eastAsia"/>
          <w:kern w:val="2"/>
        </w:rPr>
        <w:t>17</w:t>
      </w:r>
      <w:r>
        <w:rPr>
          <w:rFonts w:ascii="Times New Roman" w:hAnsi="Times New Roman" w:cs="Times New Roman"/>
          <w:kern w:val="2"/>
        </w:rPr>
        <w:t>日</w:t>
      </w:r>
    </w:p>
    <w:sectPr w:rsidR="00000000">
      <w:footerReference w:type="default" r:id="rId6"/>
      <w:pgSz w:w="11926" w:h="16867"/>
      <w:pgMar w:top="1418" w:right="1418" w:bottom="853"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563C1">
      <w:r>
        <w:separator/>
      </w:r>
    </w:p>
  </w:endnote>
  <w:endnote w:type="continuationSeparator" w:id="0">
    <w:p w:rsidR="00000000" w:rsidRDefault="006563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563C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p w:rsidR="00000000" w:rsidRDefault="006563C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563C1">
      <w:r>
        <w:separator/>
      </w:r>
    </w:p>
  </w:footnote>
  <w:footnote w:type="continuationSeparator" w:id="0">
    <w:p w:rsidR="00000000" w:rsidRDefault="006563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oNotTrackMoves/>
  <w:defaultTabStop w:val="720"/>
  <w:noPunctuationKerning/>
  <w:characterSpacingControl w:val="compressPunctuation"/>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jEwMjVhNzBjMDAwMzkzZGQ5Zjg2YzAxZjNjZGM0M2UifQ=="/>
  </w:docVars>
  <w:rsids>
    <w:rsidRoot w:val="00BE7599"/>
    <w:rsid w:val="000063CC"/>
    <w:rsid w:val="000211E5"/>
    <w:rsid w:val="00037FB6"/>
    <w:rsid w:val="00044469"/>
    <w:rsid w:val="000E72CC"/>
    <w:rsid w:val="000F3695"/>
    <w:rsid w:val="00150A4D"/>
    <w:rsid w:val="001666D0"/>
    <w:rsid w:val="00176727"/>
    <w:rsid w:val="00194F8F"/>
    <w:rsid w:val="001B027D"/>
    <w:rsid w:val="002504E8"/>
    <w:rsid w:val="0025627F"/>
    <w:rsid w:val="00263D27"/>
    <w:rsid w:val="002A1E85"/>
    <w:rsid w:val="002E4BEB"/>
    <w:rsid w:val="00307C2F"/>
    <w:rsid w:val="003303FD"/>
    <w:rsid w:val="003660E1"/>
    <w:rsid w:val="0036690C"/>
    <w:rsid w:val="00377475"/>
    <w:rsid w:val="00381EA1"/>
    <w:rsid w:val="003A089D"/>
    <w:rsid w:val="003B6AB1"/>
    <w:rsid w:val="003C6B9F"/>
    <w:rsid w:val="0040714B"/>
    <w:rsid w:val="00407C2E"/>
    <w:rsid w:val="004157C0"/>
    <w:rsid w:val="00433892"/>
    <w:rsid w:val="00457A5E"/>
    <w:rsid w:val="004F1882"/>
    <w:rsid w:val="00541A8E"/>
    <w:rsid w:val="00556926"/>
    <w:rsid w:val="00563491"/>
    <w:rsid w:val="00567AD2"/>
    <w:rsid w:val="00572FA2"/>
    <w:rsid w:val="00574C95"/>
    <w:rsid w:val="005750B4"/>
    <w:rsid w:val="00582FAA"/>
    <w:rsid w:val="005A2C98"/>
    <w:rsid w:val="005A736E"/>
    <w:rsid w:val="005B1A7C"/>
    <w:rsid w:val="005C119A"/>
    <w:rsid w:val="005E1C05"/>
    <w:rsid w:val="00625064"/>
    <w:rsid w:val="006563C1"/>
    <w:rsid w:val="006613D1"/>
    <w:rsid w:val="006636CF"/>
    <w:rsid w:val="0069329A"/>
    <w:rsid w:val="00693F0B"/>
    <w:rsid w:val="006A1761"/>
    <w:rsid w:val="006C2C9B"/>
    <w:rsid w:val="006E6C02"/>
    <w:rsid w:val="007742C1"/>
    <w:rsid w:val="007A5F9C"/>
    <w:rsid w:val="007D16A7"/>
    <w:rsid w:val="0082084B"/>
    <w:rsid w:val="00851727"/>
    <w:rsid w:val="00896886"/>
    <w:rsid w:val="008B3880"/>
    <w:rsid w:val="008F4761"/>
    <w:rsid w:val="009165F8"/>
    <w:rsid w:val="00933667"/>
    <w:rsid w:val="009461C4"/>
    <w:rsid w:val="00947DD6"/>
    <w:rsid w:val="00972849"/>
    <w:rsid w:val="0097518B"/>
    <w:rsid w:val="009D12C2"/>
    <w:rsid w:val="009E7C8E"/>
    <w:rsid w:val="00A0395B"/>
    <w:rsid w:val="00A05103"/>
    <w:rsid w:val="00A15BA3"/>
    <w:rsid w:val="00A2195E"/>
    <w:rsid w:val="00A275B1"/>
    <w:rsid w:val="00A27F06"/>
    <w:rsid w:val="00A30CEC"/>
    <w:rsid w:val="00A33833"/>
    <w:rsid w:val="00A73E7F"/>
    <w:rsid w:val="00AA67CB"/>
    <w:rsid w:val="00AC1592"/>
    <w:rsid w:val="00AC4066"/>
    <w:rsid w:val="00AF5A91"/>
    <w:rsid w:val="00B109C9"/>
    <w:rsid w:val="00B4723D"/>
    <w:rsid w:val="00B85E1D"/>
    <w:rsid w:val="00BB5EB3"/>
    <w:rsid w:val="00BD312C"/>
    <w:rsid w:val="00BE7599"/>
    <w:rsid w:val="00C61CA8"/>
    <w:rsid w:val="00C66016"/>
    <w:rsid w:val="00C936AE"/>
    <w:rsid w:val="00CE320E"/>
    <w:rsid w:val="00D06B46"/>
    <w:rsid w:val="00D0746D"/>
    <w:rsid w:val="00D170D7"/>
    <w:rsid w:val="00D236AA"/>
    <w:rsid w:val="00D322FA"/>
    <w:rsid w:val="00D56213"/>
    <w:rsid w:val="00D70F8C"/>
    <w:rsid w:val="00D77FB7"/>
    <w:rsid w:val="00D84317"/>
    <w:rsid w:val="00DA133E"/>
    <w:rsid w:val="00E62B71"/>
    <w:rsid w:val="00EC3EC9"/>
    <w:rsid w:val="00ED2F0C"/>
    <w:rsid w:val="00F22937"/>
    <w:rsid w:val="00F34B31"/>
    <w:rsid w:val="00F34F1F"/>
    <w:rsid w:val="00F41342"/>
    <w:rsid w:val="00F51874"/>
    <w:rsid w:val="00F83C7F"/>
    <w:rsid w:val="00F84636"/>
    <w:rsid w:val="00F91892"/>
    <w:rsid w:val="00F95546"/>
    <w:rsid w:val="00FC222A"/>
    <w:rsid w:val="00FC5699"/>
    <w:rsid w:val="14C214A3"/>
    <w:rsid w:val="1DDF30B7"/>
    <w:rsid w:val="1EBB2972"/>
    <w:rsid w:val="1F7B7E91"/>
    <w:rsid w:val="28F10348"/>
    <w:rsid w:val="49062DD2"/>
    <w:rsid w:val="54E26B79"/>
    <w:rsid w:val="567603CD"/>
    <w:rsid w:val="5BEF0861"/>
    <w:rsid w:val="6F7A4A8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link w:val="2Char"/>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rPr>
      <w:rFonts w:ascii="宋体" w:hAnsi="宋体" w:cs="宋体"/>
      <w:b/>
      <w:bCs/>
      <w:sz w:val="36"/>
      <w:szCs w:val="36"/>
    </w:rPr>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rFonts w:cs="Times New Roman"/>
      <w:kern w:val="2"/>
      <w:sz w:val="21"/>
      <w:szCs w:val="22"/>
    </w:rPr>
  </w:style>
  <w:style w:type="paragraph" w:styleId="a4">
    <w:name w:val="Balloon Text"/>
    <w:basedOn w:val="a"/>
    <w:link w:val="Char0"/>
    <w:uiPriority w:val="99"/>
    <w:unhideWhenUsed/>
    <w:rPr>
      <w:sz w:val="18"/>
      <w:szCs w:val="18"/>
    </w:rPr>
  </w:style>
  <w:style w:type="character" w:customStyle="1" w:styleId="Char0">
    <w:name w:val="批注框文本 Char"/>
    <w:link w:val="a4"/>
    <w:uiPriority w:val="99"/>
    <w:semiHidden/>
    <w:rPr>
      <w:rFonts w:cs="Times New Roman"/>
      <w:kern w:val="2"/>
      <w:sz w:val="18"/>
      <w:szCs w:val="18"/>
    </w:rPr>
  </w:style>
  <w:style w:type="paragraph" w:styleId="a5">
    <w:name w:val="footer"/>
    <w:basedOn w:val="a"/>
    <w:link w:val="Char1"/>
    <w:uiPriority w:val="99"/>
    <w:unhideWhenUsed/>
    <w:pPr>
      <w:tabs>
        <w:tab w:val="center" w:pos="4153"/>
        <w:tab w:val="right" w:pos="8306"/>
      </w:tabs>
      <w:snapToGrid w:val="0"/>
      <w:jc w:val="left"/>
    </w:pPr>
    <w:rPr>
      <w:kern w:val="0"/>
      <w:sz w:val="18"/>
      <w:szCs w:val="18"/>
    </w:rPr>
  </w:style>
  <w:style w:type="character" w:customStyle="1" w:styleId="Char1">
    <w:name w:val="页脚 Char"/>
    <w:link w:val="a5"/>
    <w:uiPriority w:val="99"/>
    <w:locked/>
    <w:rPr>
      <w:rFonts w:ascii="Times New Roman" w:hAnsi="Times New Roman" w:cs="Times New Roman" w:hint="default"/>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6"/>
    <w:uiPriority w:val="99"/>
    <w:locked/>
    <w:rPr>
      <w:rFonts w:ascii="Times New Roman" w:hAnsi="Times New Roman" w:cs="Times New Roman" w:hint="default"/>
      <w:sz w:val="18"/>
      <w:szCs w:val="18"/>
    </w:rPr>
  </w:style>
  <w:style w:type="paragraph" w:styleId="a7">
    <w:name w:val="annotation subject"/>
    <w:basedOn w:val="a3"/>
    <w:next w:val="a3"/>
    <w:link w:val="Char3"/>
    <w:uiPriority w:val="99"/>
    <w:unhideWhenUsed/>
    <w:rPr>
      <w:b/>
      <w:bCs/>
    </w:rPr>
  </w:style>
  <w:style w:type="character" w:customStyle="1" w:styleId="Char3">
    <w:name w:val="批注主题 Char"/>
    <w:link w:val="a7"/>
    <w:uiPriority w:val="99"/>
    <w:semiHidden/>
    <w:rPr>
      <w:rFonts w:cs="Times New Roman"/>
      <w:b/>
      <w:bCs/>
      <w:kern w:val="2"/>
      <w:sz w:val="21"/>
      <w:szCs w:val="22"/>
    </w:rPr>
  </w:style>
  <w:style w:type="character" w:styleId="a8">
    <w:name w:val="annotation reference"/>
    <w:uiPriority w:val="99"/>
    <w:unhideWhenUsed/>
    <w:rPr>
      <w:sz w:val="21"/>
      <w:szCs w:val="21"/>
    </w:rPr>
  </w:style>
  <w:style w:type="paragraph" w:customStyle="1" w:styleId="msonormalfy">
    <w:name w:val="msonormalfy"/>
    <w:qFormat/>
    <w:pPr>
      <w:widowControl w:val="0"/>
      <w:jc w:val="center"/>
    </w:pPr>
    <w:rPr>
      <w:kern w:val="2"/>
      <w:sz w:val="29"/>
      <w:szCs w:val="22"/>
    </w:rPr>
  </w:style>
  <w:style w:type="paragraph" w:customStyle="1" w:styleId="msonormal2">
    <w:name w:val="msonormal2"/>
    <w:qFormat/>
    <w:pPr>
      <w:widowControl w:val="0"/>
      <w:jc w:val="center"/>
    </w:pPr>
    <w:rPr>
      <w:kern w:val="2"/>
      <w:sz w:val="21"/>
      <w:szCs w:val="22"/>
    </w:rPr>
  </w:style>
  <w:style w:type="paragraph" w:customStyle="1" w:styleId="msonormal1">
    <w:name w:val="msonormal1"/>
    <w:qFormat/>
    <w:pPr>
      <w:widowControl w:val="0"/>
      <w:jc w:val="both"/>
    </w:pPr>
    <w:rPr>
      <w:kern w:val="2"/>
      <w:sz w:val="21"/>
      <w:szCs w:val="22"/>
    </w:rPr>
  </w:style>
  <w:style w:type="paragraph" w:customStyle="1" w:styleId="msonormal3">
    <w:name w:val="msonormal3"/>
    <w:qFormat/>
    <w:pPr>
      <w:widowControl w:val="0"/>
      <w:jc w:val="both"/>
    </w:pPr>
    <w:rPr>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left2">
    <w:name w:val="biaoge_left2"/>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styleId="a9">
    <w:name w:val="Revision"/>
    <w:uiPriority w:val="99"/>
    <w:semiHidden/>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1152</Characters>
  <Application>Microsoft Office Word</Application>
  <DocSecurity>4</DocSecurity>
  <Lines>9</Lines>
  <Paragraphs>2</Paragraphs>
  <ScaleCrop>false</ScaleCrop>
  <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嘉合磐昇纯债债券型证券投资基金暂停大额申购（含转换转入、定期定额投资）业务的公告</dc:title>
  <dc:subject/>
  <dc:creator>陈罡</dc:creator>
  <cp:keywords/>
  <cp:lastModifiedBy>ZHONGM</cp:lastModifiedBy>
  <cp:revision>2</cp:revision>
  <cp:lastPrinted>2021-09-01T10:20:00Z</cp:lastPrinted>
  <dcterms:created xsi:type="dcterms:W3CDTF">2025-12-16T16:01:00Z</dcterms:created>
  <dcterms:modified xsi:type="dcterms:W3CDTF">2025-12-16T16:01:00Z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637E602D3F00491A828BFA0582C2CF0D_13</vt:lpwstr>
  </property>
  <property fmtid="{D5CDD505-2E9C-101B-9397-08002B2CF9AE}" pid="4" name="KSOTemplateDocerSaveRecord">
    <vt:lpwstr>eyJoZGlkIjoiNGViZjc3OWRlYzMzNTBmNDcwNzQzZTViMjNjNGJjZmEiLCJ1c2VySWQiOiI2NDU0MDQzODUifQ==</vt:lpwstr>
  </property>
</Properties>
</file>