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1FA3" w:rsidRDefault="00881FA3">
      <w:pPr>
        <w:rPr>
          <w:sz w:val="24"/>
        </w:rPr>
      </w:pPr>
      <w:bookmarkStart w:id="0" w:name="_GoBack"/>
      <w:bookmarkEnd w:id="0"/>
    </w:p>
    <w:p w:rsidR="00881FA3" w:rsidRDefault="00881FA3">
      <w:pPr>
        <w:rPr>
          <w:sz w:val="24"/>
        </w:rPr>
      </w:pPr>
    </w:p>
    <w:p w:rsidR="00881FA3" w:rsidRDefault="00881FA3">
      <w:pPr>
        <w:rPr>
          <w:sz w:val="24"/>
        </w:rPr>
      </w:pPr>
    </w:p>
    <w:p w:rsidR="00881FA3" w:rsidRDefault="00881FA3">
      <w:pPr>
        <w:rPr>
          <w:sz w:val="44"/>
          <w:szCs w:val="44"/>
        </w:rPr>
      </w:pPr>
    </w:p>
    <w:p w:rsidR="00881FA3" w:rsidRDefault="008D37B6">
      <w:pPr>
        <w:jc w:val="center"/>
        <w:rPr>
          <w:rFonts w:ascii="宋体"/>
          <w:b/>
          <w:sz w:val="44"/>
          <w:szCs w:val="44"/>
        </w:rPr>
      </w:pPr>
      <w:bookmarkStart w:id="1" w:name="t_6_0_table"/>
      <w:bookmarkEnd w:id="1"/>
      <w:r>
        <w:rPr>
          <w:rFonts w:ascii="宋体"/>
          <w:b/>
          <w:sz w:val="44"/>
          <w:szCs w:val="44"/>
        </w:rPr>
        <w:t>鑫元安硕两年定期开放债券型证券投资基金</w:t>
      </w:r>
    </w:p>
    <w:p w:rsidR="00881FA3" w:rsidRDefault="008D37B6">
      <w:pPr>
        <w:jc w:val="center"/>
        <w:rPr>
          <w:rFonts w:ascii="宋体"/>
          <w:b/>
          <w:sz w:val="44"/>
          <w:szCs w:val="44"/>
        </w:rPr>
      </w:pPr>
      <w:r>
        <w:rPr>
          <w:rFonts w:ascii="宋体" w:hint="eastAsia"/>
          <w:b/>
          <w:sz w:val="44"/>
          <w:szCs w:val="44"/>
        </w:rPr>
        <w:t>分红公告</w:t>
      </w:r>
    </w:p>
    <w:p w:rsidR="00881FA3" w:rsidRDefault="00881FA3">
      <w:pPr>
        <w:jc w:val="center"/>
        <w:rPr>
          <w:rFonts w:ascii="宋体"/>
          <w:sz w:val="30"/>
          <w:szCs w:val="30"/>
        </w:rPr>
      </w:pPr>
    </w:p>
    <w:p w:rsidR="00881FA3" w:rsidRDefault="00881FA3">
      <w:pPr>
        <w:jc w:val="center"/>
        <w:rPr>
          <w:rFonts w:ascii="宋体"/>
          <w:sz w:val="30"/>
          <w:szCs w:val="30"/>
        </w:rPr>
      </w:pPr>
      <w:bookmarkStart w:id="2" w:name="t_6_0_0002_a2_fm1"/>
      <w:bookmarkEnd w:id="2"/>
    </w:p>
    <w:p w:rsidR="00881FA3" w:rsidRDefault="00881FA3">
      <w:pPr>
        <w:jc w:val="center"/>
        <w:rPr>
          <w:rFonts w:ascii="宋体"/>
          <w:sz w:val="30"/>
          <w:szCs w:val="30"/>
        </w:rPr>
      </w:pPr>
    </w:p>
    <w:p w:rsidR="00881FA3" w:rsidRDefault="00881FA3">
      <w:pPr>
        <w:jc w:val="center"/>
        <w:rPr>
          <w:rFonts w:ascii="宋体"/>
          <w:sz w:val="30"/>
          <w:szCs w:val="30"/>
        </w:rPr>
      </w:pPr>
    </w:p>
    <w:p w:rsidR="00881FA3" w:rsidRDefault="00881FA3">
      <w:pPr>
        <w:jc w:val="center"/>
        <w:rPr>
          <w:rFonts w:ascii="宋体"/>
          <w:sz w:val="30"/>
          <w:szCs w:val="30"/>
        </w:rPr>
      </w:pPr>
    </w:p>
    <w:p w:rsidR="00881FA3" w:rsidRDefault="00881FA3">
      <w:pPr>
        <w:jc w:val="center"/>
        <w:rPr>
          <w:rFonts w:ascii="宋体"/>
          <w:sz w:val="30"/>
          <w:szCs w:val="30"/>
        </w:rPr>
      </w:pPr>
    </w:p>
    <w:p w:rsidR="00881FA3" w:rsidRDefault="00881FA3">
      <w:pPr>
        <w:rPr>
          <w:sz w:val="24"/>
        </w:rPr>
      </w:pPr>
    </w:p>
    <w:p w:rsidR="00881FA3" w:rsidRDefault="00881FA3">
      <w:pPr>
        <w:rPr>
          <w:sz w:val="24"/>
        </w:rPr>
      </w:pPr>
    </w:p>
    <w:p w:rsidR="00881FA3" w:rsidRDefault="00881FA3">
      <w:pPr>
        <w:rPr>
          <w:sz w:val="24"/>
        </w:rPr>
      </w:pPr>
    </w:p>
    <w:p w:rsidR="00881FA3" w:rsidRDefault="00881FA3">
      <w:pPr>
        <w:rPr>
          <w:sz w:val="24"/>
        </w:rPr>
      </w:pPr>
    </w:p>
    <w:p w:rsidR="00881FA3" w:rsidRDefault="00881FA3">
      <w:pPr>
        <w:rPr>
          <w:sz w:val="24"/>
        </w:rPr>
      </w:pPr>
    </w:p>
    <w:p w:rsidR="00881FA3" w:rsidRDefault="00881FA3">
      <w:pPr>
        <w:rPr>
          <w:sz w:val="24"/>
        </w:rPr>
      </w:pPr>
    </w:p>
    <w:p w:rsidR="00881FA3" w:rsidRDefault="00881FA3">
      <w:pPr>
        <w:rPr>
          <w:sz w:val="24"/>
        </w:rPr>
      </w:pPr>
    </w:p>
    <w:p w:rsidR="00881FA3" w:rsidRDefault="00881FA3">
      <w:pPr>
        <w:rPr>
          <w:sz w:val="24"/>
        </w:rPr>
      </w:pPr>
    </w:p>
    <w:p w:rsidR="00881FA3" w:rsidRDefault="00881FA3">
      <w:pPr>
        <w:rPr>
          <w:sz w:val="24"/>
        </w:rPr>
      </w:pPr>
    </w:p>
    <w:p w:rsidR="00881FA3" w:rsidRDefault="00881FA3">
      <w:pPr>
        <w:rPr>
          <w:sz w:val="24"/>
        </w:rPr>
      </w:pPr>
    </w:p>
    <w:p w:rsidR="00881FA3" w:rsidRDefault="00881FA3">
      <w:pPr>
        <w:rPr>
          <w:sz w:val="24"/>
        </w:rPr>
      </w:pPr>
    </w:p>
    <w:p w:rsidR="00881FA3" w:rsidRDefault="00881FA3">
      <w:pPr>
        <w:rPr>
          <w:sz w:val="24"/>
        </w:rPr>
      </w:pPr>
    </w:p>
    <w:p w:rsidR="00881FA3" w:rsidRDefault="00881FA3">
      <w:pPr>
        <w:rPr>
          <w:sz w:val="24"/>
        </w:rPr>
      </w:pPr>
    </w:p>
    <w:p w:rsidR="00881FA3" w:rsidRDefault="00881FA3">
      <w:pPr>
        <w:rPr>
          <w:sz w:val="24"/>
        </w:rPr>
      </w:pPr>
    </w:p>
    <w:p w:rsidR="00881FA3" w:rsidRDefault="00881FA3">
      <w:pPr>
        <w:rPr>
          <w:sz w:val="24"/>
        </w:rPr>
      </w:pPr>
    </w:p>
    <w:p w:rsidR="00881FA3" w:rsidRDefault="00881FA3">
      <w:pPr>
        <w:rPr>
          <w:sz w:val="24"/>
        </w:rPr>
      </w:pPr>
    </w:p>
    <w:p w:rsidR="00881FA3" w:rsidRDefault="00881FA3">
      <w:pPr>
        <w:rPr>
          <w:sz w:val="24"/>
        </w:rPr>
      </w:pPr>
    </w:p>
    <w:p w:rsidR="00881FA3" w:rsidRDefault="00881FA3">
      <w:pPr>
        <w:rPr>
          <w:sz w:val="24"/>
        </w:rPr>
      </w:pPr>
    </w:p>
    <w:p w:rsidR="00881FA3" w:rsidRDefault="008D37B6">
      <w:pPr>
        <w:ind w:left="2100" w:firstLine="420"/>
        <w:rPr>
          <w:sz w:val="24"/>
        </w:rPr>
      </w:pPr>
      <w:r>
        <w:rPr>
          <w:rFonts w:ascii="宋体" w:hint="eastAsia"/>
          <w:b/>
          <w:sz w:val="28"/>
          <w:szCs w:val="28"/>
        </w:rPr>
        <w:t>公告</w:t>
      </w:r>
      <w:r>
        <w:rPr>
          <w:rFonts w:ascii="宋体"/>
          <w:b/>
          <w:sz w:val="28"/>
          <w:szCs w:val="28"/>
        </w:rPr>
        <w:t>送出日期：</w:t>
      </w:r>
      <w:bookmarkStart w:id="3" w:name="t_6_0_0003_a1_fm1"/>
      <w:bookmarkEnd w:id="3"/>
      <w:r>
        <w:rPr>
          <w:rFonts w:ascii="宋体"/>
          <w:b/>
          <w:sz w:val="28"/>
          <w:szCs w:val="28"/>
        </w:rPr>
        <w:t>2025</w:t>
      </w:r>
      <w:r>
        <w:rPr>
          <w:rFonts w:ascii="宋体"/>
          <w:b/>
          <w:sz w:val="28"/>
          <w:szCs w:val="28"/>
        </w:rPr>
        <w:t>年</w:t>
      </w:r>
      <w:r>
        <w:rPr>
          <w:rFonts w:ascii="宋体"/>
          <w:b/>
          <w:sz w:val="28"/>
          <w:szCs w:val="28"/>
        </w:rPr>
        <w:t>12</w:t>
      </w:r>
      <w:r>
        <w:rPr>
          <w:rFonts w:ascii="宋体"/>
          <w:b/>
          <w:sz w:val="28"/>
          <w:szCs w:val="28"/>
        </w:rPr>
        <w:t>月</w:t>
      </w:r>
      <w:r>
        <w:rPr>
          <w:rFonts w:ascii="宋体"/>
          <w:b/>
          <w:sz w:val="28"/>
          <w:szCs w:val="28"/>
        </w:rPr>
        <w:t>17</w:t>
      </w:r>
      <w:r>
        <w:rPr>
          <w:rFonts w:ascii="宋体"/>
          <w:b/>
          <w:sz w:val="28"/>
          <w:szCs w:val="28"/>
        </w:rPr>
        <w:t>日</w:t>
      </w:r>
    </w:p>
    <w:p w:rsidR="00881FA3" w:rsidRDefault="00881FA3">
      <w:pPr>
        <w:rPr>
          <w:sz w:val="24"/>
        </w:rPr>
      </w:pPr>
    </w:p>
    <w:p w:rsidR="00881FA3" w:rsidRDefault="00881FA3">
      <w:pPr>
        <w:rPr>
          <w:sz w:val="24"/>
        </w:rPr>
      </w:pPr>
    </w:p>
    <w:p w:rsidR="00881FA3" w:rsidRDefault="00881FA3">
      <w:pPr>
        <w:rPr>
          <w:sz w:val="24"/>
        </w:rPr>
      </w:pPr>
    </w:p>
    <w:p w:rsidR="00881FA3" w:rsidRDefault="00881FA3"/>
    <w:p w:rsidR="00881FA3" w:rsidRDefault="008D37B6" w:rsidP="008D37B6">
      <w:pPr>
        <w:pStyle w:val="Heading2"/>
        <w:spacing w:beforeLines="50" w:afterLines="50" w:line="240" w:lineRule="auto"/>
        <w:jc w:val="left"/>
        <w:rPr>
          <w:rFonts w:ascii="宋体" w:eastAsia="宋体"/>
          <w:bCs/>
          <w:sz w:val="24"/>
          <w:szCs w:val="24"/>
        </w:rPr>
      </w:pPr>
      <w:r>
        <w:rPr>
          <w:rFonts w:ascii="宋体" w:eastAsia="宋体" w:hint="eastAsia"/>
          <w:bCs/>
          <w:sz w:val="24"/>
          <w:szCs w:val="24"/>
        </w:rPr>
        <w:lastRenderedPageBreak/>
        <w:t>1</w:t>
      </w:r>
      <w:bookmarkStart w:id="4" w:name="t_qh_6_1_1_fj_table"/>
      <w:bookmarkEnd w:id="4"/>
      <w:r>
        <w:rPr>
          <w:rFonts w:ascii="宋体" w:eastAsia="宋体" w:hint="eastAsia"/>
          <w:bCs/>
          <w:sz w:val="24"/>
          <w:szCs w:val="24"/>
        </w:rPr>
        <w:t xml:space="preserve"> </w:t>
      </w:r>
      <w:r>
        <w:rPr>
          <w:rFonts w:ascii="宋体" w:eastAsia="宋体" w:hint="eastAsia"/>
          <w:bCs/>
          <w:sz w:val="24"/>
          <w:szCs w:val="24"/>
        </w:rPr>
        <w:t>公告基本信息</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552"/>
        <w:gridCol w:w="3990"/>
      </w:tblGrid>
      <w:tr w:rsidR="00881FA3">
        <w:trPr>
          <w:trHeight w:val="296"/>
          <w:jc w:val="center"/>
        </w:trPr>
        <w:tc>
          <w:tcPr>
            <w:tcW w:w="5070" w:type="dxa"/>
            <w:gridSpan w:val="2"/>
          </w:tcPr>
          <w:p w:rsidR="00881FA3" w:rsidRDefault="008D37B6">
            <w:pPr>
              <w:rPr>
                <w:rFonts w:ascii="宋体"/>
                <w:szCs w:val="21"/>
              </w:rPr>
            </w:pPr>
            <w:r>
              <w:rPr>
                <w:rFonts w:ascii="宋体" w:hint="eastAsia"/>
                <w:szCs w:val="21"/>
              </w:rPr>
              <w:t>基金名称</w:t>
            </w:r>
          </w:p>
        </w:tc>
        <w:tc>
          <w:tcPr>
            <w:tcW w:w="3990" w:type="dxa"/>
          </w:tcPr>
          <w:p w:rsidR="00881FA3" w:rsidRDefault="008D37B6">
            <w:pPr>
              <w:rPr>
                <w:rFonts w:ascii="宋体"/>
                <w:szCs w:val="21"/>
              </w:rPr>
            </w:pPr>
            <w:bookmarkStart w:id="5" w:name="t_qh_6_1_1_fj_0009_a1_fm1"/>
            <w:bookmarkEnd w:id="5"/>
            <w:r>
              <w:rPr>
                <w:rFonts w:ascii="宋体"/>
                <w:szCs w:val="21"/>
              </w:rPr>
              <w:t>鑫元安硕两年定期开放债券型证券投资基金</w:t>
            </w:r>
          </w:p>
        </w:tc>
      </w:tr>
      <w:tr w:rsidR="00881FA3">
        <w:trPr>
          <w:trHeight w:val="312"/>
          <w:jc w:val="center"/>
        </w:trPr>
        <w:tc>
          <w:tcPr>
            <w:tcW w:w="5070" w:type="dxa"/>
            <w:gridSpan w:val="2"/>
          </w:tcPr>
          <w:p w:rsidR="00881FA3" w:rsidRDefault="008D37B6">
            <w:pPr>
              <w:rPr>
                <w:rFonts w:ascii="宋体"/>
                <w:szCs w:val="21"/>
              </w:rPr>
            </w:pPr>
            <w:r>
              <w:rPr>
                <w:rFonts w:ascii="宋体" w:hint="eastAsia"/>
                <w:szCs w:val="21"/>
              </w:rPr>
              <w:t>基金简称</w:t>
            </w:r>
          </w:p>
        </w:tc>
        <w:tc>
          <w:tcPr>
            <w:tcW w:w="3990" w:type="dxa"/>
          </w:tcPr>
          <w:p w:rsidR="00881FA3" w:rsidRDefault="008D37B6">
            <w:pPr>
              <w:rPr>
                <w:rFonts w:ascii="宋体"/>
                <w:szCs w:val="21"/>
              </w:rPr>
            </w:pPr>
            <w:bookmarkStart w:id="6" w:name="t_qh_6_1_1_fj_0011_a1_fm1"/>
            <w:bookmarkEnd w:id="6"/>
            <w:r>
              <w:rPr>
                <w:rFonts w:ascii="宋体"/>
                <w:szCs w:val="21"/>
              </w:rPr>
              <w:t>鑫元安硕定期开放</w:t>
            </w:r>
          </w:p>
        </w:tc>
      </w:tr>
      <w:tr w:rsidR="00881FA3">
        <w:trPr>
          <w:trHeight w:val="296"/>
          <w:jc w:val="center"/>
        </w:trPr>
        <w:tc>
          <w:tcPr>
            <w:tcW w:w="5070" w:type="dxa"/>
            <w:gridSpan w:val="2"/>
          </w:tcPr>
          <w:p w:rsidR="00881FA3" w:rsidRDefault="008D37B6">
            <w:pPr>
              <w:rPr>
                <w:rFonts w:ascii="宋体"/>
                <w:szCs w:val="21"/>
              </w:rPr>
            </w:pPr>
            <w:r>
              <w:rPr>
                <w:rFonts w:ascii="宋体" w:hint="eastAsia"/>
                <w:szCs w:val="21"/>
              </w:rPr>
              <w:t>基金主代码</w:t>
            </w:r>
          </w:p>
        </w:tc>
        <w:tc>
          <w:tcPr>
            <w:tcW w:w="3990" w:type="dxa"/>
          </w:tcPr>
          <w:p w:rsidR="00881FA3" w:rsidRDefault="008D37B6">
            <w:pPr>
              <w:rPr>
                <w:rFonts w:ascii="宋体"/>
                <w:szCs w:val="21"/>
              </w:rPr>
            </w:pPr>
            <w:bookmarkStart w:id="7" w:name="t_qh_6_1_1_fj_0012_a1_fm1"/>
            <w:bookmarkEnd w:id="7"/>
            <w:r>
              <w:rPr>
                <w:rFonts w:ascii="宋体"/>
                <w:szCs w:val="21"/>
              </w:rPr>
              <w:t>008229</w:t>
            </w:r>
          </w:p>
        </w:tc>
      </w:tr>
      <w:tr w:rsidR="00881FA3">
        <w:trPr>
          <w:trHeight w:val="296"/>
          <w:jc w:val="center"/>
        </w:trPr>
        <w:tc>
          <w:tcPr>
            <w:tcW w:w="5070" w:type="dxa"/>
            <w:gridSpan w:val="2"/>
          </w:tcPr>
          <w:p w:rsidR="00881FA3" w:rsidRDefault="008D37B6">
            <w:pPr>
              <w:rPr>
                <w:rFonts w:ascii="宋体"/>
                <w:szCs w:val="21"/>
              </w:rPr>
            </w:pPr>
            <w:r>
              <w:rPr>
                <w:rFonts w:ascii="宋体" w:hint="eastAsia"/>
                <w:szCs w:val="21"/>
              </w:rPr>
              <w:t>基金合同生效日</w:t>
            </w:r>
          </w:p>
        </w:tc>
        <w:tc>
          <w:tcPr>
            <w:tcW w:w="3990" w:type="dxa"/>
          </w:tcPr>
          <w:p w:rsidR="00881FA3" w:rsidRDefault="008D37B6">
            <w:pPr>
              <w:rPr>
                <w:rFonts w:ascii="宋体"/>
                <w:szCs w:val="21"/>
              </w:rPr>
            </w:pPr>
            <w:bookmarkStart w:id="8" w:name="t_qh_6_1_1_fj_0018_a1_fm1"/>
            <w:bookmarkEnd w:id="8"/>
            <w:r>
              <w:rPr>
                <w:rFonts w:ascii="宋体"/>
                <w:szCs w:val="21"/>
              </w:rPr>
              <w:t>2020</w:t>
            </w:r>
            <w:r>
              <w:rPr>
                <w:rFonts w:ascii="宋体"/>
                <w:szCs w:val="21"/>
              </w:rPr>
              <w:t>年</w:t>
            </w:r>
            <w:r>
              <w:rPr>
                <w:rFonts w:ascii="宋体"/>
                <w:szCs w:val="21"/>
              </w:rPr>
              <w:t>7</w:t>
            </w:r>
            <w:r>
              <w:rPr>
                <w:rFonts w:ascii="宋体"/>
                <w:szCs w:val="21"/>
              </w:rPr>
              <w:t>月</w:t>
            </w:r>
            <w:r>
              <w:rPr>
                <w:rFonts w:ascii="宋体"/>
                <w:szCs w:val="21"/>
              </w:rPr>
              <w:t>31</w:t>
            </w:r>
            <w:r>
              <w:rPr>
                <w:rFonts w:ascii="宋体"/>
                <w:szCs w:val="21"/>
              </w:rPr>
              <w:t>日</w:t>
            </w:r>
          </w:p>
        </w:tc>
      </w:tr>
      <w:tr w:rsidR="00881FA3">
        <w:trPr>
          <w:trHeight w:val="436"/>
          <w:jc w:val="center"/>
        </w:trPr>
        <w:tc>
          <w:tcPr>
            <w:tcW w:w="5070" w:type="dxa"/>
            <w:gridSpan w:val="2"/>
          </w:tcPr>
          <w:p w:rsidR="00881FA3" w:rsidRDefault="008D37B6">
            <w:pPr>
              <w:rPr>
                <w:rFonts w:ascii="宋体"/>
                <w:szCs w:val="21"/>
              </w:rPr>
            </w:pPr>
            <w:r>
              <w:rPr>
                <w:rFonts w:ascii="宋体" w:hint="eastAsia"/>
                <w:szCs w:val="21"/>
              </w:rPr>
              <w:t>基金管理人名称</w:t>
            </w:r>
          </w:p>
        </w:tc>
        <w:tc>
          <w:tcPr>
            <w:tcW w:w="3990" w:type="dxa"/>
          </w:tcPr>
          <w:p w:rsidR="00881FA3" w:rsidRDefault="008D37B6">
            <w:pPr>
              <w:rPr>
                <w:rFonts w:ascii="宋体"/>
                <w:szCs w:val="21"/>
              </w:rPr>
            </w:pPr>
            <w:bookmarkStart w:id="9" w:name="t_qh_6_1_1_fj_0186_a1_fm1"/>
            <w:bookmarkEnd w:id="9"/>
            <w:r>
              <w:rPr>
                <w:rFonts w:ascii="宋体" w:hint="eastAsia"/>
                <w:szCs w:val="21"/>
              </w:rPr>
              <w:t>鑫</w:t>
            </w:r>
            <w:r>
              <w:rPr>
                <w:rFonts w:ascii="宋体"/>
                <w:szCs w:val="21"/>
              </w:rPr>
              <w:t>元基金管理有限公司</w:t>
            </w:r>
          </w:p>
        </w:tc>
      </w:tr>
      <w:tr w:rsidR="00881FA3">
        <w:trPr>
          <w:trHeight w:val="296"/>
          <w:jc w:val="center"/>
        </w:trPr>
        <w:tc>
          <w:tcPr>
            <w:tcW w:w="5070" w:type="dxa"/>
            <w:gridSpan w:val="2"/>
          </w:tcPr>
          <w:p w:rsidR="00881FA3" w:rsidRDefault="008D37B6">
            <w:pPr>
              <w:rPr>
                <w:rFonts w:ascii="宋体"/>
                <w:szCs w:val="21"/>
              </w:rPr>
            </w:pPr>
            <w:r>
              <w:rPr>
                <w:rFonts w:ascii="宋体" w:hint="eastAsia"/>
                <w:szCs w:val="21"/>
              </w:rPr>
              <w:t>基金托管人名称</w:t>
            </w:r>
          </w:p>
        </w:tc>
        <w:tc>
          <w:tcPr>
            <w:tcW w:w="3990" w:type="dxa"/>
          </w:tcPr>
          <w:p w:rsidR="00881FA3" w:rsidRDefault="008D37B6">
            <w:pPr>
              <w:rPr>
                <w:rFonts w:ascii="宋体"/>
                <w:szCs w:val="21"/>
              </w:rPr>
            </w:pPr>
            <w:bookmarkStart w:id="10" w:name="t_qh_6_1_1_fj_0213_a1_fm1"/>
            <w:bookmarkEnd w:id="10"/>
            <w:r>
              <w:rPr>
                <w:rFonts w:ascii="宋体"/>
                <w:szCs w:val="21"/>
              </w:rPr>
              <w:t>招商银行股份有限公司</w:t>
            </w:r>
          </w:p>
        </w:tc>
      </w:tr>
      <w:tr w:rsidR="00881FA3">
        <w:trPr>
          <w:trHeight w:val="312"/>
          <w:jc w:val="center"/>
        </w:trPr>
        <w:tc>
          <w:tcPr>
            <w:tcW w:w="5070" w:type="dxa"/>
            <w:gridSpan w:val="2"/>
          </w:tcPr>
          <w:p w:rsidR="00881FA3" w:rsidRDefault="008D37B6">
            <w:pPr>
              <w:rPr>
                <w:rFonts w:ascii="宋体"/>
                <w:szCs w:val="21"/>
              </w:rPr>
            </w:pPr>
            <w:r>
              <w:rPr>
                <w:rFonts w:ascii="宋体" w:hint="eastAsia"/>
                <w:szCs w:val="21"/>
              </w:rPr>
              <w:t>公告依据</w:t>
            </w:r>
          </w:p>
        </w:tc>
        <w:tc>
          <w:tcPr>
            <w:tcW w:w="3990" w:type="dxa"/>
          </w:tcPr>
          <w:p w:rsidR="00881FA3" w:rsidRDefault="008D37B6">
            <w:pPr>
              <w:rPr>
                <w:rFonts w:ascii="宋体"/>
                <w:szCs w:val="21"/>
              </w:rPr>
            </w:pPr>
            <w:bookmarkStart w:id="11" w:name="t_qh_6_1_1_fj_2631_a1_fm1"/>
            <w:bookmarkEnd w:id="11"/>
            <w:r>
              <w:rPr>
                <w:rFonts w:ascii="宋体" w:hint="eastAsia"/>
                <w:szCs w:val="21"/>
              </w:rPr>
              <w:t>《中华</w:t>
            </w:r>
            <w:r>
              <w:rPr>
                <w:rFonts w:ascii="宋体"/>
                <w:szCs w:val="21"/>
              </w:rPr>
              <w:t>人民共和国</w:t>
            </w:r>
            <w:r>
              <w:rPr>
                <w:rFonts w:ascii="宋体" w:hint="eastAsia"/>
                <w:szCs w:val="21"/>
              </w:rPr>
              <w:t>证券投资基金法》、</w:t>
            </w:r>
            <w:r>
              <w:t>《公开募集证券投资基金运作管理办法》、</w:t>
            </w:r>
            <w:r>
              <w:rPr>
                <w:rFonts w:ascii="宋体" w:hint="eastAsia"/>
                <w:szCs w:val="21"/>
              </w:rPr>
              <w:t>《公开募集证券投资基金信息披露管理办法》等法律法规及《</w:t>
            </w:r>
            <w:r>
              <w:rPr>
                <w:rFonts w:ascii="宋体"/>
                <w:szCs w:val="21"/>
              </w:rPr>
              <w:t>鑫元安硕两年定期开放债券型证券投资基金</w:t>
            </w:r>
            <w:r>
              <w:rPr>
                <w:rFonts w:ascii="宋体" w:hint="eastAsia"/>
                <w:szCs w:val="21"/>
              </w:rPr>
              <w:t>基金合同》、《</w:t>
            </w:r>
            <w:r>
              <w:rPr>
                <w:rFonts w:ascii="宋体"/>
                <w:szCs w:val="21"/>
              </w:rPr>
              <w:t>鑫元安硕两年定期开放债券型证券投资基金</w:t>
            </w:r>
            <w:r>
              <w:rPr>
                <w:rFonts w:ascii="宋体" w:hint="eastAsia"/>
                <w:szCs w:val="21"/>
              </w:rPr>
              <w:t>招募说明书》</w:t>
            </w:r>
          </w:p>
        </w:tc>
      </w:tr>
      <w:tr w:rsidR="00881FA3">
        <w:trPr>
          <w:trHeight w:val="296"/>
          <w:jc w:val="center"/>
        </w:trPr>
        <w:tc>
          <w:tcPr>
            <w:tcW w:w="5070" w:type="dxa"/>
            <w:gridSpan w:val="2"/>
          </w:tcPr>
          <w:p w:rsidR="00881FA3" w:rsidRDefault="008D37B6">
            <w:pPr>
              <w:rPr>
                <w:rFonts w:ascii="宋体"/>
                <w:szCs w:val="21"/>
              </w:rPr>
            </w:pPr>
            <w:r>
              <w:rPr>
                <w:rFonts w:ascii="宋体" w:hint="eastAsia"/>
                <w:szCs w:val="21"/>
              </w:rPr>
              <w:t>收益分配基准日</w:t>
            </w:r>
          </w:p>
        </w:tc>
        <w:tc>
          <w:tcPr>
            <w:tcW w:w="3990" w:type="dxa"/>
          </w:tcPr>
          <w:p w:rsidR="00881FA3" w:rsidRDefault="008D37B6">
            <w:pPr>
              <w:rPr>
                <w:rFonts w:ascii="宋体"/>
                <w:szCs w:val="21"/>
              </w:rPr>
            </w:pPr>
            <w:bookmarkStart w:id="12" w:name="t_qh_6_1_1_fj_2637_a1_fm1"/>
            <w:bookmarkEnd w:id="12"/>
            <w:r>
              <w:rPr>
                <w:rFonts w:ascii="宋体"/>
                <w:szCs w:val="21"/>
              </w:rPr>
              <w:t>2025</w:t>
            </w:r>
            <w:r>
              <w:rPr>
                <w:rFonts w:ascii="宋体"/>
                <w:szCs w:val="21"/>
              </w:rPr>
              <w:t>年</w:t>
            </w:r>
            <w:r>
              <w:rPr>
                <w:rFonts w:ascii="宋体"/>
                <w:szCs w:val="21"/>
              </w:rPr>
              <w:t>12</w:t>
            </w:r>
            <w:r>
              <w:rPr>
                <w:rFonts w:ascii="宋体"/>
                <w:szCs w:val="21"/>
              </w:rPr>
              <w:t>月</w:t>
            </w:r>
            <w:r>
              <w:rPr>
                <w:rFonts w:ascii="宋体"/>
                <w:szCs w:val="21"/>
              </w:rPr>
              <w:t>12</w:t>
            </w:r>
            <w:r>
              <w:rPr>
                <w:rFonts w:ascii="宋体"/>
                <w:szCs w:val="21"/>
              </w:rPr>
              <w:t>日</w:t>
            </w:r>
          </w:p>
        </w:tc>
      </w:tr>
      <w:tr w:rsidR="00881FA3">
        <w:trPr>
          <w:trHeight w:val="312"/>
          <w:jc w:val="center"/>
        </w:trPr>
        <w:tc>
          <w:tcPr>
            <w:tcW w:w="2518" w:type="dxa"/>
            <w:vMerge w:val="restart"/>
            <w:vAlign w:val="center"/>
          </w:tcPr>
          <w:p w:rsidR="00881FA3" w:rsidRDefault="008D37B6">
            <w:pPr>
              <w:rPr>
                <w:rFonts w:ascii="宋体"/>
                <w:szCs w:val="21"/>
              </w:rPr>
            </w:pPr>
            <w:r>
              <w:rPr>
                <w:rFonts w:ascii="宋体" w:hint="eastAsia"/>
                <w:szCs w:val="21"/>
              </w:rPr>
              <w:t>截止收益</w:t>
            </w:r>
            <w:r>
              <w:rPr>
                <w:rFonts w:ascii="宋体"/>
                <w:szCs w:val="21"/>
              </w:rPr>
              <w:t>分配基准日的相关指标</w:t>
            </w:r>
          </w:p>
        </w:tc>
        <w:tc>
          <w:tcPr>
            <w:tcW w:w="2552" w:type="dxa"/>
            <w:vAlign w:val="center"/>
          </w:tcPr>
          <w:p w:rsidR="00881FA3" w:rsidRDefault="008D37B6">
            <w:pPr>
              <w:rPr>
                <w:rFonts w:ascii="宋体"/>
                <w:szCs w:val="21"/>
              </w:rPr>
            </w:pPr>
            <w:bookmarkStart w:id="13" w:name="t_6_1_2_fj_table"/>
            <w:bookmarkEnd w:id="13"/>
            <w:r>
              <w:rPr>
                <w:rFonts w:ascii="宋体" w:hint="eastAsia"/>
                <w:szCs w:val="21"/>
              </w:rPr>
              <w:t>基准日份额净值（单位：人民币元）</w:t>
            </w:r>
          </w:p>
        </w:tc>
        <w:tc>
          <w:tcPr>
            <w:tcW w:w="3990" w:type="dxa"/>
            <w:vAlign w:val="center"/>
          </w:tcPr>
          <w:p w:rsidR="00881FA3" w:rsidRDefault="008D37B6">
            <w:pPr>
              <w:jc w:val="left"/>
              <w:rPr>
                <w:rFonts w:ascii="宋体"/>
                <w:szCs w:val="21"/>
              </w:rPr>
            </w:pPr>
            <w:bookmarkStart w:id="14" w:name="t_qh_6_1_1_fj_2638A_a1_fm2210"/>
            <w:bookmarkStart w:id="15" w:name="t_6_1_1_fj_2638B_a1_fm2210"/>
            <w:bookmarkStart w:id="16" w:name="t_6_1_1_fj_2638C_a1_fm2210"/>
            <w:bookmarkEnd w:id="14"/>
            <w:bookmarkEnd w:id="15"/>
            <w:bookmarkEnd w:id="16"/>
            <w:r>
              <w:rPr>
                <w:rFonts w:ascii="宋体"/>
                <w:szCs w:val="21"/>
              </w:rPr>
              <w:t>1.0187</w:t>
            </w:r>
          </w:p>
        </w:tc>
      </w:tr>
      <w:tr w:rsidR="00881FA3">
        <w:trPr>
          <w:trHeight w:val="312"/>
          <w:jc w:val="center"/>
        </w:trPr>
        <w:tc>
          <w:tcPr>
            <w:tcW w:w="2518" w:type="dxa"/>
            <w:vMerge/>
          </w:tcPr>
          <w:p w:rsidR="00881FA3" w:rsidRDefault="00881FA3"/>
        </w:tc>
        <w:tc>
          <w:tcPr>
            <w:tcW w:w="2552" w:type="dxa"/>
            <w:vAlign w:val="center"/>
          </w:tcPr>
          <w:p w:rsidR="00881FA3" w:rsidRDefault="008D37B6">
            <w:pPr>
              <w:rPr>
                <w:rFonts w:ascii="宋体"/>
                <w:szCs w:val="21"/>
              </w:rPr>
            </w:pPr>
            <w:r>
              <w:rPr>
                <w:rFonts w:ascii="宋体" w:hint="eastAsia"/>
                <w:szCs w:val="21"/>
              </w:rPr>
              <w:t>基准日可供分配利润（单位：人民币元）</w:t>
            </w:r>
          </w:p>
        </w:tc>
        <w:tc>
          <w:tcPr>
            <w:tcW w:w="3990" w:type="dxa"/>
            <w:vAlign w:val="center"/>
          </w:tcPr>
          <w:p w:rsidR="00881FA3" w:rsidRDefault="008D37B6">
            <w:pPr>
              <w:jc w:val="left"/>
              <w:rPr>
                <w:rFonts w:ascii="宋体"/>
                <w:szCs w:val="21"/>
              </w:rPr>
            </w:pPr>
            <w:bookmarkStart w:id="17" w:name="t_qh_6_1_1_fj_2640A_a1_fm2210"/>
            <w:bookmarkStart w:id="18" w:name="t_6_1_1_fj_2640B_a1_fm2210"/>
            <w:bookmarkStart w:id="19" w:name="t_6_1_1_fj_2640C_a1_fm2210"/>
            <w:bookmarkEnd w:id="17"/>
            <w:bookmarkEnd w:id="18"/>
            <w:bookmarkEnd w:id="19"/>
            <w:r>
              <w:rPr>
                <w:rFonts w:ascii="宋体"/>
                <w:szCs w:val="21"/>
              </w:rPr>
              <w:t>116,003,482.06</w:t>
            </w:r>
          </w:p>
        </w:tc>
      </w:tr>
      <w:tr w:rsidR="00881FA3">
        <w:trPr>
          <w:trHeight w:val="315"/>
          <w:jc w:val="center"/>
        </w:trPr>
        <w:tc>
          <w:tcPr>
            <w:tcW w:w="2518" w:type="dxa"/>
            <w:vMerge/>
          </w:tcPr>
          <w:p w:rsidR="00881FA3" w:rsidRDefault="00881FA3"/>
        </w:tc>
        <w:tc>
          <w:tcPr>
            <w:tcW w:w="2552" w:type="dxa"/>
            <w:vAlign w:val="center"/>
          </w:tcPr>
          <w:p w:rsidR="00881FA3" w:rsidRDefault="008D37B6">
            <w:pPr>
              <w:rPr>
                <w:rFonts w:ascii="宋体"/>
                <w:szCs w:val="21"/>
              </w:rPr>
            </w:pPr>
            <w:r>
              <w:rPr>
                <w:rFonts w:ascii="宋体" w:hint="eastAsia"/>
                <w:szCs w:val="21"/>
              </w:rPr>
              <w:t>截止基准日按照基金合同约定的分红比例计算的应分配金额（单位：人民币元）</w:t>
            </w:r>
          </w:p>
        </w:tc>
        <w:tc>
          <w:tcPr>
            <w:tcW w:w="3990" w:type="dxa"/>
            <w:vAlign w:val="center"/>
          </w:tcPr>
          <w:p w:rsidR="00881FA3" w:rsidRDefault="008D37B6">
            <w:pPr>
              <w:jc w:val="left"/>
              <w:rPr>
                <w:rFonts w:ascii="宋体" w:cs="宋体"/>
                <w:color w:val="000000"/>
                <w:sz w:val="22"/>
              </w:rPr>
            </w:pPr>
            <w:r>
              <w:rPr>
                <w:rFonts w:ascii="宋体" w:cs="宋体" w:hint="eastAsia"/>
                <w:color w:val="000000"/>
                <w:sz w:val="22"/>
              </w:rPr>
              <w:t>—</w:t>
            </w:r>
          </w:p>
        </w:tc>
      </w:tr>
      <w:tr w:rsidR="00881FA3">
        <w:trPr>
          <w:trHeight w:val="312"/>
          <w:jc w:val="center"/>
        </w:trPr>
        <w:tc>
          <w:tcPr>
            <w:tcW w:w="5070" w:type="dxa"/>
            <w:gridSpan w:val="2"/>
            <w:shd w:val="clear" w:color="auto" w:fill="auto"/>
          </w:tcPr>
          <w:p w:rsidR="00881FA3" w:rsidRDefault="008D37B6">
            <w:pPr>
              <w:rPr>
                <w:rFonts w:ascii="宋体"/>
                <w:szCs w:val="21"/>
              </w:rPr>
            </w:pPr>
            <w:bookmarkStart w:id="20" w:name="t_6_1_3_fj_table"/>
            <w:bookmarkEnd w:id="20"/>
            <w:r>
              <w:rPr>
                <w:rFonts w:ascii="宋体" w:hint="eastAsia"/>
                <w:szCs w:val="21"/>
              </w:rPr>
              <w:t>本次分红方案（单位：元</w:t>
            </w:r>
            <w:r>
              <w:rPr>
                <w:rFonts w:ascii="宋体" w:hint="eastAsia"/>
                <w:szCs w:val="21"/>
              </w:rPr>
              <w:t>/10</w:t>
            </w:r>
            <w:r>
              <w:rPr>
                <w:rFonts w:ascii="宋体" w:hint="eastAsia"/>
                <w:szCs w:val="21"/>
              </w:rPr>
              <w:t>份基金份额）</w:t>
            </w:r>
          </w:p>
        </w:tc>
        <w:tc>
          <w:tcPr>
            <w:tcW w:w="3990" w:type="dxa"/>
            <w:shd w:val="clear" w:color="auto" w:fill="auto"/>
            <w:vAlign w:val="center"/>
          </w:tcPr>
          <w:p w:rsidR="00881FA3" w:rsidRDefault="008D37B6">
            <w:pPr>
              <w:jc w:val="left"/>
              <w:rPr>
                <w:rFonts w:ascii="宋体"/>
                <w:szCs w:val="21"/>
              </w:rPr>
            </w:pPr>
            <w:bookmarkStart w:id="21" w:name="t_6_1_3_fj_2641A_a1_fm2210"/>
            <w:bookmarkStart w:id="22" w:name="t_6_1_3_fj_2641B_a1_fm2210"/>
            <w:bookmarkStart w:id="23" w:name="t_6_1_3_fj_2641C_a1_fm2210"/>
            <w:bookmarkEnd w:id="21"/>
            <w:bookmarkEnd w:id="22"/>
            <w:bookmarkEnd w:id="23"/>
            <w:r>
              <w:rPr>
                <w:rFonts w:ascii="宋体"/>
                <w:szCs w:val="21"/>
              </w:rPr>
              <w:t>0.16</w:t>
            </w:r>
          </w:p>
        </w:tc>
      </w:tr>
      <w:tr w:rsidR="00881FA3">
        <w:trPr>
          <w:trHeight w:val="312"/>
          <w:jc w:val="center"/>
        </w:trPr>
        <w:tc>
          <w:tcPr>
            <w:tcW w:w="5070" w:type="dxa"/>
            <w:gridSpan w:val="2"/>
            <w:tcBorders>
              <w:top w:val="single" w:sz="4" w:space="0" w:color="auto"/>
              <w:left w:val="single" w:sz="4" w:space="0" w:color="auto"/>
              <w:bottom w:val="single" w:sz="4" w:space="0" w:color="auto"/>
              <w:right w:val="single" w:sz="4" w:space="0" w:color="auto"/>
            </w:tcBorders>
          </w:tcPr>
          <w:p w:rsidR="00881FA3" w:rsidRDefault="008D37B6">
            <w:pPr>
              <w:rPr>
                <w:rFonts w:ascii="宋体"/>
                <w:szCs w:val="21"/>
              </w:rPr>
            </w:pPr>
            <w:r>
              <w:rPr>
                <w:rFonts w:ascii="宋体" w:hint="eastAsia"/>
                <w:szCs w:val="21"/>
              </w:rPr>
              <w:t>有关年度分红次数的说明</w:t>
            </w:r>
          </w:p>
        </w:tc>
        <w:tc>
          <w:tcPr>
            <w:tcW w:w="3990" w:type="dxa"/>
            <w:tcBorders>
              <w:top w:val="single" w:sz="4" w:space="0" w:color="auto"/>
              <w:left w:val="single" w:sz="4" w:space="0" w:color="auto"/>
              <w:bottom w:val="single" w:sz="4" w:space="0" w:color="auto"/>
              <w:right w:val="single" w:sz="4" w:space="0" w:color="auto"/>
            </w:tcBorders>
            <w:vAlign w:val="center"/>
          </w:tcPr>
          <w:p w:rsidR="00881FA3" w:rsidRDefault="008D37B6">
            <w:pPr>
              <w:jc w:val="left"/>
              <w:rPr>
                <w:rFonts w:ascii="宋体"/>
              </w:rPr>
            </w:pPr>
            <w:r>
              <w:rPr>
                <w:rFonts w:ascii="宋体"/>
              </w:rPr>
              <w:t>本次分红为</w:t>
            </w:r>
            <w:r>
              <w:rPr>
                <w:rFonts w:ascii="宋体"/>
              </w:rPr>
              <w:t>2025</w:t>
            </w:r>
            <w:r>
              <w:rPr>
                <w:rFonts w:ascii="宋体"/>
              </w:rPr>
              <w:t>年第</w:t>
            </w:r>
            <w:r>
              <w:rPr>
                <w:rFonts w:ascii="宋体"/>
              </w:rPr>
              <w:t>2</w:t>
            </w:r>
            <w:r>
              <w:rPr>
                <w:rFonts w:ascii="宋体"/>
              </w:rPr>
              <w:t>次分红</w:t>
            </w:r>
          </w:p>
        </w:tc>
      </w:tr>
    </w:tbl>
    <w:p w:rsidR="00881FA3" w:rsidRDefault="008D37B6">
      <w:pPr>
        <w:spacing w:line="360" w:lineRule="auto"/>
        <w:ind w:firstLine="420"/>
        <w:jc w:val="left"/>
        <w:rPr>
          <w:szCs w:val="21"/>
        </w:rPr>
      </w:pPr>
      <w:bookmarkStart w:id="24" w:name="t_6_1_3_fj_2645_a1_fm1"/>
      <w:r>
        <w:rPr>
          <w:rFonts w:hint="eastAsia"/>
          <w:szCs w:val="21"/>
        </w:rPr>
        <w:t>注：</w:t>
      </w:r>
      <w:bookmarkEnd w:id="24"/>
      <w:r>
        <w:rPr>
          <w:szCs w:val="21"/>
        </w:rPr>
        <w:t>按照《鑫元安硕两年定期开放债券型证券投资基金基金合同》的规定，在符合有关基金分红条件的前提下，本基金管理人可以根据实际情况进行收益分配，具体分配方案以公告为准；本基金收益分配方式为现金分红。</w:t>
      </w:r>
    </w:p>
    <w:p w:rsidR="00881FA3" w:rsidRDefault="00881FA3">
      <w:pPr>
        <w:spacing w:line="360" w:lineRule="auto"/>
        <w:ind w:firstLine="420"/>
        <w:jc w:val="left"/>
        <w:rPr>
          <w:szCs w:val="21"/>
        </w:rPr>
      </w:pPr>
    </w:p>
    <w:p w:rsidR="00881FA3" w:rsidRDefault="008D37B6" w:rsidP="008D37B6">
      <w:pPr>
        <w:pStyle w:val="Heading2"/>
        <w:spacing w:beforeLines="50" w:afterLines="50" w:line="240" w:lineRule="auto"/>
        <w:rPr>
          <w:rFonts w:ascii="宋体" w:eastAsia="宋体"/>
          <w:bCs/>
          <w:sz w:val="24"/>
          <w:szCs w:val="24"/>
        </w:rPr>
      </w:pPr>
      <w:r>
        <w:rPr>
          <w:rFonts w:ascii="宋体" w:eastAsia="宋体" w:hint="eastAsia"/>
          <w:bCs/>
          <w:sz w:val="24"/>
          <w:szCs w:val="24"/>
        </w:rPr>
        <w:t>2</w:t>
      </w:r>
      <w:bookmarkStart w:id="25" w:name="t_6_2_table"/>
      <w:bookmarkEnd w:id="25"/>
      <w:r>
        <w:rPr>
          <w:rFonts w:ascii="宋体" w:eastAsia="宋体" w:hint="eastAsia"/>
          <w:bCs/>
          <w:sz w:val="24"/>
          <w:szCs w:val="24"/>
        </w:rPr>
        <w:t xml:space="preserve"> </w:t>
      </w:r>
      <w:r>
        <w:rPr>
          <w:rFonts w:ascii="宋体" w:eastAsia="宋体" w:hint="eastAsia"/>
          <w:bCs/>
          <w:sz w:val="24"/>
          <w:szCs w:val="24"/>
        </w:rPr>
        <w:t>与分红相关的其他信息</w:t>
      </w:r>
    </w:p>
    <w:tbl>
      <w:tblPr>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8"/>
        <w:gridCol w:w="5683"/>
      </w:tblGrid>
      <w:tr w:rsidR="00881FA3">
        <w:trPr>
          <w:trHeight w:val="320"/>
        </w:trPr>
        <w:tc>
          <w:tcPr>
            <w:tcW w:w="3138" w:type="dxa"/>
          </w:tcPr>
          <w:p w:rsidR="00881FA3" w:rsidRDefault="008D37B6">
            <w:pPr>
              <w:rPr>
                <w:szCs w:val="21"/>
              </w:rPr>
            </w:pPr>
            <w:r>
              <w:rPr>
                <w:rFonts w:hint="eastAsia"/>
                <w:szCs w:val="21"/>
              </w:rPr>
              <w:t>权益登记日</w:t>
            </w:r>
          </w:p>
        </w:tc>
        <w:tc>
          <w:tcPr>
            <w:tcW w:w="5683" w:type="dxa"/>
          </w:tcPr>
          <w:p w:rsidR="00881FA3" w:rsidRDefault="008D37B6">
            <w:pPr>
              <w:rPr>
                <w:szCs w:val="21"/>
              </w:rPr>
            </w:pPr>
            <w:bookmarkStart w:id="26" w:name="t_6_2_2758_a1_fm1"/>
            <w:bookmarkEnd w:id="26"/>
            <w:r>
              <w:rPr>
                <w:rFonts w:ascii="宋体"/>
                <w:szCs w:val="21"/>
              </w:rPr>
              <w:t>2025</w:t>
            </w:r>
            <w:r>
              <w:rPr>
                <w:rFonts w:ascii="宋体"/>
                <w:szCs w:val="21"/>
              </w:rPr>
              <w:t>年</w:t>
            </w:r>
            <w:r>
              <w:rPr>
                <w:rFonts w:ascii="宋体"/>
                <w:szCs w:val="21"/>
              </w:rPr>
              <w:t>12</w:t>
            </w:r>
            <w:r>
              <w:rPr>
                <w:rFonts w:ascii="宋体"/>
                <w:szCs w:val="21"/>
              </w:rPr>
              <w:t>月</w:t>
            </w:r>
            <w:r>
              <w:rPr>
                <w:rFonts w:ascii="宋体"/>
                <w:szCs w:val="21"/>
              </w:rPr>
              <w:t>18</w:t>
            </w:r>
            <w:r>
              <w:rPr>
                <w:rFonts w:ascii="宋体"/>
                <w:szCs w:val="21"/>
              </w:rPr>
              <w:t>日</w:t>
            </w:r>
          </w:p>
        </w:tc>
      </w:tr>
      <w:tr w:rsidR="00881FA3">
        <w:trPr>
          <w:trHeight w:val="335"/>
        </w:trPr>
        <w:tc>
          <w:tcPr>
            <w:tcW w:w="3138" w:type="dxa"/>
          </w:tcPr>
          <w:p w:rsidR="00881FA3" w:rsidRDefault="008D37B6">
            <w:pPr>
              <w:rPr>
                <w:szCs w:val="21"/>
              </w:rPr>
            </w:pPr>
            <w:r>
              <w:rPr>
                <w:rFonts w:hint="eastAsia"/>
                <w:szCs w:val="21"/>
              </w:rPr>
              <w:t>除息日</w:t>
            </w:r>
          </w:p>
        </w:tc>
        <w:tc>
          <w:tcPr>
            <w:tcW w:w="5683" w:type="dxa"/>
          </w:tcPr>
          <w:p w:rsidR="00881FA3" w:rsidRDefault="008D37B6">
            <w:pPr>
              <w:rPr>
                <w:szCs w:val="21"/>
              </w:rPr>
            </w:pPr>
            <w:bookmarkStart w:id="27" w:name="t_6_2_2836_a1_fm1"/>
            <w:bookmarkEnd w:id="27"/>
            <w:r>
              <w:rPr>
                <w:rFonts w:ascii="宋体"/>
                <w:szCs w:val="21"/>
              </w:rPr>
              <w:t>2025</w:t>
            </w:r>
            <w:r>
              <w:rPr>
                <w:rFonts w:ascii="宋体"/>
                <w:szCs w:val="21"/>
              </w:rPr>
              <w:t>年</w:t>
            </w:r>
            <w:r>
              <w:rPr>
                <w:rFonts w:ascii="宋体"/>
                <w:szCs w:val="21"/>
              </w:rPr>
              <w:t>12</w:t>
            </w:r>
            <w:r>
              <w:rPr>
                <w:rFonts w:ascii="宋体"/>
                <w:szCs w:val="21"/>
              </w:rPr>
              <w:t>月</w:t>
            </w:r>
            <w:r>
              <w:rPr>
                <w:rFonts w:ascii="宋体"/>
                <w:szCs w:val="21"/>
              </w:rPr>
              <w:t>18</w:t>
            </w:r>
            <w:r>
              <w:rPr>
                <w:rFonts w:ascii="宋体"/>
                <w:szCs w:val="21"/>
              </w:rPr>
              <w:t>日</w:t>
            </w:r>
          </w:p>
        </w:tc>
      </w:tr>
      <w:tr w:rsidR="00881FA3">
        <w:trPr>
          <w:trHeight w:val="320"/>
        </w:trPr>
        <w:tc>
          <w:tcPr>
            <w:tcW w:w="3138" w:type="dxa"/>
          </w:tcPr>
          <w:p w:rsidR="00881FA3" w:rsidRDefault="008D37B6">
            <w:pPr>
              <w:rPr>
                <w:szCs w:val="21"/>
              </w:rPr>
            </w:pPr>
            <w:r>
              <w:rPr>
                <w:rFonts w:hint="eastAsia"/>
                <w:szCs w:val="21"/>
              </w:rPr>
              <w:t>现金红利发放日</w:t>
            </w:r>
          </w:p>
        </w:tc>
        <w:tc>
          <w:tcPr>
            <w:tcW w:w="5683" w:type="dxa"/>
          </w:tcPr>
          <w:p w:rsidR="00881FA3" w:rsidRDefault="008D37B6">
            <w:pPr>
              <w:rPr>
                <w:rFonts w:ascii="宋体"/>
                <w:szCs w:val="21"/>
              </w:rPr>
            </w:pPr>
            <w:bookmarkStart w:id="28" w:name="t_6_2_2760_a1_fm1"/>
            <w:bookmarkEnd w:id="28"/>
            <w:r>
              <w:rPr>
                <w:rFonts w:ascii="宋体"/>
                <w:szCs w:val="21"/>
              </w:rPr>
              <w:t>2025</w:t>
            </w:r>
            <w:r>
              <w:rPr>
                <w:rFonts w:ascii="宋体"/>
                <w:szCs w:val="21"/>
              </w:rPr>
              <w:t>年</w:t>
            </w:r>
            <w:r>
              <w:rPr>
                <w:rFonts w:ascii="宋体"/>
                <w:szCs w:val="21"/>
              </w:rPr>
              <w:t>12</w:t>
            </w:r>
            <w:r>
              <w:rPr>
                <w:rFonts w:ascii="宋体"/>
                <w:szCs w:val="21"/>
              </w:rPr>
              <w:t>月</w:t>
            </w:r>
            <w:r>
              <w:rPr>
                <w:rFonts w:ascii="宋体"/>
                <w:szCs w:val="21"/>
              </w:rPr>
              <w:t>19</w:t>
            </w:r>
            <w:r>
              <w:rPr>
                <w:rFonts w:ascii="宋体"/>
                <w:szCs w:val="21"/>
              </w:rPr>
              <w:t>日</w:t>
            </w:r>
          </w:p>
        </w:tc>
      </w:tr>
      <w:tr w:rsidR="00881FA3">
        <w:trPr>
          <w:trHeight w:val="335"/>
        </w:trPr>
        <w:tc>
          <w:tcPr>
            <w:tcW w:w="3138" w:type="dxa"/>
          </w:tcPr>
          <w:p w:rsidR="00881FA3" w:rsidRDefault="008D37B6">
            <w:pPr>
              <w:rPr>
                <w:szCs w:val="21"/>
              </w:rPr>
            </w:pPr>
            <w:r>
              <w:rPr>
                <w:rFonts w:hint="eastAsia"/>
                <w:szCs w:val="21"/>
              </w:rPr>
              <w:t>分红对象</w:t>
            </w:r>
          </w:p>
        </w:tc>
        <w:tc>
          <w:tcPr>
            <w:tcW w:w="5683" w:type="dxa"/>
          </w:tcPr>
          <w:p w:rsidR="00881FA3" w:rsidRDefault="008D37B6">
            <w:pPr>
              <w:rPr>
                <w:rFonts w:ascii="宋体"/>
                <w:szCs w:val="21"/>
              </w:rPr>
            </w:pPr>
            <w:bookmarkStart w:id="29" w:name="t_6_2_2761_a1_fm1"/>
            <w:bookmarkEnd w:id="29"/>
            <w:r>
              <w:rPr>
                <w:rFonts w:ascii="宋体" w:cs="宋体"/>
                <w:szCs w:val="21"/>
              </w:rPr>
              <w:t>权益登记日，本基金</w:t>
            </w:r>
            <w:r>
              <w:rPr>
                <w:rFonts w:ascii="宋体" w:cs="宋体" w:hint="eastAsia"/>
                <w:szCs w:val="21"/>
              </w:rPr>
              <w:t>登记机构</w:t>
            </w:r>
            <w:r>
              <w:rPr>
                <w:rFonts w:ascii="宋体" w:cs="宋体"/>
                <w:szCs w:val="21"/>
              </w:rPr>
              <w:t>登记在册的本基金全体份额持有人。</w:t>
            </w:r>
          </w:p>
        </w:tc>
      </w:tr>
      <w:tr w:rsidR="00881FA3">
        <w:trPr>
          <w:trHeight w:val="335"/>
        </w:trPr>
        <w:tc>
          <w:tcPr>
            <w:tcW w:w="3138" w:type="dxa"/>
            <w:vAlign w:val="center"/>
          </w:tcPr>
          <w:p w:rsidR="00881FA3" w:rsidRDefault="008D37B6">
            <w:pPr>
              <w:rPr>
                <w:szCs w:val="21"/>
              </w:rPr>
            </w:pPr>
            <w:r>
              <w:rPr>
                <w:rFonts w:hint="eastAsia"/>
                <w:szCs w:val="21"/>
              </w:rPr>
              <w:t>红利再投资相关事项的说明</w:t>
            </w:r>
          </w:p>
        </w:tc>
        <w:tc>
          <w:tcPr>
            <w:tcW w:w="5683" w:type="dxa"/>
          </w:tcPr>
          <w:p w:rsidR="00881FA3" w:rsidRDefault="008D37B6">
            <w:pPr>
              <w:rPr>
                <w:rFonts w:ascii="宋体" w:cs="宋体"/>
                <w:szCs w:val="21"/>
              </w:rPr>
            </w:pPr>
            <w:bookmarkStart w:id="30" w:name="t_6_2_2762_a1_fm1"/>
            <w:bookmarkEnd w:id="30"/>
            <w:r>
              <w:rPr>
                <w:rFonts w:ascii="宋体" w:cs="宋体"/>
                <w:szCs w:val="21"/>
              </w:rPr>
              <w:t>本基金收益分配方式为现金分红。</w:t>
            </w:r>
          </w:p>
        </w:tc>
      </w:tr>
      <w:tr w:rsidR="00881FA3">
        <w:trPr>
          <w:trHeight w:val="335"/>
        </w:trPr>
        <w:tc>
          <w:tcPr>
            <w:tcW w:w="3138" w:type="dxa"/>
          </w:tcPr>
          <w:p w:rsidR="00881FA3" w:rsidRDefault="008D37B6">
            <w:pPr>
              <w:rPr>
                <w:szCs w:val="21"/>
              </w:rPr>
            </w:pPr>
            <w:r>
              <w:rPr>
                <w:rFonts w:hint="eastAsia"/>
                <w:szCs w:val="21"/>
              </w:rPr>
              <w:t>税收相关事项的说明</w:t>
            </w:r>
          </w:p>
        </w:tc>
        <w:tc>
          <w:tcPr>
            <w:tcW w:w="5683" w:type="dxa"/>
          </w:tcPr>
          <w:p w:rsidR="00881FA3" w:rsidRDefault="008D37B6">
            <w:pPr>
              <w:rPr>
                <w:rFonts w:ascii="宋体" w:cs="宋体"/>
                <w:szCs w:val="21"/>
              </w:rPr>
            </w:pPr>
            <w:bookmarkStart w:id="31" w:name="t_6_2_2764_a1_fm1"/>
            <w:bookmarkEnd w:id="31"/>
            <w:r>
              <w:rPr>
                <w:rFonts w:ascii="宋体" w:cs="宋体"/>
                <w:szCs w:val="21"/>
              </w:rPr>
              <w:t>根据财政部、国家税务总局的财税字</w:t>
            </w:r>
            <w:r>
              <w:rPr>
                <w:rFonts w:ascii="宋体" w:cs="宋体"/>
                <w:szCs w:val="21"/>
              </w:rPr>
              <w:t>[2002]128</w:t>
            </w:r>
            <w:r>
              <w:rPr>
                <w:rFonts w:ascii="宋体" w:cs="宋体"/>
                <w:szCs w:val="21"/>
              </w:rPr>
              <w:t>号《财政部、国家税务总局关于开放式证券投资基金有关税收问题的通知》，基金向投资者分配的基金收益，暂免征收所得税。</w:t>
            </w:r>
          </w:p>
        </w:tc>
      </w:tr>
      <w:tr w:rsidR="00881FA3">
        <w:trPr>
          <w:trHeight w:val="335"/>
        </w:trPr>
        <w:tc>
          <w:tcPr>
            <w:tcW w:w="3138" w:type="dxa"/>
          </w:tcPr>
          <w:p w:rsidR="00881FA3" w:rsidRDefault="008D37B6">
            <w:pPr>
              <w:rPr>
                <w:szCs w:val="21"/>
              </w:rPr>
            </w:pPr>
            <w:r>
              <w:rPr>
                <w:rFonts w:hint="eastAsia"/>
                <w:szCs w:val="21"/>
              </w:rPr>
              <w:lastRenderedPageBreak/>
              <w:t>费用相关事项的说明</w:t>
            </w:r>
          </w:p>
        </w:tc>
        <w:tc>
          <w:tcPr>
            <w:tcW w:w="5683" w:type="dxa"/>
          </w:tcPr>
          <w:p w:rsidR="00881FA3" w:rsidRDefault="008D37B6">
            <w:pPr>
              <w:rPr>
                <w:rFonts w:ascii="宋体" w:cs="宋体"/>
                <w:szCs w:val="21"/>
              </w:rPr>
            </w:pPr>
            <w:bookmarkStart w:id="32" w:name="t_6_2_2765_a1_fm1"/>
            <w:bookmarkEnd w:id="32"/>
            <w:r>
              <w:rPr>
                <w:rFonts w:ascii="宋体" w:cs="宋体"/>
                <w:szCs w:val="21"/>
              </w:rPr>
              <w:t>本基金本次分红免收分红手续费。</w:t>
            </w:r>
          </w:p>
        </w:tc>
      </w:tr>
    </w:tbl>
    <w:p w:rsidR="00881FA3" w:rsidRDefault="008D37B6" w:rsidP="008D37B6">
      <w:pPr>
        <w:pStyle w:val="Heading2"/>
        <w:spacing w:beforeLines="50" w:afterLines="50" w:line="240" w:lineRule="auto"/>
        <w:jc w:val="left"/>
        <w:rPr>
          <w:rFonts w:ascii="宋体" w:eastAsia="宋体"/>
          <w:bCs/>
          <w:sz w:val="24"/>
          <w:szCs w:val="24"/>
        </w:rPr>
        <w:pPrChange w:id="33" w:author="ZHONGM" w:date="2025-12-17T00:02:00Z">
          <w:pPr>
            <w:pStyle w:val="Heading2"/>
            <w:spacing w:beforeLines="50" w:afterLines="50" w:line="240" w:lineRule="auto"/>
            <w:jc w:val="left"/>
          </w:pPr>
        </w:pPrChange>
      </w:pPr>
      <w:r>
        <w:rPr>
          <w:rFonts w:ascii="宋体" w:eastAsia="宋体" w:hint="eastAsia"/>
          <w:bCs/>
          <w:sz w:val="24"/>
          <w:szCs w:val="24"/>
        </w:rPr>
        <w:t xml:space="preserve">3 </w:t>
      </w:r>
      <w:bookmarkStart w:id="34" w:name="t_6_3_table"/>
      <w:bookmarkEnd w:id="34"/>
      <w:r>
        <w:rPr>
          <w:rFonts w:ascii="宋体" w:eastAsia="宋体" w:hint="eastAsia"/>
          <w:bCs/>
          <w:sz w:val="24"/>
          <w:szCs w:val="24"/>
        </w:rPr>
        <w:t>其他需要提示的事项</w:t>
      </w:r>
    </w:p>
    <w:p w:rsidR="00881FA3" w:rsidRDefault="008D37B6">
      <w:pPr>
        <w:widowControl/>
        <w:numPr>
          <w:ilvl w:val="0"/>
          <w:numId w:val="1"/>
        </w:numPr>
        <w:spacing w:before="100" w:beforeAutospacing="1" w:after="100" w:afterAutospacing="1" w:line="360" w:lineRule="auto"/>
        <w:ind w:left="0" w:firstLine="420"/>
        <w:jc w:val="left"/>
        <w:rPr>
          <w:rFonts w:ascii="宋体" w:cs="宋体"/>
          <w:szCs w:val="21"/>
        </w:rPr>
      </w:pPr>
      <w:bookmarkStart w:id="35" w:name="t_6_3_2646_a1_fm1"/>
      <w:bookmarkEnd w:id="35"/>
      <w:r>
        <w:rPr>
          <w:rFonts w:ascii="宋体" w:cs="宋体"/>
          <w:szCs w:val="21"/>
        </w:rPr>
        <w:t>权益登记日申请申购的基金份额不享有本次分红权益，权益登记日申请赎回的基金份额享有本次分红权益。</w:t>
      </w:r>
    </w:p>
    <w:p w:rsidR="00881FA3" w:rsidRDefault="008D37B6">
      <w:pPr>
        <w:widowControl/>
        <w:numPr>
          <w:ilvl w:val="0"/>
          <w:numId w:val="1"/>
        </w:numPr>
        <w:spacing w:before="100" w:beforeAutospacing="1" w:after="100" w:afterAutospacing="1" w:line="360" w:lineRule="auto"/>
        <w:ind w:left="0" w:firstLine="420"/>
        <w:jc w:val="left"/>
        <w:rPr>
          <w:rFonts w:ascii="宋体" w:cs="宋体"/>
          <w:szCs w:val="21"/>
        </w:rPr>
      </w:pPr>
      <w:r>
        <w:rPr>
          <w:rFonts w:ascii="宋体" w:cs="宋体"/>
          <w:szCs w:val="21"/>
        </w:rPr>
        <w:t>本基金收益分配方式为现金分红</w:t>
      </w:r>
      <w:r>
        <w:rPr>
          <w:rFonts w:ascii="宋体" w:cs="宋体" w:hint="eastAsia"/>
          <w:szCs w:val="21"/>
        </w:rPr>
        <w:t>。</w:t>
      </w:r>
    </w:p>
    <w:p w:rsidR="00881FA3" w:rsidRDefault="008D37B6">
      <w:pPr>
        <w:widowControl/>
        <w:numPr>
          <w:ilvl w:val="0"/>
          <w:numId w:val="1"/>
        </w:numPr>
        <w:spacing w:before="100" w:beforeAutospacing="1" w:after="100" w:afterAutospacing="1" w:line="360" w:lineRule="auto"/>
        <w:ind w:left="0" w:firstLine="420"/>
        <w:jc w:val="left"/>
        <w:rPr>
          <w:rFonts w:ascii="宋体" w:cs="宋体"/>
          <w:szCs w:val="21"/>
        </w:rPr>
      </w:pPr>
      <w:r>
        <w:rPr>
          <w:rFonts w:ascii="宋体" w:cs="宋体" w:hint="eastAsia"/>
          <w:szCs w:val="21"/>
        </w:rPr>
        <w:t>因分红导致基金净值变化不会</w:t>
      </w:r>
      <w:r>
        <w:rPr>
          <w:rFonts w:ascii="宋体" w:cs="宋体"/>
          <w:szCs w:val="21"/>
        </w:rPr>
        <w:t>改变本基金的风险收益特征，也不会因此降低基金投资风险或提高基金投资收益。</w:t>
      </w:r>
      <w:r>
        <w:rPr>
          <w:rFonts w:ascii="宋体" w:cs="宋体" w:hint="eastAsia"/>
          <w:szCs w:val="21"/>
        </w:rPr>
        <w:t>因分红导致基金净值调整至</w:t>
      </w:r>
      <w:r>
        <w:rPr>
          <w:rFonts w:ascii="宋体" w:cs="宋体" w:hint="eastAsia"/>
          <w:szCs w:val="21"/>
        </w:rPr>
        <w:t>1</w:t>
      </w:r>
      <w:r>
        <w:rPr>
          <w:rFonts w:ascii="宋体" w:cs="宋体" w:hint="eastAsia"/>
          <w:szCs w:val="21"/>
        </w:rPr>
        <w:t>元初始面值或</w:t>
      </w:r>
      <w:r>
        <w:rPr>
          <w:rFonts w:ascii="宋体" w:cs="宋体" w:hint="eastAsia"/>
          <w:szCs w:val="21"/>
        </w:rPr>
        <w:t>1</w:t>
      </w:r>
      <w:r>
        <w:rPr>
          <w:rFonts w:ascii="宋体" w:cs="宋体" w:hint="eastAsia"/>
          <w:szCs w:val="21"/>
        </w:rPr>
        <w:t>元附近，在市场波动等因素的影响下，基金投资仍有可能出现亏损或基金净值仍有可能低于初始面值。</w:t>
      </w:r>
    </w:p>
    <w:p w:rsidR="00881FA3" w:rsidRDefault="008D37B6">
      <w:pPr>
        <w:widowControl/>
        <w:numPr>
          <w:ilvl w:val="0"/>
          <w:numId w:val="1"/>
        </w:numPr>
        <w:spacing w:before="100" w:beforeAutospacing="1" w:line="360" w:lineRule="auto"/>
        <w:ind w:left="0" w:firstLine="420"/>
        <w:jc w:val="left"/>
        <w:rPr>
          <w:rFonts w:ascii="宋体" w:cs="宋体"/>
          <w:szCs w:val="21"/>
        </w:rPr>
      </w:pPr>
      <w:r>
        <w:rPr>
          <w:rFonts w:ascii="宋体" w:cs="宋体" w:hint="eastAsia"/>
          <w:szCs w:val="21"/>
        </w:rPr>
        <w:t>投资者可通过以下方式咨询详情：</w:t>
      </w:r>
      <w:r>
        <w:rPr>
          <w:rFonts w:ascii="宋体" w:cs="宋体"/>
          <w:szCs w:val="21"/>
        </w:rPr>
        <w:t xml:space="preserve"> </w:t>
      </w:r>
    </w:p>
    <w:p w:rsidR="00881FA3" w:rsidRDefault="008D37B6">
      <w:pPr>
        <w:pStyle w:val="af"/>
        <w:numPr>
          <w:ilvl w:val="0"/>
          <w:numId w:val="2"/>
        </w:numPr>
        <w:spacing w:line="360" w:lineRule="auto"/>
        <w:ind w:firstLineChars="0"/>
        <w:rPr>
          <w:rFonts w:ascii="宋体"/>
          <w:szCs w:val="21"/>
        </w:rPr>
      </w:pPr>
      <w:r>
        <w:rPr>
          <w:rFonts w:ascii="宋体" w:hint="eastAsia"/>
          <w:szCs w:val="21"/>
        </w:rPr>
        <w:t>本公司客户服务电话：</w:t>
      </w:r>
      <w:r>
        <w:rPr>
          <w:rFonts w:ascii="宋体" w:hint="eastAsia"/>
          <w:szCs w:val="21"/>
        </w:rPr>
        <w:t>400-606-6188</w:t>
      </w:r>
    </w:p>
    <w:p w:rsidR="00881FA3" w:rsidRDefault="008D37B6">
      <w:pPr>
        <w:pStyle w:val="af"/>
        <w:numPr>
          <w:ilvl w:val="0"/>
          <w:numId w:val="2"/>
        </w:numPr>
        <w:spacing w:line="360" w:lineRule="auto"/>
        <w:ind w:firstLineChars="0"/>
        <w:rPr>
          <w:rFonts w:ascii="宋体"/>
          <w:szCs w:val="21"/>
        </w:rPr>
      </w:pPr>
      <w:r>
        <w:rPr>
          <w:rFonts w:ascii="宋体" w:hint="eastAsia"/>
          <w:szCs w:val="21"/>
        </w:rPr>
        <w:t>本公司网站：</w:t>
      </w:r>
      <w:r>
        <w:rPr>
          <w:rFonts w:ascii="宋体" w:hint="eastAsia"/>
          <w:szCs w:val="21"/>
        </w:rPr>
        <w:t>www.xyamc.com</w:t>
      </w:r>
    </w:p>
    <w:p w:rsidR="00881FA3" w:rsidRDefault="008D37B6">
      <w:pPr>
        <w:spacing w:line="360" w:lineRule="auto"/>
        <w:ind w:firstLineChars="200" w:firstLine="420"/>
        <w:jc w:val="left"/>
        <w:rPr>
          <w:rFonts w:ascii="宋体" w:cs="宋体"/>
          <w:szCs w:val="21"/>
        </w:rPr>
      </w:pPr>
      <w:r>
        <w:rPr>
          <w:rFonts w:ascii="宋体" w:cs="宋体" w:hint="eastAsia"/>
          <w:szCs w:val="21"/>
        </w:rPr>
        <w:t>投资者也可前往本基金有关销售机构进行咨询，本基金的销售机构详见基金管理人网站，基金管理人可根据情况变更或调整本基金的销售机构，并在基金管理人网站公示。</w:t>
      </w:r>
    </w:p>
    <w:p w:rsidR="00881FA3" w:rsidRDefault="008D37B6">
      <w:pPr>
        <w:spacing w:line="360" w:lineRule="auto"/>
        <w:ind w:firstLineChars="200" w:firstLine="420"/>
        <w:jc w:val="left"/>
        <w:rPr>
          <w:szCs w:val="21"/>
        </w:rPr>
      </w:pPr>
      <w:r>
        <w:rPr>
          <w:szCs w:val="21"/>
        </w:rPr>
        <w:t>风险提示：基金管理人依照恪尽职守、诚实信用、谨慎勤勉的原则管理和运用基金财产，但不保证基金一定盈利，也不保证</w:t>
      </w:r>
      <w:r>
        <w:rPr>
          <w:szCs w:val="21"/>
        </w:rPr>
        <w:t>最低收益。</w:t>
      </w:r>
      <w:r>
        <w:rPr>
          <w:rFonts w:hint="eastAsia"/>
          <w:szCs w:val="21"/>
        </w:rPr>
        <w:t>基金的过往业绩并不预示其未来表现。</w:t>
      </w:r>
      <w:r>
        <w:rPr>
          <w:szCs w:val="21"/>
        </w:rPr>
        <w:t>基金管理人管理的其它基金的业绩并不构成对本基金业绩表现的保证。投资者申购基金份额时应认真阅读招募说明书，全面认识本基金产品的风险收益特征，充分考虑投资者自身的风险承受能力</w:t>
      </w:r>
      <w:r>
        <w:rPr>
          <w:rFonts w:hint="eastAsia"/>
          <w:szCs w:val="21"/>
        </w:rPr>
        <w:t>。</w:t>
      </w:r>
    </w:p>
    <w:p w:rsidR="00881FA3" w:rsidRDefault="00881FA3">
      <w:pPr>
        <w:spacing w:line="360" w:lineRule="auto"/>
        <w:ind w:firstLineChars="200" w:firstLine="420"/>
        <w:jc w:val="left"/>
        <w:rPr>
          <w:rFonts w:ascii="宋体"/>
          <w:szCs w:val="21"/>
        </w:rPr>
      </w:pPr>
    </w:p>
    <w:p w:rsidR="00881FA3" w:rsidRDefault="008D37B6">
      <w:pPr>
        <w:spacing w:line="360" w:lineRule="auto"/>
        <w:ind w:firstLineChars="200" w:firstLine="480"/>
        <w:jc w:val="right"/>
        <w:rPr>
          <w:rFonts w:ascii="宋体"/>
          <w:sz w:val="24"/>
          <w:szCs w:val="30"/>
        </w:rPr>
      </w:pPr>
      <w:r>
        <w:rPr>
          <w:rFonts w:ascii="宋体" w:hint="eastAsia"/>
          <w:sz w:val="24"/>
          <w:szCs w:val="30"/>
        </w:rPr>
        <w:t>鑫元基金管理有限公司</w:t>
      </w:r>
    </w:p>
    <w:p w:rsidR="00881FA3" w:rsidRDefault="008D37B6">
      <w:pPr>
        <w:spacing w:line="360" w:lineRule="auto"/>
        <w:ind w:firstLineChars="200" w:firstLine="480"/>
        <w:jc w:val="right"/>
        <w:rPr>
          <w:rFonts w:ascii="宋体"/>
          <w:szCs w:val="21"/>
        </w:rPr>
      </w:pPr>
      <w:r>
        <w:rPr>
          <w:rFonts w:ascii="宋体"/>
          <w:sz w:val="24"/>
          <w:szCs w:val="30"/>
        </w:rPr>
        <w:t>2025</w:t>
      </w:r>
      <w:r>
        <w:rPr>
          <w:rFonts w:ascii="宋体"/>
          <w:sz w:val="24"/>
          <w:szCs w:val="30"/>
        </w:rPr>
        <w:t>年</w:t>
      </w:r>
      <w:r>
        <w:rPr>
          <w:rFonts w:ascii="宋体"/>
          <w:sz w:val="24"/>
          <w:szCs w:val="30"/>
        </w:rPr>
        <w:t>12</w:t>
      </w:r>
      <w:r>
        <w:rPr>
          <w:rFonts w:ascii="宋体"/>
          <w:sz w:val="24"/>
          <w:szCs w:val="30"/>
        </w:rPr>
        <w:t>月</w:t>
      </w:r>
      <w:r>
        <w:rPr>
          <w:rFonts w:ascii="宋体"/>
          <w:sz w:val="24"/>
          <w:szCs w:val="30"/>
        </w:rPr>
        <w:t>17</w:t>
      </w:r>
      <w:r>
        <w:rPr>
          <w:rFonts w:ascii="宋体"/>
          <w:sz w:val="24"/>
          <w:szCs w:val="30"/>
        </w:rPr>
        <w:t>日</w:t>
      </w:r>
    </w:p>
    <w:sectPr w:rsidR="00881FA3" w:rsidSect="00881FA3">
      <w:headerReference w:type="default" r:id="rId8"/>
      <w:footerReference w:type="default" r:id="rId9"/>
      <w:pgSz w:w="11906" w:h="16838"/>
      <w:pgMar w:top="1440" w:right="1531" w:bottom="1134" w:left="1531" w:header="851" w:footer="992" w:gutter="0"/>
      <w:cols w:space="1701"/>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FA3" w:rsidRDefault="008D37B6">
      <w:r>
        <w:separator/>
      </w:r>
    </w:p>
  </w:endnote>
  <w:endnote w:type="continuationSeparator" w:id="0">
    <w:p w:rsidR="00881FA3" w:rsidRDefault="008D37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FA3" w:rsidRDefault="008D37B6">
    <w:pPr>
      <w:pStyle w:val="Footer"/>
      <w:snapToGrid/>
      <w:jc w:val="center"/>
    </w:pPr>
    <w:r>
      <w:rPr>
        <w:rFonts w:hint="eastAsia"/>
      </w:rPr>
      <w:t>第</w:t>
    </w:r>
    <w:r>
      <w:rPr>
        <w:rFonts w:hint="eastAsia"/>
      </w:rPr>
      <w:t xml:space="preserve"> </w:t>
    </w:r>
    <w:r w:rsidR="00881FA3">
      <w:fldChar w:fldCharType="begin"/>
    </w:r>
    <w:r>
      <w:instrText xml:space="preserve"> </w:instrText>
    </w:r>
    <w:r>
      <w:rPr>
        <w:rFonts w:hint="eastAsia"/>
      </w:rPr>
      <w:instrText>PAGE   \* MERGEFORMAT</w:instrText>
    </w:r>
    <w:r>
      <w:instrText xml:space="preserve"> </w:instrText>
    </w:r>
    <w:r w:rsidR="00881FA3">
      <w:fldChar w:fldCharType="separate"/>
    </w:r>
    <w:r>
      <w:rPr>
        <w:noProof/>
      </w:rPr>
      <w:t>1</w:t>
    </w:r>
    <w:r w:rsidR="00881FA3">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FA3" w:rsidRDefault="008D37B6">
      <w:r>
        <w:separator/>
      </w:r>
    </w:p>
  </w:footnote>
  <w:footnote w:type="continuationSeparator" w:id="0">
    <w:p w:rsidR="00881FA3" w:rsidRDefault="008D3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FA3" w:rsidRDefault="00881FA3">
    <w:pPr>
      <w:pStyle w:val="Header"/>
      <w:snapToGrid/>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50pt;height:50pt;z-index:251657728;visibility:hidden#_x0000_t75" filled="t" stroked="t">
          <v:stroke joinstyle="round"/>
          <v:path o:extrusionok="t" gradientshapeok="f" o:connecttype="segments"/>
          <o:lock v:ext="edit" aspectratio="f" selection="t"/>
        </v:shape>
      </w:pict>
    </w:r>
    <w:r w:rsidR="008D37B6">
      <w:pict>
        <v:shape id="_x0000_i0" o:spid="_x0000_i1025" type="#_x0000_t75" style="width:107.25pt;height:17.25pt;mso-wrap-distance-left:0;mso-wrap-distance-top:0;mso-wrap-distance-right:0;mso-wrap-distance-bottom:0">
          <v:imagedata r:id="rId1" o:title=""/>
          <v:path textboxrect="0,0,0,0"/>
        </v:shape>
      </w:pict>
    </w:r>
    <w:r w:rsidR="008D37B6">
      <w:rPr>
        <w:rFonts w:hint="eastAsia"/>
      </w:rPr>
      <w:t xml:space="preserve"> </w:t>
    </w:r>
    <w:r w:rsidR="008D37B6">
      <w:t xml:space="preserve">   </w:t>
    </w:r>
    <w:r w:rsidR="008D37B6">
      <w:rPr>
        <w:rFonts w:hint="eastAsia"/>
      </w:rPr>
      <w:t xml:space="preserve">                </w:t>
    </w:r>
    <w:r w:rsidR="008D37B6">
      <w:t xml:space="preserve">                   </w:t>
    </w:r>
    <w:r w:rsidR="008D37B6">
      <w:rPr>
        <w:rFonts w:hint="eastAsia"/>
      </w:rPr>
      <w:t xml:space="preserve"> </w:t>
    </w:r>
    <w:r w:rsidR="008D37B6">
      <w:t>鑫元安硕两年定期开放债券型证券投资基金</w:t>
    </w:r>
    <w:r w:rsidR="008D37B6">
      <w:rPr>
        <w:rFonts w:hint="eastAsia"/>
      </w:rPr>
      <w:t>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0223D"/>
    <w:multiLevelType w:val="hybridMultilevel"/>
    <w:tmpl w:val="7A881862"/>
    <w:lvl w:ilvl="0" w:tplc="BA34FC74">
      <w:start w:val="1"/>
      <w:numFmt w:val="decimal"/>
      <w:lvlRestart w:val="0"/>
      <w:lvlText w:val="（%1）"/>
      <w:legacy w:legacy="1" w:legacySpace="0" w:legacyIndent="420"/>
      <w:lvlJc w:val="left"/>
      <w:pPr>
        <w:snapToGrid/>
        <w:ind w:left="840" w:hanging="420"/>
      </w:pPr>
      <w:rPr>
        <w:rFonts w:hint="eastAsia"/>
      </w:rPr>
    </w:lvl>
    <w:lvl w:ilvl="1" w:tplc="88B2ABFC">
      <w:start w:val="1"/>
      <w:numFmt w:val="lowerLetter"/>
      <w:lvlText w:val="%2)"/>
      <w:legacy w:legacy="1" w:legacySpace="0" w:legacyIndent="420"/>
      <w:lvlJc w:val="left"/>
      <w:pPr>
        <w:snapToGrid/>
        <w:ind w:left="1260" w:hanging="420"/>
      </w:pPr>
    </w:lvl>
    <w:lvl w:ilvl="2" w:tplc="5832DDF0">
      <w:start w:val="1"/>
      <w:numFmt w:val="lowerRoman"/>
      <w:lvlText w:val="%3."/>
      <w:legacy w:legacy="1" w:legacySpace="0" w:legacyIndent="420"/>
      <w:lvlJc w:val="right"/>
      <w:pPr>
        <w:snapToGrid/>
        <w:ind w:left="1680" w:hanging="420"/>
      </w:pPr>
    </w:lvl>
    <w:lvl w:ilvl="3" w:tplc="F2E8522E">
      <w:start w:val="1"/>
      <w:numFmt w:val="decimal"/>
      <w:lvlText w:val="%4."/>
      <w:legacy w:legacy="1" w:legacySpace="0" w:legacyIndent="420"/>
      <w:lvlJc w:val="left"/>
      <w:pPr>
        <w:snapToGrid/>
        <w:ind w:left="2100" w:hanging="420"/>
      </w:pPr>
    </w:lvl>
    <w:lvl w:ilvl="4" w:tplc="2B2CB186">
      <w:start w:val="1"/>
      <w:numFmt w:val="lowerLetter"/>
      <w:lvlText w:val="%5)"/>
      <w:legacy w:legacy="1" w:legacySpace="0" w:legacyIndent="420"/>
      <w:lvlJc w:val="left"/>
      <w:pPr>
        <w:snapToGrid/>
        <w:ind w:left="2520" w:hanging="420"/>
      </w:pPr>
    </w:lvl>
    <w:lvl w:ilvl="5" w:tplc="F864D802">
      <w:start w:val="1"/>
      <w:numFmt w:val="lowerRoman"/>
      <w:lvlText w:val="%6."/>
      <w:legacy w:legacy="1" w:legacySpace="0" w:legacyIndent="420"/>
      <w:lvlJc w:val="right"/>
      <w:pPr>
        <w:snapToGrid/>
        <w:ind w:left="2940" w:hanging="420"/>
      </w:pPr>
    </w:lvl>
    <w:lvl w:ilvl="6" w:tplc="49108018">
      <w:start w:val="1"/>
      <w:numFmt w:val="decimal"/>
      <w:lvlText w:val="%7."/>
      <w:legacy w:legacy="1" w:legacySpace="0" w:legacyIndent="420"/>
      <w:lvlJc w:val="left"/>
      <w:pPr>
        <w:snapToGrid/>
        <w:ind w:left="3360" w:hanging="420"/>
      </w:pPr>
    </w:lvl>
    <w:lvl w:ilvl="7" w:tplc="B6C2B146">
      <w:start w:val="1"/>
      <w:numFmt w:val="lowerLetter"/>
      <w:lvlText w:val="%8)"/>
      <w:legacy w:legacy="1" w:legacySpace="0" w:legacyIndent="420"/>
      <w:lvlJc w:val="left"/>
      <w:pPr>
        <w:snapToGrid/>
        <w:ind w:left="3780" w:hanging="420"/>
      </w:pPr>
    </w:lvl>
    <w:lvl w:ilvl="8" w:tplc="6D248E94">
      <w:start w:val="1"/>
      <w:numFmt w:val="lowerRoman"/>
      <w:lvlText w:val="%9."/>
      <w:legacy w:legacy="1" w:legacySpace="0" w:legacyIndent="420"/>
      <w:lvlJc w:val="right"/>
      <w:pPr>
        <w:snapToGrid/>
        <w:ind w:left="4200" w:hanging="420"/>
      </w:pPr>
    </w:lvl>
  </w:abstractNum>
  <w:abstractNum w:abstractNumId="1">
    <w:nsid w:val="2DCF1934"/>
    <w:multiLevelType w:val="hybridMultilevel"/>
    <w:tmpl w:val="1EDAF920"/>
    <w:lvl w:ilvl="0" w:tplc="F7400110">
      <w:start w:val="1"/>
      <w:numFmt w:val="decimal"/>
      <w:lvlRestart w:val="0"/>
      <w:lvlText w:val="%1."/>
      <w:legacy w:legacy="1" w:legacySpace="0" w:legacyIndent="420"/>
      <w:lvlJc w:val="left"/>
      <w:pPr>
        <w:snapToGrid/>
        <w:ind w:left="845" w:hanging="420"/>
      </w:pPr>
    </w:lvl>
    <w:lvl w:ilvl="1" w:tplc="1966BCB6">
      <w:start w:val="1"/>
      <w:numFmt w:val="lowerLetter"/>
      <w:lvlText w:val="%2)"/>
      <w:legacy w:legacy="1" w:legacySpace="0" w:legacyIndent="420"/>
      <w:lvlJc w:val="left"/>
      <w:pPr>
        <w:snapToGrid/>
        <w:ind w:left="1320" w:hanging="420"/>
      </w:pPr>
    </w:lvl>
    <w:lvl w:ilvl="2" w:tplc="3C364284">
      <w:start w:val="1"/>
      <w:numFmt w:val="lowerRoman"/>
      <w:lvlText w:val="%3."/>
      <w:legacy w:legacy="1" w:legacySpace="0" w:legacyIndent="420"/>
      <w:lvlJc w:val="right"/>
      <w:pPr>
        <w:snapToGrid/>
        <w:ind w:left="1740" w:hanging="420"/>
      </w:pPr>
    </w:lvl>
    <w:lvl w:ilvl="3" w:tplc="17264DB6">
      <w:start w:val="1"/>
      <w:numFmt w:val="decimal"/>
      <w:lvlText w:val="%4."/>
      <w:legacy w:legacy="1" w:legacySpace="0" w:legacyIndent="420"/>
      <w:lvlJc w:val="left"/>
      <w:pPr>
        <w:snapToGrid/>
        <w:ind w:left="2160" w:hanging="420"/>
      </w:pPr>
    </w:lvl>
    <w:lvl w:ilvl="4" w:tplc="948C4042">
      <w:start w:val="1"/>
      <w:numFmt w:val="lowerLetter"/>
      <w:lvlText w:val="%5)"/>
      <w:legacy w:legacy="1" w:legacySpace="0" w:legacyIndent="420"/>
      <w:lvlJc w:val="left"/>
      <w:pPr>
        <w:snapToGrid/>
        <w:ind w:left="2580" w:hanging="420"/>
      </w:pPr>
    </w:lvl>
    <w:lvl w:ilvl="5" w:tplc="A140836A">
      <w:start w:val="1"/>
      <w:numFmt w:val="lowerRoman"/>
      <w:lvlText w:val="%6."/>
      <w:legacy w:legacy="1" w:legacySpace="0" w:legacyIndent="420"/>
      <w:lvlJc w:val="right"/>
      <w:pPr>
        <w:snapToGrid/>
        <w:ind w:left="3000" w:hanging="420"/>
      </w:pPr>
    </w:lvl>
    <w:lvl w:ilvl="6" w:tplc="2396B12A">
      <w:start w:val="1"/>
      <w:numFmt w:val="decimal"/>
      <w:lvlText w:val="%7."/>
      <w:legacy w:legacy="1" w:legacySpace="0" w:legacyIndent="420"/>
      <w:lvlJc w:val="left"/>
      <w:pPr>
        <w:snapToGrid/>
        <w:ind w:left="3420" w:hanging="420"/>
      </w:pPr>
    </w:lvl>
    <w:lvl w:ilvl="7" w:tplc="32A68FB8">
      <w:start w:val="1"/>
      <w:numFmt w:val="lowerLetter"/>
      <w:lvlText w:val="%8)"/>
      <w:legacy w:legacy="1" w:legacySpace="0" w:legacyIndent="420"/>
      <w:lvlJc w:val="left"/>
      <w:pPr>
        <w:snapToGrid/>
        <w:ind w:left="3840" w:hanging="420"/>
      </w:pPr>
    </w:lvl>
    <w:lvl w:ilvl="8" w:tplc="F3B2843A">
      <w:start w:val="1"/>
      <w:numFmt w:val="lowerRoman"/>
      <w:lvlText w:val="%9."/>
      <w:legacy w:legacy="1" w:legacySpace="0" w:legacyIndent="420"/>
      <w:lvlJc w:val="right"/>
      <w:pPr>
        <w:snapToGrid/>
        <w:ind w:left="4260" w:hanging="420"/>
      </w:pPr>
    </w:lvl>
  </w:abstractNum>
  <w:num w:numId="1">
    <w:abstractNumId w:val="1"/>
  </w:num>
  <w:num w:numId="2">
    <w:abstractNumId w:val="0"/>
    <w:lvlOverride w:ilvl="0">
      <w:startOverride w:val="1"/>
      <w:lvl w:ilvl="0" w:tplc="BA34FC74">
        <w:start w:val="1"/>
        <w:numFmt w:val="decimal"/>
        <w:lvlRestart w:val="0"/>
        <w:lvlText w:val="（%1）"/>
        <w:legacy w:legacy="1" w:legacySpace="0" w:legacyIndent="420"/>
        <w:lvlJc w:val="left"/>
        <w:pPr>
          <w:snapToGrid/>
          <w:ind w:left="840" w:hanging="420"/>
        </w:pPr>
        <w:rPr>
          <w:rFonts w:hint="eastAsia"/>
        </w:rPr>
      </w:lvl>
    </w:lvlOverride>
    <w:lvlOverride w:ilvl="1">
      <w:startOverride w:val="1"/>
      <w:lvl w:ilvl="1" w:tplc="88B2ABFC">
        <w:start w:val="1"/>
        <w:numFmt w:val="lowerLetter"/>
        <w:lvlText w:val="%2)"/>
        <w:legacy w:legacy="1" w:legacySpace="0" w:legacyIndent="420"/>
        <w:lvlJc w:val="left"/>
        <w:pPr>
          <w:snapToGrid/>
          <w:ind w:left="1260" w:hanging="420"/>
        </w:pPr>
      </w:lvl>
    </w:lvlOverride>
    <w:lvlOverride w:ilvl="2">
      <w:startOverride w:val="1"/>
      <w:lvl w:ilvl="2" w:tplc="5832DDF0">
        <w:start w:val="1"/>
        <w:numFmt w:val="lowerRoman"/>
        <w:lvlText w:val="%3."/>
        <w:legacy w:legacy="1" w:legacySpace="0" w:legacyIndent="420"/>
        <w:lvlJc w:val="right"/>
        <w:pPr>
          <w:snapToGrid/>
          <w:ind w:left="1680" w:hanging="420"/>
        </w:pPr>
      </w:lvl>
    </w:lvlOverride>
    <w:lvlOverride w:ilvl="3">
      <w:startOverride w:val="1"/>
      <w:lvl w:ilvl="3" w:tplc="F2E8522E">
        <w:start w:val="1"/>
        <w:numFmt w:val="decimal"/>
        <w:lvlText w:val="%4."/>
        <w:legacy w:legacy="1" w:legacySpace="0" w:legacyIndent="420"/>
        <w:lvlJc w:val="left"/>
        <w:pPr>
          <w:snapToGrid/>
          <w:ind w:left="2100" w:hanging="420"/>
        </w:pPr>
      </w:lvl>
    </w:lvlOverride>
    <w:lvlOverride w:ilvl="4">
      <w:startOverride w:val="1"/>
      <w:lvl w:ilvl="4" w:tplc="2B2CB186">
        <w:start w:val="1"/>
        <w:numFmt w:val="lowerLetter"/>
        <w:lvlText w:val="%5)"/>
        <w:legacy w:legacy="1" w:legacySpace="0" w:legacyIndent="420"/>
        <w:lvlJc w:val="left"/>
        <w:pPr>
          <w:snapToGrid/>
          <w:ind w:left="2520" w:hanging="420"/>
        </w:pPr>
      </w:lvl>
    </w:lvlOverride>
    <w:lvlOverride w:ilvl="5">
      <w:startOverride w:val="1"/>
      <w:lvl w:ilvl="5" w:tplc="F864D802">
        <w:start w:val="1"/>
        <w:numFmt w:val="lowerRoman"/>
        <w:lvlText w:val="%6."/>
        <w:legacy w:legacy="1" w:legacySpace="0" w:legacyIndent="420"/>
        <w:lvlJc w:val="right"/>
        <w:pPr>
          <w:snapToGrid/>
          <w:ind w:left="2940" w:hanging="420"/>
        </w:pPr>
      </w:lvl>
    </w:lvlOverride>
    <w:lvlOverride w:ilvl="6">
      <w:startOverride w:val="1"/>
      <w:lvl w:ilvl="6" w:tplc="49108018">
        <w:start w:val="1"/>
        <w:numFmt w:val="decimal"/>
        <w:lvlText w:val="%7."/>
        <w:legacy w:legacy="1" w:legacySpace="0" w:legacyIndent="420"/>
        <w:lvlJc w:val="left"/>
        <w:pPr>
          <w:snapToGrid/>
          <w:ind w:left="3360" w:hanging="420"/>
        </w:pPr>
      </w:lvl>
    </w:lvlOverride>
    <w:lvlOverride w:ilvl="7">
      <w:startOverride w:val="1"/>
      <w:lvl w:ilvl="7" w:tplc="B6C2B146">
        <w:start w:val="1"/>
        <w:numFmt w:val="lowerLetter"/>
        <w:lvlText w:val="%8)"/>
        <w:legacy w:legacy="1" w:legacySpace="0" w:legacyIndent="420"/>
        <w:lvlJc w:val="left"/>
        <w:pPr>
          <w:snapToGrid/>
          <w:ind w:left="3780" w:hanging="420"/>
        </w:pPr>
      </w:lvl>
    </w:lvlOverride>
    <w:lvlOverride w:ilvl="8">
      <w:startOverride w:val="1"/>
      <w:lvl w:ilvl="8" w:tplc="6D248E94">
        <w:start w:val="1"/>
        <w:numFmt w:val="lowerRoman"/>
        <w:lvlText w:val="%9."/>
        <w:legacy w:legacy="1" w:legacySpace="0" w:legacyIndent="420"/>
        <w:lvlJc w:val="right"/>
        <w:pPr>
          <w:snapToGrid/>
          <w:ind w:left="4200" w:hanging="42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trackRevisions/>
  <w:defaultTabStop w:val="420"/>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balanceSingleByteDoubleByteWidth/>
    <w:ulTrailSpace/>
    <w:doNotExpandShiftReturn/>
    <w:adjustLineHeightInTable/>
    <w:useFELayout/>
  </w:compat>
  <w:rsids>
    <w:rsidRoot w:val="00881FA3"/>
    <w:rsid w:val="00881FA3"/>
    <w:rsid w:val="008D37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1FA3"/>
    <w:pPr>
      <w:widowControl w:val="0"/>
      <w:jc w:val="both"/>
    </w:pPr>
    <w:rPr>
      <w:rFonts w:ascii="Calibri" w:hAnsi="Calibri"/>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881FA3"/>
    <w:rPr>
      <w:rFonts w:ascii="Arial" w:eastAsia="SimSun" w:hAnsi="Arial" w:cs="Arial"/>
      <w:sz w:val="40"/>
      <w:szCs w:val="40"/>
    </w:rPr>
  </w:style>
  <w:style w:type="character" w:customStyle="1" w:styleId="Heading2Char">
    <w:name w:val="Heading 2 Char"/>
    <w:basedOn w:val="a0"/>
    <w:link w:val="Heading2"/>
    <w:uiPriority w:val="9"/>
    <w:rsid w:val="00881FA3"/>
    <w:rPr>
      <w:rFonts w:ascii="Arial" w:eastAsia="SimSun" w:hAnsi="Arial" w:cs="Arial"/>
      <w:sz w:val="34"/>
    </w:rPr>
  </w:style>
  <w:style w:type="character" w:customStyle="1" w:styleId="Heading3Char">
    <w:name w:val="Heading 3 Char"/>
    <w:basedOn w:val="a0"/>
    <w:link w:val="Heading3"/>
    <w:uiPriority w:val="9"/>
    <w:rsid w:val="00881FA3"/>
    <w:rPr>
      <w:rFonts w:ascii="Arial" w:eastAsia="SimSun" w:hAnsi="Arial" w:cs="Arial"/>
      <w:sz w:val="30"/>
      <w:szCs w:val="30"/>
    </w:rPr>
  </w:style>
  <w:style w:type="paragraph" w:customStyle="1" w:styleId="Heading4">
    <w:name w:val="Heading 4"/>
    <w:basedOn w:val="a"/>
    <w:next w:val="a"/>
    <w:link w:val="Heading4Char"/>
    <w:uiPriority w:val="9"/>
    <w:unhideWhenUsed/>
    <w:qFormat/>
    <w:rsid w:val="00881FA3"/>
    <w:pPr>
      <w:keepNext/>
      <w:keepLines/>
      <w:spacing w:before="320" w:after="200"/>
      <w:outlineLvl w:val="3"/>
    </w:pPr>
    <w:rPr>
      <w:rFonts w:ascii="Arial" w:eastAsia="SimSun" w:hAnsi="Arial" w:cs="Arial"/>
      <w:b/>
      <w:bCs/>
      <w:sz w:val="26"/>
      <w:szCs w:val="26"/>
    </w:rPr>
  </w:style>
  <w:style w:type="character" w:customStyle="1" w:styleId="Heading4Char">
    <w:name w:val="Heading 4 Char"/>
    <w:basedOn w:val="a0"/>
    <w:link w:val="Heading4"/>
    <w:uiPriority w:val="9"/>
    <w:rsid w:val="00881FA3"/>
    <w:rPr>
      <w:rFonts w:ascii="Arial" w:eastAsia="SimSun" w:hAnsi="Arial" w:cs="Arial"/>
      <w:b/>
      <w:bCs/>
      <w:sz w:val="26"/>
      <w:szCs w:val="26"/>
    </w:rPr>
  </w:style>
  <w:style w:type="paragraph" w:customStyle="1" w:styleId="Heading5">
    <w:name w:val="Heading 5"/>
    <w:basedOn w:val="a"/>
    <w:next w:val="a"/>
    <w:link w:val="Heading5Char"/>
    <w:uiPriority w:val="9"/>
    <w:unhideWhenUsed/>
    <w:qFormat/>
    <w:rsid w:val="00881FA3"/>
    <w:pPr>
      <w:keepNext/>
      <w:keepLines/>
      <w:spacing w:before="320" w:after="200"/>
      <w:outlineLvl w:val="4"/>
    </w:pPr>
    <w:rPr>
      <w:rFonts w:ascii="Arial" w:eastAsia="SimSun" w:hAnsi="Arial" w:cs="Arial"/>
      <w:b/>
      <w:bCs/>
      <w:sz w:val="24"/>
      <w:szCs w:val="24"/>
    </w:rPr>
  </w:style>
  <w:style w:type="character" w:customStyle="1" w:styleId="Heading5Char">
    <w:name w:val="Heading 5 Char"/>
    <w:basedOn w:val="a0"/>
    <w:link w:val="Heading5"/>
    <w:uiPriority w:val="9"/>
    <w:rsid w:val="00881FA3"/>
    <w:rPr>
      <w:rFonts w:ascii="Arial" w:eastAsia="SimSun" w:hAnsi="Arial" w:cs="Arial"/>
      <w:b/>
      <w:bCs/>
      <w:sz w:val="24"/>
      <w:szCs w:val="24"/>
    </w:rPr>
  </w:style>
  <w:style w:type="paragraph" w:customStyle="1" w:styleId="Heading6">
    <w:name w:val="Heading 6"/>
    <w:basedOn w:val="a"/>
    <w:next w:val="a"/>
    <w:link w:val="Heading6Char"/>
    <w:uiPriority w:val="9"/>
    <w:unhideWhenUsed/>
    <w:qFormat/>
    <w:rsid w:val="00881FA3"/>
    <w:pPr>
      <w:keepNext/>
      <w:keepLines/>
      <w:spacing w:before="320" w:after="200"/>
      <w:outlineLvl w:val="5"/>
    </w:pPr>
    <w:rPr>
      <w:rFonts w:ascii="Arial" w:eastAsia="SimSun" w:hAnsi="Arial" w:cs="Arial"/>
      <w:b/>
      <w:bCs/>
      <w:sz w:val="22"/>
    </w:rPr>
  </w:style>
  <w:style w:type="character" w:customStyle="1" w:styleId="Heading6Char">
    <w:name w:val="Heading 6 Char"/>
    <w:basedOn w:val="a0"/>
    <w:link w:val="Heading6"/>
    <w:uiPriority w:val="9"/>
    <w:rsid w:val="00881FA3"/>
    <w:rPr>
      <w:rFonts w:ascii="Arial" w:eastAsia="SimSun" w:hAnsi="Arial" w:cs="Arial"/>
      <w:b/>
      <w:bCs/>
      <w:sz w:val="22"/>
      <w:szCs w:val="22"/>
    </w:rPr>
  </w:style>
  <w:style w:type="paragraph" w:customStyle="1" w:styleId="Heading7">
    <w:name w:val="Heading 7"/>
    <w:basedOn w:val="a"/>
    <w:next w:val="a"/>
    <w:link w:val="Heading7Char"/>
    <w:uiPriority w:val="9"/>
    <w:unhideWhenUsed/>
    <w:qFormat/>
    <w:rsid w:val="00881FA3"/>
    <w:pPr>
      <w:keepNext/>
      <w:keepLines/>
      <w:spacing w:before="320" w:after="200"/>
      <w:outlineLvl w:val="6"/>
    </w:pPr>
    <w:rPr>
      <w:rFonts w:ascii="Arial" w:eastAsia="SimSun" w:hAnsi="Arial" w:cs="Arial"/>
      <w:b/>
      <w:bCs/>
      <w:i/>
      <w:iCs/>
      <w:sz w:val="22"/>
    </w:rPr>
  </w:style>
  <w:style w:type="character" w:customStyle="1" w:styleId="Heading7Char">
    <w:name w:val="Heading 7 Char"/>
    <w:basedOn w:val="a0"/>
    <w:link w:val="Heading7"/>
    <w:uiPriority w:val="9"/>
    <w:rsid w:val="00881FA3"/>
    <w:rPr>
      <w:rFonts w:ascii="Arial" w:eastAsia="SimSun" w:hAnsi="Arial" w:cs="Arial"/>
      <w:b/>
      <w:bCs/>
      <w:i/>
      <w:iCs/>
      <w:sz w:val="22"/>
      <w:szCs w:val="22"/>
    </w:rPr>
  </w:style>
  <w:style w:type="paragraph" w:customStyle="1" w:styleId="Heading8">
    <w:name w:val="Heading 8"/>
    <w:basedOn w:val="a"/>
    <w:next w:val="a"/>
    <w:link w:val="Heading8Char"/>
    <w:uiPriority w:val="9"/>
    <w:unhideWhenUsed/>
    <w:qFormat/>
    <w:rsid w:val="00881FA3"/>
    <w:pPr>
      <w:keepNext/>
      <w:keepLines/>
      <w:spacing w:before="320" w:after="200"/>
      <w:outlineLvl w:val="7"/>
    </w:pPr>
    <w:rPr>
      <w:rFonts w:ascii="Arial" w:eastAsia="SimSun" w:hAnsi="Arial" w:cs="Arial"/>
      <w:i/>
      <w:iCs/>
      <w:sz w:val="22"/>
    </w:rPr>
  </w:style>
  <w:style w:type="character" w:customStyle="1" w:styleId="Heading8Char">
    <w:name w:val="Heading 8 Char"/>
    <w:basedOn w:val="a0"/>
    <w:link w:val="Heading8"/>
    <w:uiPriority w:val="9"/>
    <w:rsid w:val="00881FA3"/>
    <w:rPr>
      <w:rFonts w:ascii="Arial" w:eastAsia="SimSun" w:hAnsi="Arial" w:cs="Arial"/>
      <w:i/>
      <w:iCs/>
      <w:sz w:val="22"/>
      <w:szCs w:val="22"/>
    </w:rPr>
  </w:style>
  <w:style w:type="paragraph" w:customStyle="1" w:styleId="Heading9">
    <w:name w:val="Heading 9"/>
    <w:basedOn w:val="a"/>
    <w:next w:val="a"/>
    <w:link w:val="Heading9Char"/>
    <w:uiPriority w:val="9"/>
    <w:unhideWhenUsed/>
    <w:qFormat/>
    <w:rsid w:val="00881FA3"/>
    <w:pPr>
      <w:keepNext/>
      <w:keepLines/>
      <w:spacing w:before="320" w:after="200"/>
      <w:outlineLvl w:val="8"/>
    </w:pPr>
    <w:rPr>
      <w:rFonts w:ascii="Arial" w:eastAsia="SimSun" w:hAnsi="Arial" w:cs="Arial"/>
      <w:i/>
      <w:iCs/>
      <w:szCs w:val="21"/>
    </w:rPr>
  </w:style>
  <w:style w:type="character" w:customStyle="1" w:styleId="Heading9Char">
    <w:name w:val="Heading 9 Char"/>
    <w:basedOn w:val="a0"/>
    <w:link w:val="Heading9"/>
    <w:uiPriority w:val="9"/>
    <w:rsid w:val="00881FA3"/>
    <w:rPr>
      <w:rFonts w:ascii="Arial" w:eastAsia="SimSun" w:hAnsi="Arial" w:cs="Arial"/>
      <w:i/>
      <w:iCs/>
      <w:sz w:val="21"/>
      <w:szCs w:val="21"/>
    </w:rPr>
  </w:style>
  <w:style w:type="paragraph" w:styleId="a3">
    <w:name w:val="No Spacing"/>
    <w:uiPriority w:val="1"/>
    <w:qFormat/>
    <w:rsid w:val="00881FA3"/>
  </w:style>
  <w:style w:type="paragraph" w:styleId="a4">
    <w:name w:val="Title"/>
    <w:basedOn w:val="a"/>
    <w:next w:val="a"/>
    <w:link w:val="Char"/>
    <w:uiPriority w:val="10"/>
    <w:qFormat/>
    <w:rsid w:val="00881FA3"/>
    <w:pPr>
      <w:spacing w:before="300" w:after="200"/>
      <w:contextualSpacing/>
    </w:pPr>
    <w:rPr>
      <w:sz w:val="48"/>
      <w:szCs w:val="48"/>
    </w:rPr>
  </w:style>
  <w:style w:type="character" w:customStyle="1" w:styleId="Char">
    <w:name w:val="标题 Char"/>
    <w:basedOn w:val="a0"/>
    <w:link w:val="a4"/>
    <w:uiPriority w:val="10"/>
    <w:rsid w:val="00881FA3"/>
    <w:rPr>
      <w:sz w:val="48"/>
      <w:szCs w:val="48"/>
    </w:rPr>
  </w:style>
  <w:style w:type="paragraph" w:styleId="a5">
    <w:name w:val="Subtitle"/>
    <w:basedOn w:val="a"/>
    <w:next w:val="a"/>
    <w:link w:val="Char0"/>
    <w:uiPriority w:val="11"/>
    <w:qFormat/>
    <w:rsid w:val="00881FA3"/>
    <w:pPr>
      <w:spacing w:before="200" w:after="200"/>
    </w:pPr>
    <w:rPr>
      <w:sz w:val="24"/>
      <w:szCs w:val="24"/>
    </w:rPr>
  </w:style>
  <w:style w:type="character" w:customStyle="1" w:styleId="Char0">
    <w:name w:val="副标题 Char"/>
    <w:basedOn w:val="a0"/>
    <w:link w:val="a5"/>
    <w:uiPriority w:val="11"/>
    <w:rsid w:val="00881FA3"/>
    <w:rPr>
      <w:sz w:val="24"/>
      <w:szCs w:val="24"/>
    </w:rPr>
  </w:style>
  <w:style w:type="paragraph" w:styleId="a6">
    <w:name w:val="Quote"/>
    <w:basedOn w:val="a"/>
    <w:next w:val="a"/>
    <w:link w:val="Char1"/>
    <w:uiPriority w:val="29"/>
    <w:qFormat/>
    <w:rsid w:val="00881FA3"/>
    <w:pPr>
      <w:ind w:left="720" w:right="720"/>
    </w:pPr>
    <w:rPr>
      <w:i/>
    </w:rPr>
  </w:style>
  <w:style w:type="character" w:customStyle="1" w:styleId="Char1">
    <w:name w:val="引用 Char"/>
    <w:link w:val="a6"/>
    <w:uiPriority w:val="29"/>
    <w:rsid w:val="00881FA3"/>
    <w:rPr>
      <w:i/>
    </w:rPr>
  </w:style>
  <w:style w:type="paragraph" w:styleId="a7">
    <w:name w:val="Intense Quote"/>
    <w:basedOn w:val="a"/>
    <w:next w:val="a"/>
    <w:link w:val="Char2"/>
    <w:uiPriority w:val="30"/>
    <w:qFormat/>
    <w:rsid w:val="00881FA3"/>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7"/>
    <w:uiPriority w:val="30"/>
    <w:rsid w:val="00881FA3"/>
    <w:rPr>
      <w:i/>
    </w:rPr>
  </w:style>
  <w:style w:type="character" w:customStyle="1" w:styleId="HeaderChar">
    <w:name w:val="Header Char"/>
    <w:basedOn w:val="a0"/>
    <w:link w:val="Header"/>
    <w:uiPriority w:val="99"/>
    <w:rsid w:val="00881FA3"/>
  </w:style>
  <w:style w:type="character" w:customStyle="1" w:styleId="FooterChar">
    <w:name w:val="Footer Char"/>
    <w:basedOn w:val="a0"/>
    <w:link w:val="Footer"/>
    <w:uiPriority w:val="99"/>
    <w:rsid w:val="00881FA3"/>
  </w:style>
  <w:style w:type="paragraph" w:customStyle="1" w:styleId="Caption">
    <w:name w:val="Caption"/>
    <w:basedOn w:val="a"/>
    <w:next w:val="a"/>
    <w:uiPriority w:val="35"/>
    <w:semiHidden/>
    <w:unhideWhenUsed/>
    <w:qFormat/>
    <w:rsid w:val="00881FA3"/>
    <w:pPr>
      <w:spacing w:line="276" w:lineRule="auto"/>
    </w:pPr>
    <w:rPr>
      <w:b/>
      <w:bCs/>
      <w:color w:val="4F81BD" w:themeColor="accent1"/>
      <w:sz w:val="18"/>
      <w:szCs w:val="18"/>
    </w:rPr>
  </w:style>
  <w:style w:type="character" w:customStyle="1" w:styleId="CaptionChar">
    <w:name w:val="Caption Char"/>
    <w:link w:val="Footer"/>
    <w:uiPriority w:val="99"/>
    <w:rsid w:val="00881FA3"/>
  </w:style>
  <w:style w:type="table" w:styleId="a8">
    <w:name w:val="Table Grid"/>
    <w:basedOn w:val="a1"/>
    <w:uiPriority w:val="59"/>
    <w:rsid w:val="00881F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881FA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881FA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D"/>
      </w:tcPr>
    </w:tblStylePr>
    <w:tblStylePr w:type="band2Vert">
      <w:pPr>
        <w:snapToGrid/>
      </w:pPr>
    </w:tblStylePr>
    <w:tblStylePr w:type="band1Horz">
      <w:pPr>
        <w:snapToGrid/>
      </w:p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881FA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881FA3"/>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881FA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881FA3"/>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881FA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881FA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881FA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881FA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881FA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881FA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881FA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881FA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881FA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881FA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881FA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881FA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881FA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881FA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881FA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881FA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881FA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881FA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881FA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881FA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881FA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881FA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881FA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881FA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881FA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881FA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881FA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881FA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881F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881F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F81BD" w:themeFill="accent1"/>
      </w:tcPr>
    </w:tblStylePr>
    <w:tblStylePr w:type="firstCol">
      <w:pPr>
        <w:snapToGrid/>
      </w:pPr>
      <w:rPr>
        <w:rFonts w:ascii="Arial" w:hAnsi="Arial"/>
        <w:b/>
        <w:color w:val="FFFFFF"/>
        <w:sz w:val="22"/>
      </w:rPr>
      <w:tblPr/>
      <w:tcPr>
        <w:shd w:val="clear" w:color="FFFFFF" w:fill="4F81BD" w:themeFill="accent1"/>
      </w:tcPr>
    </w:tblStylePr>
    <w:tblStylePr w:type="lastCol">
      <w:pPr>
        <w:snapToGrid/>
      </w:pPr>
      <w:rPr>
        <w:rFonts w:ascii="Arial" w:hAnsi="Arial"/>
        <w:b/>
        <w:color w:val="FFFFFF"/>
        <w:sz w:val="22"/>
      </w:rPr>
      <w:tblPr/>
      <w:tcPr>
        <w:shd w:val="clear" w:color="FFFFFF" w:fill="4F81BD" w:themeFill="accent1"/>
      </w:tcPr>
    </w:tblStylePr>
    <w:tblStylePr w:type="band1Vert">
      <w:pPr>
        <w:snapToGrid/>
      </w:pPr>
      <w:tblPr/>
      <w:tcPr>
        <w:shd w:val="clear" w:color="FFFFFF" w:fill="AEC4E0" w:themeFill="accent1" w:themeFillTint="75"/>
      </w:tcPr>
    </w:tblStylePr>
    <w:tblStylePr w:type="band2Vert">
      <w:pPr>
        <w:snapToGrid/>
      </w:pPr>
    </w:tblStylePr>
    <w:tblStylePr w:type="band1Horz">
      <w:pPr>
        <w:snapToGrid/>
      </w:pPr>
      <w:tblPr/>
      <w:tcPr>
        <w:shd w:val="clear" w:color="FFFFFF"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881F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C0504D" w:themeFill="accent2"/>
      </w:tcPr>
    </w:tblStylePr>
    <w:tblStylePr w:type="firstCol">
      <w:pPr>
        <w:snapToGrid/>
      </w:pPr>
      <w:rPr>
        <w:rFonts w:ascii="Arial" w:hAnsi="Arial"/>
        <w:b/>
        <w:color w:val="FFFFFF"/>
        <w:sz w:val="22"/>
      </w:rPr>
      <w:tblPr/>
      <w:tcPr>
        <w:shd w:val="clear" w:color="FFFFFF" w:fill="C0504D" w:themeFill="accent2"/>
      </w:tcPr>
    </w:tblStylePr>
    <w:tblStylePr w:type="lastCol">
      <w:pPr>
        <w:snapToGrid/>
      </w:pPr>
      <w:rPr>
        <w:rFonts w:ascii="Arial" w:hAnsi="Arial"/>
        <w:b/>
        <w:color w:val="FFFFFF"/>
        <w:sz w:val="22"/>
      </w:rPr>
      <w:tblPr/>
      <w:tcPr>
        <w:shd w:val="clear" w:color="FFFFFF" w:fill="C0504D" w:themeFill="accent2"/>
      </w:tcPr>
    </w:tblStylePr>
    <w:tblStylePr w:type="band1Vert">
      <w:pPr>
        <w:snapToGrid/>
      </w:pPr>
      <w:tblPr/>
      <w:tcPr>
        <w:shd w:val="clear" w:color="FFFFFF" w:fill="E2AEAD" w:themeFill="accent2" w:themeFillTint="75"/>
      </w:tcPr>
    </w:tblStylePr>
    <w:tblStylePr w:type="band2Vert">
      <w:pPr>
        <w:snapToGrid/>
      </w:pPr>
    </w:tblStylePr>
    <w:tblStylePr w:type="band1Horz">
      <w:pPr>
        <w:snapToGrid/>
      </w:pPr>
      <w:tbl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881F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9BBB59" w:themeFill="accent3"/>
      </w:tcPr>
    </w:tblStylePr>
    <w:tblStylePr w:type="firstCol">
      <w:pPr>
        <w:snapToGrid/>
      </w:pPr>
      <w:rPr>
        <w:rFonts w:ascii="Arial" w:hAnsi="Arial"/>
        <w:b/>
        <w:color w:val="FFFFFF"/>
        <w:sz w:val="22"/>
      </w:rPr>
      <w:tblPr/>
      <w:tcPr>
        <w:shd w:val="clear" w:color="FFFFFF" w:fill="9BBB59" w:themeFill="accent3"/>
      </w:tcPr>
    </w:tblStylePr>
    <w:tblStylePr w:type="lastCol">
      <w:pPr>
        <w:snapToGrid/>
      </w:pPr>
      <w:rPr>
        <w:rFonts w:ascii="Arial" w:hAnsi="Arial"/>
        <w:b/>
        <w:color w:val="FFFFFF"/>
        <w:sz w:val="22"/>
      </w:rPr>
      <w:tblPr/>
      <w:tcPr>
        <w:shd w:val="clear" w:color="FFFFFF" w:fill="9BBB59" w:themeFill="accent3"/>
      </w:tcPr>
    </w:tblStylePr>
    <w:tblStylePr w:type="band1Vert">
      <w:pPr>
        <w:snapToGrid/>
      </w:pPr>
      <w:tblPr/>
      <w:tcPr>
        <w:shd w:val="clear" w:color="FFFFFF" w:fill="D0DFB2" w:themeFill="accent3" w:themeFillTint="75"/>
      </w:tcPr>
    </w:tblStylePr>
    <w:tblStylePr w:type="band2Vert">
      <w:pPr>
        <w:snapToGrid/>
      </w:pPr>
    </w:tblStylePr>
    <w:tblStylePr w:type="band1Horz">
      <w:pPr>
        <w:snapToGrid/>
      </w:pPr>
      <w:tblPr/>
      <w:tcPr>
        <w:shd w:val="clear" w:color="FFFFFF"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881F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8064A2" w:themeFill="accent4"/>
      </w:tcPr>
    </w:tblStylePr>
    <w:tblStylePr w:type="firstCol">
      <w:pPr>
        <w:snapToGrid/>
      </w:pPr>
      <w:rPr>
        <w:rFonts w:ascii="Arial" w:hAnsi="Arial"/>
        <w:b/>
        <w:color w:val="FFFFFF"/>
        <w:sz w:val="22"/>
      </w:rPr>
      <w:tblPr/>
      <w:tcPr>
        <w:shd w:val="clear" w:color="FFFFFF" w:fill="8064A2" w:themeFill="accent4"/>
      </w:tcPr>
    </w:tblStylePr>
    <w:tblStylePr w:type="lastCol">
      <w:pPr>
        <w:snapToGrid/>
      </w:pPr>
      <w:rPr>
        <w:rFonts w:ascii="Arial" w:hAnsi="Arial"/>
        <w:b/>
        <w:color w:val="FFFFFF"/>
        <w:sz w:val="22"/>
      </w:rPr>
      <w:tblPr/>
      <w:tcPr>
        <w:shd w:val="clear" w:color="FFFFFF" w:fill="8064A2" w:themeFill="accent4"/>
      </w:tcPr>
    </w:tblStylePr>
    <w:tblStylePr w:type="band1Vert">
      <w:pPr>
        <w:snapToGrid/>
      </w:pPr>
      <w:tblPr/>
      <w:tcPr>
        <w:shd w:val="clear" w:color="FFFFFF" w:fill="C4B7D4" w:themeFill="accent4" w:themeFillTint="75"/>
      </w:tcPr>
    </w:tblStylePr>
    <w:tblStylePr w:type="band2Vert">
      <w:pPr>
        <w:snapToGrid/>
      </w:pPr>
    </w:tblStylePr>
    <w:tblStylePr w:type="band1Horz">
      <w:pPr>
        <w:snapToGrid/>
      </w:pPr>
      <w:tbl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881F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BACC6" w:themeFill="accent5"/>
      </w:tcPr>
    </w:tblStylePr>
    <w:tblStylePr w:type="firstCol">
      <w:pPr>
        <w:snapToGrid/>
      </w:pPr>
      <w:rPr>
        <w:rFonts w:ascii="Arial" w:hAnsi="Arial"/>
        <w:b/>
        <w:color w:val="FFFFFF"/>
        <w:sz w:val="22"/>
      </w:rPr>
      <w:tblPr/>
      <w:tcPr>
        <w:shd w:val="clear" w:color="FFFFFF" w:fill="4BACC6" w:themeFill="accent5"/>
      </w:tcPr>
    </w:tblStylePr>
    <w:tblStylePr w:type="lastCol">
      <w:pPr>
        <w:snapToGrid/>
      </w:pPr>
      <w:rPr>
        <w:rFonts w:ascii="Arial" w:hAnsi="Arial"/>
        <w:b/>
        <w:color w:val="FFFFFF"/>
        <w:sz w:val="22"/>
      </w:rPr>
      <w:tblPr/>
      <w:tcPr>
        <w:shd w:val="clear" w:color="FFFFFF" w:fill="4BACC6" w:themeFill="accent5"/>
      </w:tcPr>
    </w:tblStylePr>
    <w:tblStylePr w:type="band1Vert">
      <w:pPr>
        <w:snapToGrid/>
      </w:pPr>
      <w:tblPr/>
      <w:tcPr>
        <w:shd w:val="clear" w:color="FFFFFF" w:fill="ACD8E4" w:themeFill="accent5" w:themeFillTint="75"/>
      </w:tcPr>
    </w:tblStylePr>
    <w:tblStylePr w:type="band2Vert">
      <w:pPr>
        <w:snapToGrid/>
      </w:pPr>
    </w:tblStylePr>
    <w:tblStylePr w:type="band1Horz">
      <w:pPr>
        <w:snapToGrid/>
      </w:pPr>
      <w:tbl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881FA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F79646" w:themeFill="accent6"/>
      </w:tcPr>
    </w:tblStylePr>
    <w:tblStylePr w:type="firstCol">
      <w:pPr>
        <w:snapToGrid/>
      </w:pPr>
      <w:rPr>
        <w:rFonts w:ascii="Arial" w:hAnsi="Arial"/>
        <w:b/>
        <w:color w:val="FFFFFF"/>
        <w:sz w:val="22"/>
      </w:rPr>
      <w:tblPr/>
      <w:tcPr>
        <w:shd w:val="clear" w:color="FFFFFF" w:fill="F79646" w:themeFill="accent6"/>
      </w:tcPr>
    </w:tblStylePr>
    <w:tblStylePr w:type="lastCol">
      <w:pPr>
        <w:snapToGrid/>
      </w:pPr>
      <w:rPr>
        <w:rFonts w:ascii="Arial" w:hAnsi="Arial"/>
        <w:b/>
        <w:color w:val="FFFFFF"/>
        <w:sz w:val="22"/>
      </w:rPr>
      <w:tblPr/>
      <w:tcPr>
        <w:shd w:val="clear" w:color="FFFFFF" w:fill="F79646" w:themeFill="accent6"/>
      </w:tcPr>
    </w:tblStylePr>
    <w:tblStylePr w:type="band1Vert">
      <w:pPr>
        <w:snapToGrid/>
      </w:pPr>
      <w:tblPr/>
      <w:tcPr>
        <w:shd w:val="clear" w:color="FFFFFF" w:fill="FBCEAA" w:themeFill="accent6" w:themeFillTint="75"/>
      </w:tcPr>
    </w:tblStylePr>
    <w:tblStylePr w:type="band2Vert">
      <w:pPr>
        <w:snapToGrid/>
      </w:pPr>
    </w:tblStylePr>
    <w:tblStylePr w:type="band1Horz">
      <w:pPr>
        <w:snapToGrid/>
      </w:pPr>
      <w:tbl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881FA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881FA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881FA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881FA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881FA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881FA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881FA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881FA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FFFFFF"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881FA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881FA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881FA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pPr>
        <w:snapToGrid/>
      </w:pPr>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881FA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881FA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pPr>
        <w:snapToGrid/>
      </w:pPr>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881FA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pPr>
        <w:snapToGrid/>
      </w:pPr>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FFFFFF"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881FA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881FA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881FA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881FA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881FA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881FA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881FA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881FA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881FA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881FA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881FA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881FA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881FA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881FA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881FA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881FA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881FA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881FA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881FA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881FA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881FA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881FA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881FA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881FA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881FA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881FA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881FA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881FA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881FA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881FA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F81BD" w:themeFill="accent1"/>
      </w:tcPr>
    </w:tblStylePr>
    <w:tblStylePr w:type="band2Horz">
      <w:pPr>
        <w:snapToGrid/>
      </w:pPr>
      <w:tblPr/>
      <w:tcPr>
        <w:tcBorders>
          <w:top w:val="single" w:sz="4" w:space="0" w:color="FFFFFF" w:themeColor="light1"/>
          <w:bottom w:val="single" w:sz="4" w:space="0" w:color="FFFFFF" w:themeColor="light1"/>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881FA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881FA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881FA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881FA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881FA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881FA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881FA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881FA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881FA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881FA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881FA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881FA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881FA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881FA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pPr>
        <w:snapToGrid/>
      </w:pPr>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pPr>
        <w:snapToGrid/>
      </w:pPr>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881FA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881FA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pPr>
        <w:snapToGrid/>
      </w:pPr>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881FA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881FA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pPr>
        <w:snapToGrid/>
      </w:pPr>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881FA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snapToGrid/>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pPr>
        <w:snapToGrid/>
      </w:pPr>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881FA3"/>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881FA3"/>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881FA3"/>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881FA3"/>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881FA3"/>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881FA3"/>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881FA3"/>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881FA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881FA3"/>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881FA3"/>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881FA3"/>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881FA3"/>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881FA3"/>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881FA3"/>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881FA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881FA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881FA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881FA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881FA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881FA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881FA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Char3">
    <w:name w:val="脚注文本 Char"/>
    <w:link w:val="a9"/>
    <w:uiPriority w:val="99"/>
    <w:rsid w:val="00881FA3"/>
    <w:rPr>
      <w:sz w:val="18"/>
    </w:rPr>
  </w:style>
  <w:style w:type="paragraph" w:styleId="aa">
    <w:name w:val="endnote text"/>
    <w:basedOn w:val="a"/>
    <w:link w:val="Char4"/>
    <w:uiPriority w:val="99"/>
    <w:semiHidden/>
    <w:unhideWhenUsed/>
    <w:rsid w:val="00881FA3"/>
    <w:rPr>
      <w:sz w:val="20"/>
    </w:rPr>
  </w:style>
  <w:style w:type="character" w:customStyle="1" w:styleId="Char4">
    <w:name w:val="尾注文本 Char"/>
    <w:link w:val="aa"/>
    <w:uiPriority w:val="99"/>
    <w:rsid w:val="00881FA3"/>
    <w:rPr>
      <w:sz w:val="20"/>
    </w:rPr>
  </w:style>
  <w:style w:type="character" w:styleId="ab">
    <w:name w:val="endnote reference"/>
    <w:basedOn w:val="a0"/>
    <w:uiPriority w:val="99"/>
    <w:semiHidden/>
    <w:unhideWhenUsed/>
    <w:rsid w:val="00881FA3"/>
    <w:rPr>
      <w:vertAlign w:val="superscript"/>
    </w:rPr>
  </w:style>
  <w:style w:type="paragraph" w:styleId="6">
    <w:name w:val="toc 6"/>
    <w:basedOn w:val="a"/>
    <w:next w:val="a"/>
    <w:uiPriority w:val="39"/>
    <w:unhideWhenUsed/>
    <w:rsid w:val="00881FA3"/>
    <w:pPr>
      <w:spacing w:after="57"/>
      <w:ind w:left="1417"/>
    </w:pPr>
  </w:style>
  <w:style w:type="paragraph" w:styleId="7">
    <w:name w:val="toc 7"/>
    <w:basedOn w:val="a"/>
    <w:next w:val="a"/>
    <w:uiPriority w:val="39"/>
    <w:unhideWhenUsed/>
    <w:rsid w:val="00881FA3"/>
    <w:pPr>
      <w:spacing w:after="57"/>
      <w:ind w:left="1701"/>
    </w:pPr>
  </w:style>
  <w:style w:type="paragraph" w:styleId="8">
    <w:name w:val="toc 8"/>
    <w:basedOn w:val="a"/>
    <w:next w:val="a"/>
    <w:uiPriority w:val="39"/>
    <w:unhideWhenUsed/>
    <w:rsid w:val="00881FA3"/>
    <w:pPr>
      <w:spacing w:after="57"/>
      <w:ind w:left="1984"/>
    </w:pPr>
  </w:style>
  <w:style w:type="paragraph" w:styleId="9">
    <w:name w:val="toc 9"/>
    <w:basedOn w:val="a"/>
    <w:next w:val="a"/>
    <w:uiPriority w:val="39"/>
    <w:unhideWhenUsed/>
    <w:rsid w:val="00881FA3"/>
    <w:pPr>
      <w:spacing w:after="57"/>
      <w:ind w:left="2268"/>
    </w:pPr>
  </w:style>
  <w:style w:type="paragraph" w:styleId="TOC">
    <w:name w:val="TOC Heading"/>
    <w:uiPriority w:val="39"/>
    <w:unhideWhenUsed/>
    <w:rsid w:val="00881FA3"/>
  </w:style>
  <w:style w:type="paragraph" w:styleId="ac">
    <w:name w:val="table of figures"/>
    <w:basedOn w:val="a"/>
    <w:next w:val="a"/>
    <w:uiPriority w:val="99"/>
    <w:unhideWhenUsed/>
    <w:rsid w:val="00881FA3"/>
  </w:style>
  <w:style w:type="paragraph" w:customStyle="1" w:styleId="Heading1">
    <w:name w:val="Heading 1"/>
    <w:basedOn w:val="a"/>
    <w:next w:val="a"/>
    <w:link w:val="Heading1Char"/>
    <w:rsid w:val="00881FA3"/>
    <w:pPr>
      <w:keepNext/>
      <w:keepLines/>
      <w:spacing w:before="340" w:after="330" w:line="578" w:lineRule="auto"/>
      <w:outlineLvl w:val="0"/>
    </w:pPr>
    <w:rPr>
      <w:b/>
      <w:bCs/>
      <w:sz w:val="44"/>
    </w:rPr>
  </w:style>
  <w:style w:type="paragraph" w:customStyle="1" w:styleId="Heading2">
    <w:name w:val="Heading 2"/>
    <w:basedOn w:val="a"/>
    <w:next w:val="a"/>
    <w:link w:val="Heading2Char"/>
    <w:rsid w:val="00881FA3"/>
    <w:pPr>
      <w:keepNext/>
      <w:keepLines/>
      <w:spacing w:before="260" w:after="260" w:line="413" w:lineRule="auto"/>
      <w:outlineLvl w:val="1"/>
    </w:pPr>
    <w:rPr>
      <w:rFonts w:ascii="Arial" w:eastAsia="黑体" w:hAnsi="Arial"/>
      <w:b/>
      <w:sz w:val="32"/>
      <w:szCs w:val="20"/>
    </w:rPr>
  </w:style>
  <w:style w:type="paragraph" w:customStyle="1" w:styleId="Heading3">
    <w:name w:val="Heading 3"/>
    <w:basedOn w:val="a"/>
    <w:next w:val="a"/>
    <w:link w:val="Heading3Char"/>
    <w:rsid w:val="00881FA3"/>
    <w:pPr>
      <w:keepNext/>
      <w:keepLines/>
      <w:spacing w:before="260" w:after="260" w:line="415" w:lineRule="auto"/>
      <w:outlineLvl w:val="2"/>
    </w:pPr>
    <w:rPr>
      <w:b/>
      <w:sz w:val="32"/>
    </w:rPr>
  </w:style>
  <w:style w:type="character" w:styleId="ad">
    <w:name w:val="footnote reference"/>
    <w:rsid w:val="00881FA3"/>
    <w:rPr>
      <w:vertAlign w:val="superscript"/>
    </w:rPr>
  </w:style>
  <w:style w:type="paragraph" w:styleId="a9">
    <w:name w:val="footnote text"/>
    <w:basedOn w:val="a"/>
    <w:link w:val="Char3"/>
    <w:rsid w:val="00881FA3"/>
    <w:pPr>
      <w:snapToGrid w:val="0"/>
      <w:jc w:val="left"/>
    </w:pPr>
    <w:rPr>
      <w:rFonts w:ascii="Times New Roman" w:hAnsi="Times New Roman"/>
      <w:sz w:val="18"/>
      <w:szCs w:val="20"/>
    </w:rPr>
  </w:style>
  <w:style w:type="paragraph" w:customStyle="1" w:styleId="Footer">
    <w:name w:val="Footer"/>
    <w:basedOn w:val="a"/>
    <w:link w:val="CaptionChar"/>
    <w:rsid w:val="00881FA3"/>
    <w:pPr>
      <w:tabs>
        <w:tab w:val="center" w:pos="4153"/>
        <w:tab w:val="right" w:pos="8306"/>
      </w:tabs>
      <w:snapToGrid w:val="0"/>
      <w:jc w:val="left"/>
    </w:pPr>
    <w:rPr>
      <w:sz w:val="18"/>
      <w:szCs w:val="18"/>
    </w:rPr>
  </w:style>
  <w:style w:type="paragraph" w:customStyle="1" w:styleId="Header">
    <w:name w:val="Header"/>
    <w:basedOn w:val="a"/>
    <w:link w:val="HeaderChar"/>
    <w:rsid w:val="00881FA3"/>
    <w:pPr>
      <w:pBdr>
        <w:bottom w:val="single" w:sz="6" w:space="1" w:color="auto"/>
      </w:pBdr>
      <w:tabs>
        <w:tab w:val="center" w:pos="4153"/>
        <w:tab w:val="right" w:pos="8306"/>
      </w:tabs>
      <w:snapToGrid w:val="0"/>
      <w:jc w:val="center"/>
    </w:pPr>
    <w:rPr>
      <w:sz w:val="18"/>
      <w:szCs w:val="18"/>
    </w:rPr>
  </w:style>
  <w:style w:type="paragraph" w:styleId="ae">
    <w:name w:val="Document Map"/>
    <w:basedOn w:val="a"/>
    <w:rsid w:val="00881FA3"/>
    <w:pPr>
      <w:shd w:val="clear" w:color="000080" w:fill="000080"/>
    </w:pPr>
  </w:style>
  <w:style w:type="paragraph" w:customStyle="1" w:styleId="Char5">
    <w:name w:val="Char"/>
    <w:basedOn w:val="a"/>
    <w:rsid w:val="00881FA3"/>
    <w:rPr>
      <w:rFonts w:ascii="Times New Roman" w:hAnsi="Times New Roman"/>
      <w:szCs w:val="24"/>
    </w:rPr>
  </w:style>
  <w:style w:type="paragraph" w:styleId="af">
    <w:name w:val="List Paragraph"/>
    <w:basedOn w:val="a"/>
    <w:rsid w:val="00881FA3"/>
    <w:pPr>
      <w:ind w:firstLineChars="200" w:firstLine="200"/>
    </w:pPr>
    <w:rPr>
      <w:szCs w:val="20"/>
    </w:rPr>
  </w:style>
  <w:style w:type="paragraph" w:styleId="af0">
    <w:name w:val="Normal (Web)"/>
    <w:basedOn w:val="a"/>
    <w:rsid w:val="00881FA3"/>
    <w:pPr>
      <w:widowControl/>
      <w:spacing w:before="100" w:beforeAutospacing="1" w:after="100" w:afterAutospacing="1"/>
      <w:jc w:val="left"/>
    </w:pPr>
    <w:rPr>
      <w:rFonts w:ascii="宋体" w:cs="宋体"/>
      <w:sz w:val="24"/>
      <w:szCs w:val="24"/>
    </w:rPr>
  </w:style>
  <w:style w:type="character" w:styleId="af1">
    <w:name w:val="annotation reference"/>
    <w:rsid w:val="00881FA3"/>
    <w:rPr>
      <w:sz w:val="21"/>
      <w:szCs w:val="21"/>
    </w:rPr>
  </w:style>
  <w:style w:type="paragraph" w:styleId="af2">
    <w:name w:val="annotation text"/>
    <w:basedOn w:val="a"/>
    <w:rsid w:val="00881FA3"/>
    <w:pPr>
      <w:jc w:val="left"/>
    </w:pPr>
  </w:style>
  <w:style w:type="paragraph" w:styleId="af3">
    <w:name w:val="annotation subject"/>
    <w:basedOn w:val="af2"/>
    <w:next w:val="af2"/>
    <w:rsid w:val="00881FA3"/>
    <w:rPr>
      <w:b/>
      <w:bCs/>
    </w:rPr>
  </w:style>
  <w:style w:type="paragraph" w:styleId="af4">
    <w:name w:val="Balloon Text"/>
    <w:basedOn w:val="a"/>
    <w:rsid w:val="00881FA3"/>
    <w:rPr>
      <w:sz w:val="18"/>
      <w:szCs w:val="18"/>
    </w:rPr>
  </w:style>
  <w:style w:type="character" w:styleId="af5">
    <w:name w:val="Hyperlink"/>
    <w:rsid w:val="00881FA3"/>
    <w:rPr>
      <w:color w:val="0563C1"/>
      <w:u w:val="single"/>
    </w:rPr>
  </w:style>
  <w:style w:type="paragraph" w:styleId="1">
    <w:name w:val="toc 1"/>
    <w:basedOn w:val="a"/>
    <w:next w:val="a"/>
    <w:rsid w:val="00881FA3"/>
  </w:style>
  <w:style w:type="paragraph" w:styleId="2">
    <w:name w:val="toc 2"/>
    <w:basedOn w:val="a"/>
    <w:next w:val="a"/>
    <w:rsid w:val="00881FA3"/>
    <w:pPr>
      <w:ind w:left="420"/>
    </w:pPr>
  </w:style>
  <w:style w:type="paragraph" w:styleId="3">
    <w:name w:val="toc 3"/>
    <w:basedOn w:val="a"/>
    <w:next w:val="a"/>
    <w:rsid w:val="00881FA3"/>
    <w:pPr>
      <w:ind w:left="840"/>
    </w:pPr>
  </w:style>
  <w:style w:type="paragraph" w:styleId="4">
    <w:name w:val="toc 4"/>
    <w:basedOn w:val="a"/>
    <w:next w:val="a"/>
    <w:rsid w:val="00881FA3"/>
    <w:pPr>
      <w:ind w:left="1260"/>
    </w:pPr>
  </w:style>
  <w:style w:type="paragraph" w:styleId="5">
    <w:name w:val="toc 5"/>
    <w:basedOn w:val="a"/>
    <w:next w:val="a"/>
    <w:rsid w:val="00881FA3"/>
    <w:pPr>
      <w:ind w:left="16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51changxi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206</Words>
  <Characters>1177</Characters>
  <Application>Microsoft Office Word</Application>
  <DocSecurity>4</DocSecurity>
  <Lines>9</Lines>
  <Paragraphs>2</Paragraphs>
  <ScaleCrop>false</ScaleCrop>
  <Company>CNSTOCK</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dcterms:created xsi:type="dcterms:W3CDTF">2025-12-16T16:02:00Z</dcterms:created>
  <dcterms:modified xsi:type="dcterms:W3CDTF">2025-12-16T16:02:00Z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