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0A" w:rsidRDefault="00BA6B19">
      <w:pPr>
        <w:spacing w:line="360" w:lineRule="auto"/>
        <w:jc w:val="center"/>
        <w:outlineLvl w:val="0"/>
        <w:rPr>
          <w:b/>
          <w:sz w:val="28"/>
        </w:rPr>
      </w:pPr>
      <w:r>
        <w:rPr>
          <w:rFonts w:hint="eastAsia"/>
          <w:b/>
          <w:sz w:val="28"/>
        </w:rPr>
        <w:t>国寿安保</w:t>
      </w:r>
      <w:r w:rsidR="00DA1184">
        <w:rPr>
          <w:rFonts w:hint="eastAsia"/>
          <w:b/>
          <w:sz w:val="28"/>
        </w:rPr>
        <w:t>泰吉纯债一年定期开放债券型发起式</w:t>
      </w:r>
      <w:r>
        <w:rPr>
          <w:rFonts w:hint="eastAsia"/>
          <w:b/>
          <w:sz w:val="28"/>
        </w:rPr>
        <w:t>证券投资基金基金份额持有人大会表决结果暨决议生效公告</w:t>
      </w:r>
    </w:p>
    <w:p w:rsidR="004C200A" w:rsidRDefault="004C200A">
      <w:pPr>
        <w:spacing w:line="360" w:lineRule="auto"/>
        <w:rPr>
          <w:sz w:val="24"/>
        </w:rPr>
      </w:pPr>
    </w:p>
    <w:p w:rsidR="004C200A" w:rsidRDefault="00BA6B19">
      <w:pPr>
        <w:spacing w:line="360" w:lineRule="auto"/>
        <w:ind w:firstLineChars="200" w:firstLine="480"/>
        <w:rPr>
          <w:sz w:val="24"/>
        </w:rPr>
      </w:pPr>
      <w:r>
        <w:rPr>
          <w:rFonts w:hint="eastAsia"/>
          <w:sz w:val="24"/>
        </w:rPr>
        <w:t>依据《中华人民共和国证券投资基金法》（以下简称“《基金法》”）、《公开募集证券投资基金运作管理办法》等法律法规和《国寿安保</w:t>
      </w:r>
      <w:r w:rsidR="00DA1184">
        <w:rPr>
          <w:rFonts w:hint="eastAsia"/>
          <w:sz w:val="24"/>
        </w:rPr>
        <w:t>泰吉纯债一年定期开放债券型发起式</w:t>
      </w:r>
      <w:r>
        <w:rPr>
          <w:rFonts w:hint="eastAsia"/>
          <w:sz w:val="24"/>
        </w:rPr>
        <w:t>证券投资基金基金合同》（以下简称“《基金合同》”）的有关规定，现将国寿</w:t>
      </w:r>
      <w:r>
        <w:rPr>
          <w:sz w:val="24"/>
        </w:rPr>
        <w:t>安保基金</w:t>
      </w:r>
      <w:r>
        <w:rPr>
          <w:rFonts w:hint="eastAsia"/>
          <w:sz w:val="24"/>
        </w:rPr>
        <w:t>管理</w:t>
      </w:r>
      <w:r>
        <w:rPr>
          <w:sz w:val="24"/>
        </w:rPr>
        <w:t>有限公司（以下简称</w:t>
      </w:r>
      <w:r>
        <w:rPr>
          <w:rFonts w:hint="eastAsia"/>
          <w:sz w:val="24"/>
        </w:rPr>
        <w:t>“本公司”）旗下管理的国寿安保</w:t>
      </w:r>
      <w:r w:rsidR="00DA1184">
        <w:rPr>
          <w:rFonts w:hint="eastAsia"/>
          <w:sz w:val="24"/>
        </w:rPr>
        <w:t>泰吉纯债一年定期开放债券型发起式</w:t>
      </w:r>
      <w:r>
        <w:rPr>
          <w:rFonts w:hint="eastAsia"/>
          <w:sz w:val="24"/>
        </w:rPr>
        <w:t>证券投资基金（以下简称“本基金”）基金份额持有人大会的表决结果、决议及相关事项公告如下：</w:t>
      </w:r>
    </w:p>
    <w:p w:rsidR="004C200A" w:rsidRDefault="00BA6B19">
      <w:pPr>
        <w:spacing w:line="360" w:lineRule="auto"/>
        <w:ind w:firstLineChars="200" w:firstLine="480"/>
        <w:outlineLvl w:val="0"/>
        <w:rPr>
          <w:sz w:val="24"/>
        </w:rPr>
      </w:pPr>
      <w:r>
        <w:rPr>
          <w:rFonts w:hint="eastAsia"/>
          <w:sz w:val="24"/>
        </w:rPr>
        <w:t>一、本基金持有人大会会议情况</w:t>
      </w:r>
    </w:p>
    <w:p w:rsidR="004C200A" w:rsidRDefault="00293ABF">
      <w:pPr>
        <w:spacing w:line="360" w:lineRule="auto"/>
        <w:ind w:firstLineChars="200" w:firstLine="480"/>
        <w:rPr>
          <w:sz w:val="24"/>
        </w:rPr>
      </w:pPr>
      <w:r w:rsidRPr="00293ABF">
        <w:rPr>
          <w:rFonts w:hint="eastAsia"/>
          <w:sz w:val="24"/>
        </w:rPr>
        <w:t>本次基金份额持有人大会投票时间从</w:t>
      </w:r>
      <w:r w:rsidRPr="00293ABF">
        <w:rPr>
          <w:rFonts w:hint="eastAsia"/>
          <w:sz w:val="24"/>
        </w:rPr>
        <w:t>202</w:t>
      </w:r>
      <w:r w:rsidR="00DA1184">
        <w:rPr>
          <w:sz w:val="24"/>
        </w:rPr>
        <w:t>5</w:t>
      </w:r>
      <w:r w:rsidRPr="00293ABF">
        <w:rPr>
          <w:rFonts w:hint="eastAsia"/>
          <w:sz w:val="24"/>
        </w:rPr>
        <w:t>年</w:t>
      </w:r>
      <w:r w:rsidR="00DA1184">
        <w:rPr>
          <w:sz w:val="24"/>
        </w:rPr>
        <w:t>11</w:t>
      </w:r>
      <w:r w:rsidRPr="00293ABF">
        <w:rPr>
          <w:rFonts w:hint="eastAsia"/>
          <w:sz w:val="24"/>
        </w:rPr>
        <w:t>月</w:t>
      </w:r>
      <w:r w:rsidR="00DA1184">
        <w:rPr>
          <w:sz w:val="24"/>
        </w:rPr>
        <w:t>13</w:t>
      </w:r>
      <w:r w:rsidRPr="00293ABF">
        <w:rPr>
          <w:rFonts w:hint="eastAsia"/>
          <w:sz w:val="24"/>
        </w:rPr>
        <w:t>日起至</w:t>
      </w:r>
      <w:r w:rsidRPr="00293ABF">
        <w:rPr>
          <w:rFonts w:hint="eastAsia"/>
          <w:sz w:val="24"/>
        </w:rPr>
        <w:t>202</w:t>
      </w:r>
      <w:r w:rsidR="00DA1184">
        <w:rPr>
          <w:sz w:val="24"/>
        </w:rPr>
        <w:t>5</w:t>
      </w:r>
      <w:r w:rsidRPr="00293ABF">
        <w:rPr>
          <w:rFonts w:hint="eastAsia"/>
          <w:sz w:val="24"/>
        </w:rPr>
        <w:t>年</w:t>
      </w:r>
      <w:r w:rsidR="00DA1184">
        <w:rPr>
          <w:sz w:val="24"/>
        </w:rPr>
        <w:t>12</w:t>
      </w:r>
      <w:r w:rsidRPr="00293ABF">
        <w:rPr>
          <w:rFonts w:hint="eastAsia"/>
          <w:sz w:val="24"/>
        </w:rPr>
        <w:t>月</w:t>
      </w:r>
      <w:r w:rsidR="00DA1184">
        <w:rPr>
          <w:sz w:val="24"/>
        </w:rPr>
        <w:t>12</w:t>
      </w:r>
      <w:r w:rsidRPr="00293ABF">
        <w:rPr>
          <w:rFonts w:hint="eastAsia"/>
          <w:sz w:val="24"/>
        </w:rPr>
        <w:t>日</w:t>
      </w:r>
      <w:r w:rsidRPr="00293ABF">
        <w:rPr>
          <w:rFonts w:hint="eastAsia"/>
          <w:sz w:val="24"/>
        </w:rPr>
        <w:t>17</w:t>
      </w:r>
      <w:r w:rsidRPr="00293ABF">
        <w:rPr>
          <w:rFonts w:hint="eastAsia"/>
          <w:sz w:val="24"/>
        </w:rPr>
        <w:t>：</w:t>
      </w:r>
      <w:r w:rsidRPr="00293ABF">
        <w:rPr>
          <w:rFonts w:hint="eastAsia"/>
          <w:sz w:val="24"/>
        </w:rPr>
        <w:t>00</w:t>
      </w:r>
      <w:r w:rsidRPr="00293ABF">
        <w:rPr>
          <w:rFonts w:hint="eastAsia"/>
          <w:sz w:val="24"/>
        </w:rPr>
        <w:t>止。</w:t>
      </w:r>
      <w:r w:rsidR="00BA6B19">
        <w:rPr>
          <w:rFonts w:hint="eastAsia"/>
          <w:sz w:val="24"/>
        </w:rPr>
        <w:t>本次基金份额持有人大会权益登记日为</w:t>
      </w:r>
      <w:r w:rsidR="00BA6B19">
        <w:rPr>
          <w:sz w:val="24"/>
        </w:rPr>
        <w:t>202</w:t>
      </w:r>
      <w:r w:rsidR="00DA1184">
        <w:rPr>
          <w:sz w:val="24"/>
        </w:rPr>
        <w:t>5</w:t>
      </w:r>
      <w:r w:rsidR="00BA6B19">
        <w:rPr>
          <w:rFonts w:hint="eastAsia"/>
          <w:sz w:val="24"/>
        </w:rPr>
        <w:t>年</w:t>
      </w:r>
      <w:r w:rsidR="00DA1184">
        <w:rPr>
          <w:sz w:val="24"/>
        </w:rPr>
        <w:t>11</w:t>
      </w:r>
      <w:r w:rsidR="00BA6B19">
        <w:rPr>
          <w:rFonts w:hint="eastAsia"/>
          <w:sz w:val="24"/>
        </w:rPr>
        <w:t>月</w:t>
      </w:r>
      <w:r w:rsidR="00DA1184">
        <w:rPr>
          <w:sz w:val="24"/>
        </w:rPr>
        <w:t>12</w:t>
      </w:r>
      <w:r w:rsidR="00BA6B19">
        <w:rPr>
          <w:rFonts w:hint="eastAsia"/>
          <w:sz w:val="24"/>
        </w:rPr>
        <w:t>日，权益登记日基金总份额为</w:t>
      </w:r>
      <w:r w:rsidR="00DA1184" w:rsidRPr="00DA1184">
        <w:rPr>
          <w:sz w:val="24"/>
        </w:rPr>
        <w:t>2698010992.46</w:t>
      </w:r>
      <w:r w:rsidR="00BA6B19">
        <w:rPr>
          <w:rFonts w:hint="eastAsia"/>
          <w:sz w:val="24"/>
        </w:rPr>
        <w:t>份。本次基金份额持有人大会中，参与投票的本基金基金份额持有人或其代理人所代表的基金份额为</w:t>
      </w:r>
      <w:r w:rsidR="00DA1184" w:rsidRPr="00DA1184">
        <w:rPr>
          <w:sz w:val="24"/>
        </w:rPr>
        <w:t>2698010727.92</w:t>
      </w:r>
      <w:r w:rsidR="00BA6B19">
        <w:rPr>
          <w:rFonts w:hint="eastAsia"/>
          <w:sz w:val="24"/>
        </w:rPr>
        <w:t>份，占权益登记日基金总份额的</w:t>
      </w:r>
      <w:r w:rsidR="00562B1D">
        <w:rPr>
          <w:rFonts w:hint="eastAsia"/>
          <w:sz w:val="24"/>
        </w:rPr>
        <w:t>9</w:t>
      </w:r>
      <w:r w:rsidR="00562B1D">
        <w:rPr>
          <w:sz w:val="24"/>
        </w:rPr>
        <w:t>9.99999</w:t>
      </w:r>
      <w:r>
        <w:rPr>
          <w:rFonts w:hint="eastAsia"/>
          <w:sz w:val="24"/>
        </w:rPr>
        <w:t>%</w:t>
      </w:r>
      <w:r w:rsidR="00BA6B19">
        <w:rPr>
          <w:rFonts w:hint="eastAsia"/>
          <w:sz w:val="24"/>
        </w:rPr>
        <w:t>，参加本次大会的本基金份额持有人或其代理人所代表的基金份额占权益登记日基金总份额的二分之一以上（含二分之一），达到法定开会条件，符合《中华人民共和国证券投资基金法》、《公开募集证券投资基金运作管理办法》和《基金合同》的有关规定。</w:t>
      </w:r>
    </w:p>
    <w:p w:rsidR="004C200A" w:rsidRDefault="00BA6B19">
      <w:pPr>
        <w:spacing w:line="360" w:lineRule="auto"/>
        <w:ind w:firstLineChars="200" w:firstLine="480"/>
        <w:rPr>
          <w:sz w:val="24"/>
        </w:rPr>
      </w:pPr>
      <w:r>
        <w:rPr>
          <w:rFonts w:hint="eastAsia"/>
          <w:sz w:val="24"/>
        </w:rPr>
        <w:t>本次大会审议了《</w:t>
      </w:r>
      <w:r w:rsidR="00DA1184" w:rsidRPr="00DA1184">
        <w:rPr>
          <w:rFonts w:hint="eastAsia"/>
          <w:sz w:val="24"/>
        </w:rPr>
        <w:t>关于国寿安保泰吉纯债一年定期开放债券型发起式证券投资基金持续运作的议案</w:t>
      </w:r>
      <w:r>
        <w:rPr>
          <w:rFonts w:hint="eastAsia"/>
          <w:sz w:val="24"/>
        </w:rPr>
        <w:t>》（以下简称“议案”），并由参加本次大会的基金份额持有人或其代理人对本次会议议案进行表决。</w:t>
      </w:r>
    </w:p>
    <w:p w:rsidR="004C200A" w:rsidRDefault="00BA6B19">
      <w:pPr>
        <w:spacing w:line="360" w:lineRule="auto"/>
        <w:ind w:firstLineChars="200" w:firstLine="480"/>
        <w:rPr>
          <w:sz w:val="24"/>
        </w:rPr>
      </w:pPr>
      <w:r>
        <w:rPr>
          <w:rFonts w:hint="eastAsia"/>
          <w:sz w:val="24"/>
        </w:rPr>
        <w:t>本次基金份额持有人大会的表决结果为：</w:t>
      </w:r>
    </w:p>
    <w:p w:rsidR="004C200A" w:rsidRDefault="00BA6B19">
      <w:pPr>
        <w:spacing w:line="360" w:lineRule="auto"/>
        <w:ind w:firstLineChars="200" w:firstLine="480"/>
        <w:rPr>
          <w:sz w:val="24"/>
        </w:rPr>
      </w:pPr>
      <w:r>
        <w:rPr>
          <w:rFonts w:hint="eastAsia"/>
          <w:sz w:val="24"/>
        </w:rPr>
        <w:t>参与投票的基金份额持有人及代理人所代表的基金份额中，同意票所代表的基金份额为</w:t>
      </w:r>
      <w:r w:rsidR="00DA1184" w:rsidRPr="00DA1184">
        <w:rPr>
          <w:sz w:val="24"/>
        </w:rPr>
        <w:t>2698010727.92</w:t>
      </w:r>
      <w:r>
        <w:rPr>
          <w:rFonts w:hint="eastAsia"/>
          <w:sz w:val="24"/>
        </w:rPr>
        <w:t>份，占出席会议的基金份额持有人及代理人所代表的基金份额总数的</w:t>
      </w:r>
      <w:r w:rsidR="00293ABF">
        <w:rPr>
          <w:sz w:val="24"/>
        </w:rPr>
        <w:t>100</w:t>
      </w:r>
      <w:r w:rsidR="00293ABF">
        <w:rPr>
          <w:rFonts w:hint="eastAsia"/>
          <w:sz w:val="24"/>
        </w:rPr>
        <w:t>%</w:t>
      </w:r>
      <w:r>
        <w:rPr>
          <w:rFonts w:hint="eastAsia"/>
          <w:sz w:val="24"/>
        </w:rPr>
        <w:t>；</w:t>
      </w:r>
      <w:r w:rsidR="00293ABF" w:rsidRPr="00293ABF">
        <w:rPr>
          <w:rFonts w:hint="eastAsia"/>
          <w:sz w:val="24"/>
        </w:rPr>
        <w:t>无</w:t>
      </w:r>
      <w:r>
        <w:rPr>
          <w:rFonts w:hint="eastAsia"/>
          <w:sz w:val="24"/>
        </w:rPr>
        <w:t>持有人或代理人投出反对或弃权票。上述表决结果达到参加本次会议的基金份额持有人或其代理人所持基金份额表决权的三分之二以上（含三分之二），符合《中华人民共和国证券投资基金法》、《公开募集证券投资基金运作管理办法》和《基金合同》的有关规定，《</w:t>
      </w:r>
      <w:r w:rsidR="00DA1184" w:rsidRPr="00DA1184">
        <w:rPr>
          <w:rFonts w:hint="eastAsia"/>
          <w:sz w:val="24"/>
        </w:rPr>
        <w:t>关于国寿安保泰吉纯债一年定期开放债券型发起式证券投资基金持续运作的议案</w:t>
      </w:r>
      <w:r>
        <w:rPr>
          <w:rFonts w:hint="eastAsia"/>
          <w:sz w:val="24"/>
        </w:rPr>
        <w:t>》获得通过，该决议自</w:t>
      </w:r>
      <w:r>
        <w:rPr>
          <w:sz w:val="24"/>
        </w:rPr>
        <w:t>202</w:t>
      </w:r>
      <w:r w:rsidR="00DA1184">
        <w:rPr>
          <w:sz w:val="24"/>
        </w:rPr>
        <w:t>5</w:t>
      </w:r>
      <w:r>
        <w:rPr>
          <w:rFonts w:hint="eastAsia"/>
          <w:sz w:val="24"/>
        </w:rPr>
        <w:t>年</w:t>
      </w:r>
      <w:r w:rsidR="00DA1184">
        <w:rPr>
          <w:sz w:val="24"/>
        </w:rPr>
        <w:lastRenderedPageBreak/>
        <w:t>12</w:t>
      </w:r>
      <w:r>
        <w:rPr>
          <w:rFonts w:hint="eastAsia"/>
          <w:sz w:val="24"/>
        </w:rPr>
        <w:t>月</w:t>
      </w:r>
      <w:r w:rsidR="00DA1184">
        <w:rPr>
          <w:sz w:val="24"/>
        </w:rPr>
        <w:t>16</w:t>
      </w:r>
      <w:r>
        <w:rPr>
          <w:rFonts w:hint="eastAsia"/>
          <w:sz w:val="24"/>
        </w:rPr>
        <w:t>日起生效。</w:t>
      </w:r>
    </w:p>
    <w:p w:rsidR="00C75F60" w:rsidRPr="00C75F60" w:rsidRDefault="00C75F60">
      <w:pPr>
        <w:spacing w:line="360" w:lineRule="auto"/>
        <w:ind w:firstLineChars="200" w:firstLine="480"/>
        <w:rPr>
          <w:sz w:val="24"/>
        </w:rPr>
      </w:pPr>
      <w:r w:rsidRPr="00C75F60">
        <w:rPr>
          <w:rFonts w:hint="eastAsia"/>
          <w:sz w:val="24"/>
        </w:rPr>
        <w:t>根据《运作办法》、《基金合同》的有关规定，本次基金份额持有人大会费用列入基金费用，由基金资产承担。经本基金基金托管人</w:t>
      </w:r>
      <w:r w:rsidR="00DA1184">
        <w:rPr>
          <w:rFonts w:hint="eastAsia"/>
          <w:sz w:val="24"/>
        </w:rPr>
        <w:t>华夏</w:t>
      </w:r>
      <w:r w:rsidRPr="00C75F60">
        <w:rPr>
          <w:rFonts w:hint="eastAsia"/>
          <w:sz w:val="24"/>
        </w:rPr>
        <w:t>银行股份有限公司确认，本次基金份额持有人大会费用明细如下表所示：</w:t>
      </w:r>
    </w:p>
    <w:tbl>
      <w:tblPr>
        <w:tblW w:w="6879"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650"/>
        <w:gridCol w:w="3229"/>
      </w:tblGrid>
      <w:tr w:rsidR="00C75F60" w:rsidRPr="00C75F60" w:rsidTr="00C75F60">
        <w:trPr>
          <w:trHeight w:val="352"/>
        </w:trPr>
        <w:tc>
          <w:tcPr>
            <w:tcW w:w="3650" w:type="dxa"/>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sidRPr="00C75F60">
              <w:rPr>
                <w:rFonts w:asciiTheme="minorEastAsia" w:hAnsiTheme="minorEastAsia" w:hint="eastAsia"/>
                <w:sz w:val="24"/>
                <w:szCs w:val="24"/>
              </w:rPr>
              <w:t>项目</w:t>
            </w:r>
          </w:p>
        </w:tc>
        <w:tc>
          <w:tcPr>
            <w:tcW w:w="3229" w:type="dxa"/>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sidRPr="00C75F60">
              <w:rPr>
                <w:rFonts w:asciiTheme="minorEastAsia" w:hAnsiTheme="minorEastAsia" w:hint="eastAsia"/>
                <w:sz w:val="24"/>
                <w:szCs w:val="24"/>
              </w:rPr>
              <w:t>金额（单位：元）</w:t>
            </w:r>
          </w:p>
        </w:tc>
      </w:tr>
      <w:tr w:rsidR="00C75F60" w:rsidRPr="00C75F60" w:rsidTr="00C75F60">
        <w:trPr>
          <w:trHeight w:val="360"/>
        </w:trPr>
        <w:tc>
          <w:tcPr>
            <w:tcW w:w="0" w:type="auto"/>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sidRPr="00C75F60">
              <w:rPr>
                <w:rFonts w:asciiTheme="minorEastAsia" w:hAnsiTheme="minorEastAsia" w:hint="eastAsia"/>
                <w:sz w:val="24"/>
                <w:szCs w:val="24"/>
              </w:rPr>
              <w:t>律师费</w:t>
            </w:r>
          </w:p>
        </w:tc>
        <w:tc>
          <w:tcPr>
            <w:tcW w:w="0" w:type="auto"/>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sidRPr="00C75F60">
              <w:rPr>
                <w:rFonts w:asciiTheme="minorEastAsia" w:hAnsiTheme="minorEastAsia" w:hint="eastAsia"/>
                <w:sz w:val="24"/>
                <w:szCs w:val="24"/>
              </w:rPr>
              <w:t>0,000</w:t>
            </w:r>
          </w:p>
        </w:tc>
      </w:tr>
      <w:tr w:rsidR="00C75F60" w:rsidRPr="00C75F60" w:rsidTr="00C75F60">
        <w:trPr>
          <w:trHeight w:val="352"/>
        </w:trPr>
        <w:tc>
          <w:tcPr>
            <w:tcW w:w="0" w:type="auto"/>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sidRPr="00C75F60">
              <w:rPr>
                <w:rFonts w:asciiTheme="minorEastAsia" w:hAnsiTheme="minorEastAsia" w:hint="eastAsia"/>
                <w:sz w:val="24"/>
                <w:szCs w:val="24"/>
              </w:rPr>
              <w:t>公证费</w:t>
            </w:r>
          </w:p>
        </w:tc>
        <w:tc>
          <w:tcPr>
            <w:tcW w:w="0" w:type="auto"/>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sidRPr="00C75F60">
              <w:rPr>
                <w:rFonts w:asciiTheme="minorEastAsia" w:hAnsiTheme="minorEastAsia" w:hint="eastAsia"/>
                <w:sz w:val="24"/>
                <w:szCs w:val="24"/>
              </w:rPr>
              <w:t>10,000</w:t>
            </w:r>
          </w:p>
        </w:tc>
      </w:tr>
      <w:tr w:rsidR="00C75F60" w:rsidRPr="00C75F60" w:rsidTr="00C75F60">
        <w:trPr>
          <w:trHeight w:val="360"/>
        </w:trPr>
        <w:tc>
          <w:tcPr>
            <w:tcW w:w="0" w:type="auto"/>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sidRPr="00C75F60">
              <w:rPr>
                <w:rFonts w:asciiTheme="minorEastAsia" w:hAnsiTheme="minorEastAsia" w:hint="eastAsia"/>
                <w:sz w:val="24"/>
                <w:szCs w:val="24"/>
              </w:rPr>
              <w:t>合计</w:t>
            </w:r>
          </w:p>
        </w:tc>
        <w:tc>
          <w:tcPr>
            <w:tcW w:w="0" w:type="auto"/>
            <w:shd w:val="clear" w:color="auto" w:fill="FFFFFF"/>
            <w:tcMar>
              <w:top w:w="0" w:type="dxa"/>
              <w:left w:w="30" w:type="dxa"/>
              <w:bottom w:w="0" w:type="dxa"/>
              <w:right w:w="30" w:type="dxa"/>
            </w:tcMar>
            <w:vAlign w:val="center"/>
            <w:hideMark/>
          </w:tcPr>
          <w:p w:rsidR="00C75F60" w:rsidRPr="00C75F60" w:rsidRDefault="00C75F60" w:rsidP="00C75F60">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Pr="00C75F60">
              <w:rPr>
                <w:rFonts w:asciiTheme="minorEastAsia" w:hAnsiTheme="minorEastAsia" w:hint="eastAsia"/>
                <w:sz w:val="24"/>
                <w:szCs w:val="24"/>
              </w:rPr>
              <w:t>0,000</w:t>
            </w:r>
          </w:p>
        </w:tc>
      </w:tr>
    </w:tbl>
    <w:p w:rsidR="004C200A" w:rsidRDefault="004C200A" w:rsidP="00C75F60">
      <w:pPr>
        <w:spacing w:line="360" w:lineRule="auto"/>
        <w:rPr>
          <w:sz w:val="24"/>
        </w:rPr>
      </w:pPr>
    </w:p>
    <w:p w:rsidR="004C200A" w:rsidRDefault="00BA6B19">
      <w:pPr>
        <w:spacing w:line="360" w:lineRule="auto"/>
        <w:ind w:firstLineChars="200" w:firstLine="480"/>
        <w:outlineLvl w:val="0"/>
        <w:rPr>
          <w:sz w:val="24"/>
        </w:rPr>
      </w:pPr>
      <w:r>
        <w:rPr>
          <w:rFonts w:hint="eastAsia"/>
          <w:sz w:val="24"/>
        </w:rPr>
        <w:t>二、本基金基金份额持有人大会决议的生效情况</w:t>
      </w:r>
    </w:p>
    <w:p w:rsidR="004C200A" w:rsidRDefault="00BA6B19">
      <w:pPr>
        <w:spacing w:line="360" w:lineRule="auto"/>
        <w:ind w:firstLineChars="200" w:firstLine="480"/>
        <w:rPr>
          <w:sz w:val="24"/>
        </w:rPr>
      </w:pPr>
      <w:r>
        <w:rPr>
          <w:rFonts w:hint="eastAsia"/>
          <w:sz w:val="24"/>
        </w:rPr>
        <w:t>根据《公开募集证券投资基金运作管理办法》的规定，基金份额持有人大会决定的事项自表决通过之日起生效。本次基金份额持有人大会于</w:t>
      </w:r>
      <w:r>
        <w:rPr>
          <w:sz w:val="24"/>
        </w:rPr>
        <w:t>202</w:t>
      </w:r>
      <w:r w:rsidR="00DA1184">
        <w:rPr>
          <w:sz w:val="24"/>
        </w:rPr>
        <w:t>5</w:t>
      </w:r>
      <w:r>
        <w:rPr>
          <w:rFonts w:hint="eastAsia"/>
          <w:sz w:val="24"/>
        </w:rPr>
        <w:t>年</w:t>
      </w:r>
      <w:r w:rsidR="00DA1184">
        <w:rPr>
          <w:sz w:val="24"/>
        </w:rPr>
        <w:t>12</w:t>
      </w:r>
      <w:r>
        <w:rPr>
          <w:rFonts w:hint="eastAsia"/>
          <w:sz w:val="24"/>
        </w:rPr>
        <w:t>月</w:t>
      </w:r>
      <w:r w:rsidR="00DA1184">
        <w:rPr>
          <w:sz w:val="24"/>
        </w:rPr>
        <w:t>16</w:t>
      </w:r>
      <w:r>
        <w:rPr>
          <w:rFonts w:hint="eastAsia"/>
          <w:sz w:val="24"/>
        </w:rPr>
        <w:t>日表决通过了《</w:t>
      </w:r>
      <w:r w:rsidR="00DA1184" w:rsidRPr="00DA1184">
        <w:rPr>
          <w:rFonts w:hint="eastAsia"/>
          <w:sz w:val="24"/>
        </w:rPr>
        <w:t>关于国寿安保泰吉纯债一年定期开放债券型发起式证券投资基金持续运作的议案</w:t>
      </w:r>
      <w:r>
        <w:rPr>
          <w:rFonts w:hint="eastAsia"/>
          <w:sz w:val="24"/>
        </w:rPr>
        <w:t>》，本次大会决议自该日起正式生效。</w:t>
      </w:r>
    </w:p>
    <w:p w:rsidR="004C200A" w:rsidRDefault="00BA6B19">
      <w:pPr>
        <w:spacing w:line="360" w:lineRule="auto"/>
        <w:ind w:firstLineChars="200" w:firstLine="480"/>
        <w:rPr>
          <w:sz w:val="24"/>
        </w:rPr>
      </w:pPr>
      <w:r>
        <w:rPr>
          <w:rFonts w:hint="eastAsia"/>
          <w:sz w:val="24"/>
        </w:rPr>
        <w:t>本公司将自</w:t>
      </w:r>
      <w:r>
        <w:rPr>
          <w:sz w:val="24"/>
        </w:rPr>
        <w:t>202</w:t>
      </w:r>
      <w:r w:rsidR="00DA1184">
        <w:rPr>
          <w:sz w:val="24"/>
        </w:rPr>
        <w:t>5</w:t>
      </w:r>
      <w:r>
        <w:rPr>
          <w:rFonts w:hint="eastAsia"/>
          <w:sz w:val="24"/>
        </w:rPr>
        <w:t>年</w:t>
      </w:r>
      <w:r w:rsidR="00DA1184">
        <w:rPr>
          <w:sz w:val="24"/>
        </w:rPr>
        <w:t>12</w:t>
      </w:r>
      <w:r>
        <w:rPr>
          <w:rFonts w:hint="eastAsia"/>
          <w:sz w:val="24"/>
        </w:rPr>
        <w:t>月</w:t>
      </w:r>
      <w:r w:rsidR="00DA1184">
        <w:rPr>
          <w:sz w:val="24"/>
        </w:rPr>
        <w:t>16</w:t>
      </w:r>
      <w:r>
        <w:rPr>
          <w:rFonts w:hint="eastAsia"/>
          <w:sz w:val="24"/>
        </w:rPr>
        <w:t>日起五日内将表决通过的事项报中国证券监督管理委员会备案。</w:t>
      </w:r>
    </w:p>
    <w:p w:rsidR="004C200A" w:rsidRDefault="004C200A" w:rsidP="00293ABF">
      <w:pPr>
        <w:spacing w:line="360" w:lineRule="auto"/>
        <w:ind w:firstLineChars="200" w:firstLine="480"/>
        <w:rPr>
          <w:sz w:val="24"/>
        </w:rPr>
      </w:pPr>
    </w:p>
    <w:p w:rsidR="00293ABF" w:rsidRDefault="00293ABF" w:rsidP="00293ABF">
      <w:pPr>
        <w:spacing w:line="360" w:lineRule="auto"/>
        <w:ind w:firstLineChars="200" w:firstLine="480"/>
        <w:rPr>
          <w:sz w:val="24"/>
        </w:rPr>
      </w:pPr>
      <w:r w:rsidRPr="00293ABF">
        <w:rPr>
          <w:rFonts w:hint="eastAsia"/>
          <w:sz w:val="24"/>
        </w:rPr>
        <w:t>投资者如有任何问题，可拨打本公司客户服务电话（</w:t>
      </w:r>
      <w:r w:rsidRPr="00293ABF">
        <w:rPr>
          <w:rFonts w:hint="eastAsia"/>
          <w:sz w:val="24"/>
        </w:rPr>
        <w:t>4009-258-258</w:t>
      </w:r>
      <w:r w:rsidRPr="00293ABF">
        <w:rPr>
          <w:rFonts w:hint="eastAsia"/>
          <w:sz w:val="24"/>
        </w:rPr>
        <w:t>），亦可登陆本公司网站（</w:t>
      </w:r>
      <w:r w:rsidRPr="00293ABF">
        <w:rPr>
          <w:rFonts w:hint="eastAsia"/>
          <w:sz w:val="24"/>
        </w:rPr>
        <w:t>www.gsfunds.com.cn</w:t>
      </w:r>
      <w:r w:rsidRPr="00293ABF">
        <w:rPr>
          <w:rFonts w:hint="eastAsia"/>
          <w:sz w:val="24"/>
        </w:rPr>
        <w:t>）了解相关情况。</w:t>
      </w:r>
    </w:p>
    <w:p w:rsidR="004C200A" w:rsidRDefault="004C200A">
      <w:pPr>
        <w:spacing w:line="360" w:lineRule="auto"/>
        <w:ind w:firstLineChars="200" w:firstLine="480"/>
        <w:rPr>
          <w:sz w:val="24"/>
        </w:rPr>
      </w:pPr>
    </w:p>
    <w:p w:rsidR="004C200A" w:rsidRDefault="00DA1184">
      <w:pPr>
        <w:spacing w:line="360" w:lineRule="auto"/>
        <w:ind w:firstLineChars="200" w:firstLine="480"/>
        <w:outlineLvl w:val="0"/>
        <w:rPr>
          <w:sz w:val="24"/>
        </w:rPr>
      </w:pPr>
      <w:r>
        <w:rPr>
          <w:rFonts w:hint="eastAsia"/>
          <w:sz w:val="24"/>
        </w:rPr>
        <w:t>三</w:t>
      </w:r>
      <w:r w:rsidR="00BA6B19">
        <w:rPr>
          <w:rFonts w:hint="eastAsia"/>
          <w:sz w:val="24"/>
        </w:rPr>
        <w:t>、备查文件</w:t>
      </w:r>
    </w:p>
    <w:p w:rsidR="004C200A" w:rsidRDefault="00BA6B19">
      <w:pPr>
        <w:spacing w:line="360" w:lineRule="auto"/>
        <w:ind w:firstLineChars="200" w:firstLine="480"/>
        <w:rPr>
          <w:sz w:val="24"/>
        </w:rPr>
      </w:pPr>
      <w:r>
        <w:rPr>
          <w:rFonts w:hint="eastAsia"/>
          <w:sz w:val="24"/>
        </w:rPr>
        <w:t>1</w:t>
      </w:r>
      <w:r>
        <w:rPr>
          <w:rFonts w:hint="eastAsia"/>
          <w:sz w:val="24"/>
        </w:rPr>
        <w:t>、《国寿安保基金管理有限公司关于以通讯方式召开国寿安保</w:t>
      </w:r>
      <w:r w:rsidR="00DA1184">
        <w:rPr>
          <w:rFonts w:hint="eastAsia"/>
          <w:sz w:val="24"/>
        </w:rPr>
        <w:t>泰吉纯债一年定期开放债券型发起式</w:t>
      </w:r>
      <w:r>
        <w:rPr>
          <w:rFonts w:hint="eastAsia"/>
          <w:sz w:val="24"/>
        </w:rPr>
        <w:t>证券投资基金基金份额持有人大会的公告》；</w:t>
      </w:r>
    </w:p>
    <w:p w:rsidR="004C200A" w:rsidRDefault="00BA6B19">
      <w:pPr>
        <w:spacing w:line="360" w:lineRule="auto"/>
        <w:ind w:firstLineChars="200" w:firstLine="480"/>
        <w:rPr>
          <w:sz w:val="24"/>
        </w:rPr>
      </w:pPr>
      <w:r>
        <w:rPr>
          <w:rFonts w:hint="eastAsia"/>
          <w:sz w:val="24"/>
        </w:rPr>
        <w:t>2</w:t>
      </w:r>
      <w:r>
        <w:rPr>
          <w:rFonts w:hint="eastAsia"/>
          <w:sz w:val="24"/>
        </w:rPr>
        <w:t>、《国寿安保基金管理有限公司关于以通讯方式召开国寿安保</w:t>
      </w:r>
      <w:r w:rsidR="00DA1184">
        <w:rPr>
          <w:rFonts w:hint="eastAsia"/>
          <w:sz w:val="24"/>
        </w:rPr>
        <w:t>泰吉纯债一年定期开放债券型发起式</w:t>
      </w:r>
      <w:r>
        <w:rPr>
          <w:rFonts w:hint="eastAsia"/>
          <w:sz w:val="24"/>
        </w:rPr>
        <w:t>证券投资基金基金份额持有人大会的第一次提示性公告》；</w:t>
      </w:r>
    </w:p>
    <w:p w:rsidR="004C200A" w:rsidRDefault="00BA6B19">
      <w:pPr>
        <w:spacing w:line="360" w:lineRule="auto"/>
        <w:ind w:firstLineChars="200" w:firstLine="480"/>
        <w:rPr>
          <w:sz w:val="24"/>
        </w:rPr>
      </w:pPr>
      <w:r>
        <w:rPr>
          <w:rFonts w:hint="eastAsia"/>
          <w:sz w:val="24"/>
        </w:rPr>
        <w:t>3</w:t>
      </w:r>
      <w:r>
        <w:rPr>
          <w:rFonts w:hint="eastAsia"/>
          <w:sz w:val="24"/>
        </w:rPr>
        <w:t>、《国寿安保基金管理有限公司关于以通讯方式召开国寿安保</w:t>
      </w:r>
      <w:r w:rsidR="00DA1184">
        <w:rPr>
          <w:rFonts w:hint="eastAsia"/>
          <w:sz w:val="24"/>
        </w:rPr>
        <w:t>泰吉纯债一年定期开放债券型发起式</w:t>
      </w:r>
      <w:r>
        <w:rPr>
          <w:rFonts w:hint="eastAsia"/>
          <w:sz w:val="24"/>
        </w:rPr>
        <w:t>证券投资基金基金份额持有人大会的第二次提示性公告》；</w:t>
      </w:r>
    </w:p>
    <w:p w:rsidR="004C200A" w:rsidRDefault="00BA6B19">
      <w:pPr>
        <w:spacing w:line="360" w:lineRule="auto"/>
        <w:ind w:firstLineChars="200" w:firstLine="480"/>
        <w:rPr>
          <w:sz w:val="24"/>
        </w:rPr>
      </w:pPr>
      <w:r>
        <w:rPr>
          <w:sz w:val="24"/>
        </w:rPr>
        <w:t>4</w:t>
      </w:r>
      <w:r>
        <w:rPr>
          <w:rFonts w:hint="eastAsia"/>
          <w:sz w:val="24"/>
        </w:rPr>
        <w:t>、《北京市方圆公证处关于国寿安保</w:t>
      </w:r>
      <w:r w:rsidR="00DA1184">
        <w:rPr>
          <w:rFonts w:hint="eastAsia"/>
          <w:sz w:val="24"/>
        </w:rPr>
        <w:t>泰吉纯债一年定期开放债券型发起式</w:t>
      </w:r>
      <w:r>
        <w:rPr>
          <w:rFonts w:hint="eastAsia"/>
          <w:sz w:val="24"/>
        </w:rPr>
        <w:t>证券投资基金基金份额持有人大会的公证书》；</w:t>
      </w:r>
    </w:p>
    <w:p w:rsidR="004C200A" w:rsidRDefault="00BA6B19">
      <w:pPr>
        <w:spacing w:line="360" w:lineRule="auto"/>
        <w:ind w:firstLineChars="200" w:firstLine="480"/>
        <w:rPr>
          <w:sz w:val="24"/>
        </w:rPr>
      </w:pPr>
      <w:r>
        <w:rPr>
          <w:sz w:val="24"/>
        </w:rPr>
        <w:lastRenderedPageBreak/>
        <w:t>5</w:t>
      </w:r>
      <w:r>
        <w:rPr>
          <w:rFonts w:hint="eastAsia"/>
          <w:sz w:val="24"/>
        </w:rPr>
        <w:t>、《上海市通力律师事务所关于国寿安保</w:t>
      </w:r>
      <w:r w:rsidR="00DA1184">
        <w:rPr>
          <w:rFonts w:hint="eastAsia"/>
          <w:sz w:val="24"/>
        </w:rPr>
        <w:t>泰吉纯债一年定期开放债券型发起式</w:t>
      </w:r>
      <w:r>
        <w:rPr>
          <w:rFonts w:hint="eastAsia"/>
          <w:sz w:val="24"/>
        </w:rPr>
        <w:t>证券投资基金基金份额持有人大会的法律意见》。</w:t>
      </w:r>
    </w:p>
    <w:p w:rsidR="004C200A" w:rsidRDefault="004C200A">
      <w:pPr>
        <w:spacing w:line="360" w:lineRule="auto"/>
        <w:ind w:firstLineChars="200" w:firstLine="480"/>
        <w:rPr>
          <w:sz w:val="24"/>
        </w:rPr>
      </w:pPr>
    </w:p>
    <w:p w:rsidR="004C200A" w:rsidRDefault="00BA6B19">
      <w:pPr>
        <w:spacing w:line="360" w:lineRule="auto"/>
        <w:ind w:firstLineChars="200" w:firstLine="480"/>
        <w:rPr>
          <w:sz w:val="24"/>
        </w:rPr>
      </w:pPr>
      <w:r>
        <w:rPr>
          <w:rFonts w:hint="eastAsia"/>
          <w:sz w:val="24"/>
        </w:rPr>
        <w:t>特此公告。</w:t>
      </w:r>
    </w:p>
    <w:p w:rsidR="004C200A" w:rsidRDefault="004C200A">
      <w:pPr>
        <w:spacing w:line="360" w:lineRule="auto"/>
        <w:ind w:firstLineChars="200" w:firstLine="480"/>
        <w:rPr>
          <w:sz w:val="24"/>
        </w:rPr>
      </w:pPr>
    </w:p>
    <w:p w:rsidR="004C200A" w:rsidRDefault="004C200A">
      <w:pPr>
        <w:spacing w:line="360" w:lineRule="auto"/>
        <w:ind w:firstLineChars="200" w:firstLine="480"/>
        <w:rPr>
          <w:sz w:val="24"/>
        </w:rPr>
      </w:pPr>
    </w:p>
    <w:p w:rsidR="004C200A" w:rsidRDefault="004C200A">
      <w:pPr>
        <w:spacing w:line="360" w:lineRule="auto"/>
        <w:ind w:firstLineChars="200" w:firstLine="480"/>
        <w:rPr>
          <w:sz w:val="24"/>
        </w:rPr>
      </w:pPr>
    </w:p>
    <w:p w:rsidR="004C200A" w:rsidRDefault="00BA6B19">
      <w:pPr>
        <w:spacing w:line="360" w:lineRule="auto"/>
        <w:jc w:val="right"/>
        <w:rPr>
          <w:sz w:val="24"/>
        </w:rPr>
      </w:pPr>
      <w:r>
        <w:rPr>
          <w:rFonts w:hint="eastAsia"/>
          <w:sz w:val="24"/>
        </w:rPr>
        <w:t>国寿安保基金管理有限公司</w:t>
      </w:r>
    </w:p>
    <w:p w:rsidR="004C200A" w:rsidRDefault="00BA6B19">
      <w:pPr>
        <w:spacing w:line="360" w:lineRule="auto"/>
        <w:jc w:val="right"/>
        <w:rPr>
          <w:sz w:val="24"/>
        </w:rPr>
      </w:pPr>
      <w:r>
        <w:rPr>
          <w:rFonts w:hint="eastAsia"/>
          <w:sz w:val="24"/>
        </w:rPr>
        <w:t>20</w:t>
      </w:r>
      <w:r>
        <w:rPr>
          <w:sz w:val="24"/>
        </w:rPr>
        <w:t>2</w:t>
      </w:r>
      <w:r w:rsidR="00DA1184">
        <w:rPr>
          <w:sz w:val="24"/>
        </w:rPr>
        <w:t>5</w:t>
      </w:r>
      <w:r>
        <w:rPr>
          <w:rFonts w:hint="eastAsia"/>
          <w:sz w:val="24"/>
        </w:rPr>
        <w:t>年</w:t>
      </w:r>
      <w:r w:rsidR="00DA1184">
        <w:rPr>
          <w:rFonts w:hint="eastAsia"/>
          <w:sz w:val="24"/>
        </w:rPr>
        <w:t>1</w:t>
      </w:r>
      <w:r w:rsidR="00DA1184">
        <w:rPr>
          <w:sz w:val="24"/>
        </w:rPr>
        <w:t>2</w:t>
      </w:r>
      <w:r>
        <w:rPr>
          <w:rFonts w:hint="eastAsia"/>
          <w:sz w:val="24"/>
        </w:rPr>
        <w:t>月</w:t>
      </w:r>
      <w:r w:rsidR="000B03EA">
        <w:rPr>
          <w:rFonts w:hint="eastAsia"/>
          <w:sz w:val="24"/>
        </w:rPr>
        <w:t>1</w:t>
      </w:r>
      <w:r w:rsidR="000B03EA">
        <w:rPr>
          <w:sz w:val="24"/>
        </w:rPr>
        <w:t>7</w:t>
      </w:r>
      <w:bookmarkStart w:id="0" w:name="_GoBack"/>
      <w:bookmarkEnd w:id="0"/>
      <w:r>
        <w:rPr>
          <w:rFonts w:hint="eastAsia"/>
          <w:sz w:val="24"/>
        </w:rPr>
        <w:t>日</w:t>
      </w:r>
    </w:p>
    <w:p w:rsidR="004C200A" w:rsidRDefault="004C200A">
      <w:pPr>
        <w:widowControl/>
        <w:jc w:val="left"/>
        <w:rPr>
          <w:sz w:val="24"/>
        </w:rPr>
      </w:pPr>
    </w:p>
    <w:sectPr w:rsidR="004C200A" w:rsidSect="00865627">
      <w:pgSz w:w="11906" w:h="16838"/>
      <w:pgMar w:top="1440" w:right="1701"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0376"/>
    <w:rsid w:val="0005029E"/>
    <w:rsid w:val="00055833"/>
    <w:rsid w:val="00067ED2"/>
    <w:rsid w:val="000B03EA"/>
    <w:rsid w:val="000B5147"/>
    <w:rsid w:val="000C1313"/>
    <w:rsid w:val="00134E04"/>
    <w:rsid w:val="001351C0"/>
    <w:rsid w:val="001417B2"/>
    <w:rsid w:val="00154E7F"/>
    <w:rsid w:val="00176518"/>
    <w:rsid w:val="001B3A18"/>
    <w:rsid w:val="001C1944"/>
    <w:rsid w:val="00220E5B"/>
    <w:rsid w:val="0024707F"/>
    <w:rsid w:val="00293ABF"/>
    <w:rsid w:val="002B7C34"/>
    <w:rsid w:val="002C006A"/>
    <w:rsid w:val="002D1597"/>
    <w:rsid w:val="002D2082"/>
    <w:rsid w:val="002E468F"/>
    <w:rsid w:val="002F3CD7"/>
    <w:rsid w:val="0032018E"/>
    <w:rsid w:val="0034727B"/>
    <w:rsid w:val="003C6982"/>
    <w:rsid w:val="003D727F"/>
    <w:rsid w:val="003D7A59"/>
    <w:rsid w:val="003E2F9D"/>
    <w:rsid w:val="003E4C4E"/>
    <w:rsid w:val="00422A54"/>
    <w:rsid w:val="004372AE"/>
    <w:rsid w:val="00444E57"/>
    <w:rsid w:val="00466BB9"/>
    <w:rsid w:val="004720F9"/>
    <w:rsid w:val="00476087"/>
    <w:rsid w:val="00487B29"/>
    <w:rsid w:val="004A499B"/>
    <w:rsid w:val="004B437C"/>
    <w:rsid w:val="004C200A"/>
    <w:rsid w:val="004C6AA9"/>
    <w:rsid w:val="004D569A"/>
    <w:rsid w:val="004D7931"/>
    <w:rsid w:val="00507D62"/>
    <w:rsid w:val="00520445"/>
    <w:rsid w:val="00526899"/>
    <w:rsid w:val="00537C1E"/>
    <w:rsid w:val="00552D3B"/>
    <w:rsid w:val="00562B1D"/>
    <w:rsid w:val="00592AE7"/>
    <w:rsid w:val="00593198"/>
    <w:rsid w:val="005D5FF6"/>
    <w:rsid w:val="005F44C8"/>
    <w:rsid w:val="0066368D"/>
    <w:rsid w:val="00672A4E"/>
    <w:rsid w:val="0069113B"/>
    <w:rsid w:val="006A5CE2"/>
    <w:rsid w:val="006A6F89"/>
    <w:rsid w:val="006B332C"/>
    <w:rsid w:val="006C2DB3"/>
    <w:rsid w:val="006D5FC8"/>
    <w:rsid w:val="00703674"/>
    <w:rsid w:val="00716DA4"/>
    <w:rsid w:val="00742801"/>
    <w:rsid w:val="00757272"/>
    <w:rsid w:val="00776B1A"/>
    <w:rsid w:val="0078243A"/>
    <w:rsid w:val="00790C1D"/>
    <w:rsid w:val="00796129"/>
    <w:rsid w:val="007B1D2A"/>
    <w:rsid w:val="007D2E45"/>
    <w:rsid w:val="00816D83"/>
    <w:rsid w:val="00827753"/>
    <w:rsid w:val="00850BBE"/>
    <w:rsid w:val="00865627"/>
    <w:rsid w:val="008663F1"/>
    <w:rsid w:val="008856A2"/>
    <w:rsid w:val="00885F7E"/>
    <w:rsid w:val="008A0B23"/>
    <w:rsid w:val="008A0CDF"/>
    <w:rsid w:val="008B4B10"/>
    <w:rsid w:val="008B6891"/>
    <w:rsid w:val="008C3968"/>
    <w:rsid w:val="008C755B"/>
    <w:rsid w:val="008C76A1"/>
    <w:rsid w:val="008D5B70"/>
    <w:rsid w:val="008E0CA5"/>
    <w:rsid w:val="008E61A9"/>
    <w:rsid w:val="009002A1"/>
    <w:rsid w:val="00913543"/>
    <w:rsid w:val="00927F63"/>
    <w:rsid w:val="009540CD"/>
    <w:rsid w:val="00954855"/>
    <w:rsid w:val="009747F3"/>
    <w:rsid w:val="00995FD5"/>
    <w:rsid w:val="009B01B3"/>
    <w:rsid w:val="009B1712"/>
    <w:rsid w:val="009C52D6"/>
    <w:rsid w:val="009C6B44"/>
    <w:rsid w:val="00A049AC"/>
    <w:rsid w:val="00A27B8F"/>
    <w:rsid w:val="00A31B86"/>
    <w:rsid w:val="00A33C14"/>
    <w:rsid w:val="00A971C7"/>
    <w:rsid w:val="00AC0ED9"/>
    <w:rsid w:val="00AC7BF0"/>
    <w:rsid w:val="00AE0619"/>
    <w:rsid w:val="00AE135E"/>
    <w:rsid w:val="00AE7255"/>
    <w:rsid w:val="00B05395"/>
    <w:rsid w:val="00B15D04"/>
    <w:rsid w:val="00B27B49"/>
    <w:rsid w:val="00B450AF"/>
    <w:rsid w:val="00B505B5"/>
    <w:rsid w:val="00B60AC3"/>
    <w:rsid w:val="00BA2384"/>
    <w:rsid w:val="00BA3B9A"/>
    <w:rsid w:val="00BA6B19"/>
    <w:rsid w:val="00BC22D4"/>
    <w:rsid w:val="00C25338"/>
    <w:rsid w:val="00C3592F"/>
    <w:rsid w:val="00C451DC"/>
    <w:rsid w:val="00C4572B"/>
    <w:rsid w:val="00C51930"/>
    <w:rsid w:val="00C66DCD"/>
    <w:rsid w:val="00C75F60"/>
    <w:rsid w:val="00C93E5F"/>
    <w:rsid w:val="00CE6A11"/>
    <w:rsid w:val="00CF1462"/>
    <w:rsid w:val="00D2611D"/>
    <w:rsid w:val="00D319A1"/>
    <w:rsid w:val="00D33373"/>
    <w:rsid w:val="00D4497A"/>
    <w:rsid w:val="00D46579"/>
    <w:rsid w:val="00D76AB6"/>
    <w:rsid w:val="00D80BF1"/>
    <w:rsid w:val="00D85346"/>
    <w:rsid w:val="00D97982"/>
    <w:rsid w:val="00DA1184"/>
    <w:rsid w:val="00DA1E53"/>
    <w:rsid w:val="00DB1C9C"/>
    <w:rsid w:val="00DB38CA"/>
    <w:rsid w:val="00DB6985"/>
    <w:rsid w:val="00DD0A62"/>
    <w:rsid w:val="00DD7E53"/>
    <w:rsid w:val="00DE5063"/>
    <w:rsid w:val="00E06019"/>
    <w:rsid w:val="00E120E2"/>
    <w:rsid w:val="00E23486"/>
    <w:rsid w:val="00E6788F"/>
    <w:rsid w:val="00E85131"/>
    <w:rsid w:val="00EA6EF9"/>
    <w:rsid w:val="00EB2002"/>
    <w:rsid w:val="00EE0376"/>
    <w:rsid w:val="00EF4B2E"/>
    <w:rsid w:val="00EF4D2F"/>
    <w:rsid w:val="00F11ED3"/>
    <w:rsid w:val="00F64BCF"/>
    <w:rsid w:val="00F70032"/>
    <w:rsid w:val="00F75835"/>
    <w:rsid w:val="00FB1A63"/>
    <w:rsid w:val="00FC6DBC"/>
    <w:rsid w:val="00FD3A25"/>
    <w:rsid w:val="00FF5E31"/>
    <w:rsid w:val="23CE7211"/>
    <w:rsid w:val="35DD0B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6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65627"/>
    <w:pPr>
      <w:jc w:val="left"/>
    </w:pPr>
  </w:style>
  <w:style w:type="paragraph" w:styleId="a4">
    <w:name w:val="Date"/>
    <w:basedOn w:val="a"/>
    <w:next w:val="a"/>
    <w:link w:val="Char0"/>
    <w:uiPriority w:val="99"/>
    <w:semiHidden/>
    <w:unhideWhenUsed/>
    <w:rsid w:val="00865627"/>
    <w:pPr>
      <w:ind w:leftChars="2500" w:left="100"/>
    </w:pPr>
  </w:style>
  <w:style w:type="paragraph" w:styleId="a5">
    <w:name w:val="Balloon Text"/>
    <w:basedOn w:val="a"/>
    <w:link w:val="Char1"/>
    <w:uiPriority w:val="99"/>
    <w:semiHidden/>
    <w:unhideWhenUsed/>
    <w:qFormat/>
    <w:rsid w:val="00865627"/>
    <w:rPr>
      <w:sz w:val="18"/>
      <w:szCs w:val="18"/>
    </w:rPr>
  </w:style>
  <w:style w:type="paragraph" w:styleId="a6">
    <w:name w:val="footer"/>
    <w:basedOn w:val="a"/>
    <w:link w:val="Char2"/>
    <w:uiPriority w:val="99"/>
    <w:unhideWhenUsed/>
    <w:rsid w:val="00865627"/>
    <w:pPr>
      <w:tabs>
        <w:tab w:val="center" w:pos="4153"/>
        <w:tab w:val="right" w:pos="8306"/>
      </w:tabs>
      <w:snapToGrid w:val="0"/>
      <w:jc w:val="left"/>
    </w:pPr>
    <w:rPr>
      <w:sz w:val="18"/>
      <w:szCs w:val="18"/>
    </w:rPr>
  </w:style>
  <w:style w:type="paragraph" w:styleId="a7">
    <w:name w:val="header"/>
    <w:basedOn w:val="a"/>
    <w:link w:val="Char3"/>
    <w:uiPriority w:val="99"/>
    <w:unhideWhenUsed/>
    <w:rsid w:val="00865627"/>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865627"/>
    <w:rPr>
      <w:b/>
      <w:bCs/>
    </w:rPr>
  </w:style>
  <w:style w:type="table" w:styleId="a9">
    <w:name w:val="Table Grid"/>
    <w:basedOn w:val="a1"/>
    <w:uiPriority w:val="39"/>
    <w:qFormat/>
    <w:rsid w:val="00865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865627"/>
    <w:rPr>
      <w:sz w:val="21"/>
      <w:szCs w:val="21"/>
    </w:rPr>
  </w:style>
  <w:style w:type="character" w:customStyle="1" w:styleId="Char3">
    <w:name w:val="页眉 Char"/>
    <w:basedOn w:val="a0"/>
    <w:link w:val="a7"/>
    <w:uiPriority w:val="99"/>
    <w:rsid w:val="00865627"/>
    <w:rPr>
      <w:sz w:val="18"/>
      <w:szCs w:val="18"/>
    </w:rPr>
  </w:style>
  <w:style w:type="character" w:customStyle="1" w:styleId="Char2">
    <w:name w:val="页脚 Char"/>
    <w:basedOn w:val="a0"/>
    <w:link w:val="a6"/>
    <w:uiPriority w:val="99"/>
    <w:qFormat/>
    <w:rsid w:val="00865627"/>
    <w:rPr>
      <w:sz w:val="18"/>
      <w:szCs w:val="18"/>
    </w:rPr>
  </w:style>
  <w:style w:type="character" w:customStyle="1" w:styleId="Char">
    <w:name w:val="批注文字 Char"/>
    <w:basedOn w:val="a0"/>
    <w:link w:val="a3"/>
    <w:uiPriority w:val="99"/>
    <w:semiHidden/>
    <w:qFormat/>
    <w:rsid w:val="00865627"/>
  </w:style>
  <w:style w:type="character" w:customStyle="1" w:styleId="Char4">
    <w:name w:val="批注主题 Char"/>
    <w:basedOn w:val="Char"/>
    <w:link w:val="a8"/>
    <w:uiPriority w:val="99"/>
    <w:semiHidden/>
    <w:qFormat/>
    <w:rsid w:val="00865627"/>
    <w:rPr>
      <w:b/>
      <w:bCs/>
    </w:rPr>
  </w:style>
  <w:style w:type="character" w:customStyle="1" w:styleId="Char1">
    <w:name w:val="批注框文本 Char"/>
    <w:basedOn w:val="a0"/>
    <w:link w:val="a5"/>
    <w:uiPriority w:val="99"/>
    <w:semiHidden/>
    <w:rsid w:val="00865627"/>
    <w:rPr>
      <w:sz w:val="18"/>
      <w:szCs w:val="18"/>
    </w:rPr>
  </w:style>
  <w:style w:type="character" w:customStyle="1" w:styleId="Char0">
    <w:name w:val="日期 Char"/>
    <w:basedOn w:val="a0"/>
    <w:link w:val="a4"/>
    <w:uiPriority w:val="99"/>
    <w:semiHidden/>
    <w:qFormat/>
    <w:rsid w:val="00865627"/>
  </w:style>
</w:styles>
</file>

<file path=word/webSettings.xml><?xml version="1.0" encoding="utf-8"?>
<w:webSettings xmlns:r="http://schemas.openxmlformats.org/officeDocument/2006/relationships" xmlns:w="http://schemas.openxmlformats.org/wordprocessingml/2006/main">
  <w:divs>
    <w:div w:id="1648783660">
      <w:bodyDiv w:val="1"/>
      <w:marLeft w:val="0"/>
      <w:marRight w:val="0"/>
      <w:marTop w:val="0"/>
      <w:marBottom w:val="0"/>
      <w:divBdr>
        <w:top w:val="none" w:sz="0" w:space="0" w:color="auto"/>
        <w:left w:val="none" w:sz="0" w:space="0" w:color="auto"/>
        <w:bottom w:val="none" w:sz="0" w:space="0" w:color="auto"/>
        <w:right w:val="none" w:sz="0" w:space="0" w:color="auto"/>
      </w:divBdr>
    </w:div>
    <w:div w:id="167865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1458</Characters>
  <Application>Microsoft Office Word</Application>
  <DocSecurity>4</DocSecurity>
  <Lines>12</Lines>
  <Paragraphs>3</Paragraphs>
  <ScaleCrop>false</ScaleCrop>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xujie</dc:creator>
  <cp:lastModifiedBy>ZHONGM</cp:lastModifiedBy>
  <cp:revision>2</cp:revision>
  <dcterms:created xsi:type="dcterms:W3CDTF">2025-12-16T16:02:00Z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