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28DD" w:rsidRDefault="00A928DD">
      <w:pPr>
        <w:pStyle w:val="XBRL2"/>
        <w:spacing w:before="156"/>
        <w:rPr>
          <w:lang w:eastAsia="zh-CN"/>
        </w:rPr>
      </w:pPr>
      <w:bookmarkStart w:id="0" w:name="_Toc510201001"/>
      <w:bookmarkEnd w:id="0"/>
      <w:r>
        <w:rPr>
          <w:lang w:eastAsia="zh-CN"/>
        </w:rPr>
        <w:t xml:space="preserve">　</w:t>
      </w:r>
      <w:r>
        <w:rPr>
          <w:lang w:eastAsia="zh-CN"/>
        </w:rPr>
        <w:t xml:space="preserve"> </w:t>
      </w:r>
    </w:p>
    <w:p w:rsidR="00A928DD" w:rsidRDefault="00A928DD">
      <w:pPr>
        <w:jc w:val="center"/>
      </w:pPr>
      <w:r>
        <w:rPr>
          <w:rFonts w:cs="Times New Roman" w:hint="eastAsia"/>
          <w:b/>
          <w:color w:val="000000"/>
          <w:sz w:val="48"/>
          <w:szCs w:val="48"/>
        </w:rPr>
        <w:t>国联安中短债债券型证券投资基金基金经理变更公告</w:t>
      </w:r>
    </w:p>
    <w:p w:rsidR="00A928DD" w:rsidRDefault="00A928DD">
      <w:pPr>
        <w:spacing w:line="560" w:lineRule="exact"/>
        <w:jc w:val="center"/>
        <w:divId w:val="1722553114"/>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722553114"/>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560" w:lineRule="exact"/>
        <w:jc w:val="center"/>
        <w:divId w:val="1418405012"/>
        <w:rPr>
          <w:rFonts w:hint="eastAsia"/>
          <w:color w:val="000000"/>
          <w:kern w:val="0"/>
          <w:sz w:val="18"/>
        </w:rPr>
      </w:pPr>
      <w:r>
        <w:rPr>
          <w:rFonts w:hint="eastAsia"/>
          <w:color w:val="000000"/>
          <w:kern w:val="0"/>
          <w:sz w:val="18"/>
        </w:rPr>
        <w:t xml:space="preserve">　 </w:t>
      </w:r>
    </w:p>
    <w:p w:rsidR="00A928DD" w:rsidRDefault="00A928DD">
      <w:pPr>
        <w:spacing w:line="360" w:lineRule="auto"/>
        <w:jc w:val="center"/>
        <w:rPr>
          <w:rFonts w:hint="eastAsia"/>
        </w:rPr>
      </w:pPr>
      <w:r>
        <w:rPr>
          <w:rFonts w:hint="eastAsia"/>
          <w:b/>
          <w:bCs/>
          <w:sz w:val="24"/>
          <w:szCs w:val="30"/>
        </w:rPr>
        <w:t>公告送出日期：2025年12月16日</w:t>
      </w:r>
    </w:p>
    <w:p w:rsidR="00A928DD" w:rsidRDefault="00A928DD">
      <w:pPr>
        <w:pStyle w:val="XBRLTitle1"/>
        <w:spacing w:before="156"/>
        <w:ind w:left="425"/>
        <w:jc w:val="left"/>
        <w:rPr>
          <w:rFonts w:hint="eastAsia"/>
          <w:szCs w:val="24"/>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7"/>
        <w:gridCol w:w="6384"/>
      </w:tblGrid>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基金名称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sidRPr="00335F77">
              <w:rPr>
                <w:rFonts w:hint="eastAsia"/>
                <w:color w:val="000000"/>
                <w:kern w:val="0"/>
                <w:szCs w:val="21"/>
              </w:rPr>
              <w:t>国联安中短债债券型证券投资基金</w:t>
            </w:r>
          </w:p>
        </w:tc>
      </w:tr>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基金简称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sidRPr="00335F77">
              <w:rPr>
                <w:rFonts w:hint="eastAsia"/>
                <w:color w:val="000000"/>
                <w:kern w:val="0"/>
                <w:szCs w:val="21"/>
              </w:rPr>
              <w:t>国联安中短债债券</w:t>
            </w:r>
          </w:p>
        </w:tc>
      </w:tr>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基金主代码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sidRPr="00335F77">
              <w:rPr>
                <w:rFonts w:hint="eastAsia"/>
                <w:color w:val="000000"/>
                <w:kern w:val="0"/>
                <w:szCs w:val="21"/>
              </w:rPr>
              <w:t>014636</w:t>
            </w:r>
          </w:p>
        </w:tc>
      </w:tr>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基金管理人名称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sidRPr="00335F77">
              <w:rPr>
                <w:rFonts w:hint="eastAsia"/>
                <w:color w:val="000000"/>
                <w:kern w:val="0"/>
                <w:szCs w:val="21"/>
              </w:rPr>
              <w:t>国联安基金管理有限公司</w:t>
            </w:r>
          </w:p>
        </w:tc>
      </w:tr>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公告依据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Pr>
                <w:rFonts w:hint="eastAsia"/>
                <w:szCs w:val="21"/>
              </w:rPr>
              <w:t>《公开募集证券投资基金信息披露管理办法》、《基金管理公司投资管理人员管理指导意见》等有关法规。</w:t>
            </w:r>
          </w:p>
        </w:tc>
      </w:tr>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基金经理变更类型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sidRPr="00335F77">
              <w:rPr>
                <w:rFonts w:hint="eastAsia"/>
                <w:color w:val="000000"/>
                <w:kern w:val="0"/>
                <w:szCs w:val="21"/>
              </w:rPr>
              <w:t>增聘基金经理、解聘基金经理</w:t>
            </w:r>
          </w:p>
        </w:tc>
      </w:tr>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新任基金经理姓名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sidRPr="00335F77">
              <w:rPr>
                <w:rFonts w:hint="eastAsia"/>
                <w:color w:val="000000"/>
                <w:kern w:val="0"/>
                <w:szCs w:val="21"/>
              </w:rPr>
              <w:t>陆欣、张彩霞</w:t>
            </w:r>
          </w:p>
        </w:tc>
      </w:tr>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共同管理本基金的其他基金经理姓名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sidRPr="00335F77">
              <w:rPr>
                <w:rFonts w:hint="eastAsia"/>
                <w:color w:val="000000"/>
                <w:kern w:val="0"/>
                <w:szCs w:val="21"/>
              </w:rPr>
              <w:t>俞善超</w:t>
            </w:r>
          </w:p>
        </w:tc>
      </w:tr>
      <w:tr w:rsidR="00A928DD">
        <w:tc>
          <w:tcPr>
            <w:tcW w:w="2518" w:type="dxa"/>
            <w:tcBorders>
              <w:top w:val="single" w:sz="4" w:space="0" w:color="000000"/>
              <w:left w:val="single" w:sz="4" w:space="0" w:color="000000"/>
              <w:bottom w:val="single" w:sz="4" w:space="0" w:color="000000"/>
              <w:right w:val="single" w:sz="4" w:space="0" w:color="000000"/>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离任基金经理姓名 </w:t>
            </w:r>
          </w:p>
        </w:tc>
        <w:tc>
          <w:tcPr>
            <w:tcW w:w="6004" w:type="dxa"/>
            <w:tcBorders>
              <w:top w:val="single" w:sz="4" w:space="0" w:color="000000"/>
              <w:left w:val="single" w:sz="4" w:space="0" w:color="000000"/>
              <w:bottom w:val="single" w:sz="4" w:space="0" w:color="000000"/>
              <w:right w:val="single" w:sz="4" w:space="0" w:color="000000"/>
            </w:tcBorders>
            <w:vAlign w:val="center"/>
            <w:hideMark/>
          </w:tcPr>
          <w:p w:rsidR="00A928DD" w:rsidRDefault="00A928DD">
            <w:pPr>
              <w:spacing w:line="312" w:lineRule="exact"/>
              <w:rPr>
                <w:rFonts w:hint="eastAsia"/>
              </w:rPr>
            </w:pPr>
            <w:r w:rsidRPr="00335F77">
              <w:rPr>
                <w:rFonts w:hint="eastAsia"/>
                <w:color w:val="000000"/>
                <w:kern w:val="0"/>
                <w:szCs w:val="21"/>
              </w:rPr>
              <w:t>张昊</w:t>
            </w:r>
          </w:p>
        </w:tc>
      </w:tr>
    </w:tbl>
    <w:p w:rsidR="00A928DD" w:rsidRDefault="00A928DD">
      <w:pPr>
        <w:pStyle w:val="XBRLTitle1"/>
        <w:spacing w:before="156" w:line="360" w:lineRule="auto"/>
        <w:ind w:left="425"/>
        <w:jc w:val="left"/>
        <w:divId w:val="592468579"/>
        <w:rPr>
          <w:rFonts w:hAnsi="宋体" w:hint="eastAsia"/>
          <w:szCs w:val="24"/>
        </w:rPr>
      </w:pPr>
      <w:bookmarkStart w:id="13" w:name="_Toc34322060"/>
      <w:bookmarkStart w:id="14" w:name="_Toc513295893"/>
      <w:bookmarkStart w:id="15" w:name="_Toc513295847"/>
      <w:bookmarkStart w:id="16" w:name="_Toc490050001"/>
      <w:bookmarkStart w:id="17" w:name="_Toc438646452"/>
      <w:bookmarkStart w:id="18" w:name="_Toc481075047"/>
      <w:bookmarkStart w:id="19" w:name="_Toc512519481"/>
      <w:bookmarkStart w:id="20" w:name="_Toc17897937"/>
      <w:bookmarkStart w:id="21" w:name="_Toc17898179"/>
      <w:r>
        <w:rPr>
          <w:rFonts w:hAnsi="宋体" w:hint="eastAsia"/>
          <w:szCs w:val="24"/>
        </w:rPr>
        <w:t>新任基金经理的相关信息</w:t>
      </w:r>
      <w:bookmarkEnd w:id="10"/>
      <w:bookmarkEnd w:id="13"/>
      <w:bookmarkEnd w:id="14"/>
      <w:bookmarkEnd w:id="15"/>
      <w:bookmarkEnd w:id="16"/>
      <w:bookmarkEnd w:id="17"/>
      <w:bookmarkEnd w:id="18"/>
      <w:bookmarkEnd w:id="19"/>
      <w:bookmarkEnd w:id="20"/>
      <w:bookmarkEnd w:id="21"/>
      <w:r>
        <w:rPr>
          <w:rFonts w:hAnsi="宋体"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陆欣</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sidRPr="00335F77">
              <w:rPr>
                <w:rFonts w:hint="eastAsia"/>
                <w:color w:val="000000"/>
                <w:kern w:val="0"/>
                <w:szCs w:val="21"/>
              </w:rPr>
              <w:t>2025-12-15</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17</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16</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 xml:space="preserve">陆欣先生，硕士研究生。曾任中国银行股份有限公司上海交易中心交易员，光大保德信基金管理有限公司固收部基金经理，工银瑞信基金管理有限公司固收部基金经理，民生加银基金管理有限公司固定收益部总监兼基金经理，中融基金管理有限公司总裁助理兼固收投资部联席总经理。2021年12月加入国联安基金管理有限公司，担任固定收益部总经理。2022年9月起担任国联安增富一年定期开放纯债债券型发起式证券投资基金和国联安信心增长债券型证券投资基金的基金经理；2023年8月起兼任国联安恒瑞3个月定期开放纯债债券型证券投资基金的基金经理；2023年10月起兼任国联安增裕一年定期开放纯债债券型发起式证券投资基金和国联安添益增长债券型证券投资基金的基金经理；2023年11月起兼任国联安恒通3个月定期开放纯债债券型证券投资基金的基金经理。 </w:t>
            </w:r>
          </w:p>
        </w:tc>
      </w:tr>
      <w:tr w:rsidR="00A928DD">
        <w:trPr>
          <w:divId w:val="1442144278"/>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Pr="00335F77" w:rsidRDefault="00A928DD">
            <w:pPr>
              <w:spacing w:line="312" w:lineRule="exact"/>
              <w:jc w:val="center"/>
              <w:rPr>
                <w:rFonts w:hint="eastAsia"/>
                <w:color w:val="000000"/>
                <w:kern w:val="0"/>
                <w:szCs w:val="21"/>
              </w:rPr>
            </w:pPr>
            <w:r w:rsidRPr="00335F77">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Pr="00335F77" w:rsidRDefault="00A928DD">
            <w:pPr>
              <w:spacing w:line="312" w:lineRule="exact"/>
              <w:jc w:val="center"/>
              <w:rPr>
                <w:rFonts w:hint="eastAsia"/>
                <w:color w:val="000000"/>
                <w:kern w:val="0"/>
                <w:szCs w:val="21"/>
              </w:rPr>
            </w:pPr>
            <w:r w:rsidRPr="00335F77">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Pr="00335F77" w:rsidRDefault="00A928DD">
            <w:pPr>
              <w:spacing w:line="312" w:lineRule="exact"/>
              <w:jc w:val="center"/>
              <w:rPr>
                <w:rFonts w:hint="eastAsia"/>
                <w:color w:val="000000"/>
                <w:kern w:val="0"/>
                <w:szCs w:val="21"/>
              </w:rPr>
            </w:pPr>
            <w:r w:rsidRPr="00335F77">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Pr="00335F77" w:rsidRDefault="00A928DD">
            <w:pPr>
              <w:spacing w:line="312" w:lineRule="exact"/>
              <w:jc w:val="center"/>
              <w:rPr>
                <w:rFonts w:hint="eastAsia"/>
                <w:color w:val="000000"/>
                <w:kern w:val="0"/>
                <w:szCs w:val="21"/>
              </w:rPr>
            </w:pPr>
            <w:r w:rsidRPr="00335F77">
              <w:rPr>
                <w:rFonts w:hint="eastAsia"/>
                <w:color w:val="000000"/>
                <w:kern w:val="0"/>
                <w:szCs w:val="21"/>
              </w:rPr>
              <w:t xml:space="preserve">离任日期 </w:t>
            </w:r>
          </w:p>
        </w:tc>
      </w:tr>
      <w:tr w:rsidR="00A928DD">
        <w:trPr>
          <w:divId w:val="144214427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253060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国联安信心增长债券型证券投资基金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2022-09-05</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44214427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006495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国联安增富一年定期开放纯债债券型发起式证券投资基金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2022-09-05</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44214427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017694</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国联安恒瑞3个月定期开放纯债债券型证券投资基金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2023-08-16</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44214427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014955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国联安添益增长债券型证券投资基金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2023-10-31</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44214427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006508</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国联安增裕一年定期开放纯债债券型发起式证券投资基金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2023-10-31</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44214427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019813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国联安恒通3个月定期开放纯债债券型证券投资基金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2023-11-30</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否</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是</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中国</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研究生、硕士</w:t>
            </w:r>
          </w:p>
        </w:tc>
      </w:tr>
      <w:tr w:rsidR="00A928DD">
        <w:trPr>
          <w:divId w:val="144214427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是</w:t>
            </w:r>
          </w:p>
        </w:tc>
      </w:tr>
    </w:tbl>
    <w:p w:rsidR="00A928DD" w:rsidRDefault="00A928DD">
      <w:pPr>
        <w:spacing w:line="360" w:lineRule="auto"/>
        <w:jc w:val="center"/>
        <w:divId w:val="1442144278"/>
        <w:rPr>
          <w:rFonts w:hint="eastAsia"/>
          <w:sz w:val="28"/>
          <w:szCs w:val="30"/>
        </w:rPr>
      </w:pPr>
      <w:r>
        <w:rPr>
          <w:rFonts w:hint="eastAsia"/>
          <w:sz w:val="28"/>
          <w:szCs w:val="3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6"/>
        <w:gridCol w:w="1357"/>
        <w:gridCol w:w="1960"/>
        <w:gridCol w:w="1507"/>
        <w:gridCol w:w="1561"/>
      </w:tblGrid>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新任基金经理姓名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张彩霞</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任职日期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sidRPr="00335F77">
              <w:rPr>
                <w:rFonts w:hint="eastAsia"/>
                <w:color w:val="000000"/>
                <w:kern w:val="0"/>
                <w:szCs w:val="21"/>
              </w:rPr>
              <w:t>2025-12-15</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证券从业年限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8</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证券投资管理从业年限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1</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过往从业经历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 xml:space="preserve">张彩霞女士，硕士研究生。曾任厦门国际邮轮母港集团有限公司投资专员，上海新世纪资信评估投资服务有限公司分析员，华润元大基金管理有限公司研究员，兴证证券资产管理有限公司研究员。2020年11月加入国联安基金管理有限公司，历任信用研究员、基金经理。2024年12月起担任国联安恒盛3个月定期开放纯债债券型证券投资基金的基金经理；2025年6月起兼任国联安增富一年定期开放纯债债券型发起式证券投资基金和国联安恒通3个月定期开放纯债债券型证券投资基金的基金经理。 </w:t>
            </w:r>
          </w:p>
        </w:tc>
      </w:tr>
      <w:tr w:rsidR="00A928DD">
        <w:trPr>
          <w:divId w:val="1548641848"/>
          <w:trHeight w:val="342"/>
        </w:trPr>
        <w:tc>
          <w:tcPr>
            <w:tcW w:w="2518" w:type="dxa"/>
            <w:vMerge w:val="restart"/>
            <w:tcBorders>
              <w:top w:val="single" w:sz="4" w:space="0" w:color="auto"/>
              <w:left w:val="single" w:sz="4" w:space="0" w:color="auto"/>
              <w:bottom w:val="nil"/>
              <w:right w:val="single" w:sz="4" w:space="0" w:color="auto"/>
            </w:tcBorders>
            <w:vAlign w:val="center"/>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其中：管理过公募基金的名称及期间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Pr="00335F77" w:rsidRDefault="00A928DD">
            <w:pPr>
              <w:spacing w:line="312" w:lineRule="exact"/>
              <w:jc w:val="center"/>
              <w:rPr>
                <w:rFonts w:hint="eastAsia"/>
                <w:color w:val="000000"/>
                <w:kern w:val="0"/>
                <w:szCs w:val="21"/>
              </w:rPr>
            </w:pPr>
            <w:r w:rsidRPr="00335F77">
              <w:rPr>
                <w:rFonts w:hint="eastAsia"/>
                <w:color w:val="000000"/>
                <w:kern w:val="0"/>
                <w:szCs w:val="21"/>
              </w:rPr>
              <w:t xml:space="preserve">基金主代码 </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Pr="00335F77" w:rsidRDefault="00A928DD">
            <w:pPr>
              <w:spacing w:line="312" w:lineRule="exact"/>
              <w:jc w:val="center"/>
              <w:rPr>
                <w:rFonts w:hint="eastAsia"/>
                <w:color w:val="000000"/>
                <w:kern w:val="0"/>
                <w:szCs w:val="21"/>
              </w:rPr>
            </w:pPr>
            <w:r w:rsidRPr="00335F77">
              <w:rPr>
                <w:rFonts w:hint="eastAsia"/>
                <w:color w:val="000000"/>
                <w:kern w:val="0"/>
                <w:szCs w:val="21"/>
              </w:rPr>
              <w:t xml:space="preserve">基金名称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Pr="00335F77" w:rsidRDefault="00A928DD">
            <w:pPr>
              <w:spacing w:line="312" w:lineRule="exact"/>
              <w:jc w:val="center"/>
              <w:rPr>
                <w:rFonts w:hint="eastAsia"/>
                <w:color w:val="000000"/>
                <w:kern w:val="0"/>
                <w:szCs w:val="21"/>
              </w:rPr>
            </w:pPr>
            <w:r w:rsidRPr="00335F77">
              <w:rPr>
                <w:rFonts w:hint="eastAsia"/>
                <w:color w:val="000000"/>
                <w:kern w:val="0"/>
                <w:szCs w:val="21"/>
              </w:rPr>
              <w:t xml:space="preserve">任职日期 </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Pr="00335F77" w:rsidRDefault="00A928DD">
            <w:pPr>
              <w:spacing w:line="312" w:lineRule="exact"/>
              <w:jc w:val="center"/>
              <w:rPr>
                <w:rFonts w:hint="eastAsia"/>
                <w:color w:val="000000"/>
                <w:kern w:val="0"/>
                <w:szCs w:val="21"/>
              </w:rPr>
            </w:pPr>
            <w:r w:rsidRPr="00335F77">
              <w:rPr>
                <w:rFonts w:hint="eastAsia"/>
                <w:color w:val="000000"/>
                <w:kern w:val="0"/>
                <w:szCs w:val="21"/>
              </w:rPr>
              <w:t xml:space="preserve">离任日期 </w:t>
            </w:r>
          </w:p>
        </w:tc>
      </w:tr>
      <w:tr w:rsidR="00A928DD">
        <w:trPr>
          <w:divId w:val="154864184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016116</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国联安恒盛3个月定期开放纯债债券型证券投资基金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2024-12-05</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54864184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019813</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国联安恒通3个月定期开放纯债债券型证券投资基金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2025-06-04</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548641848"/>
        </w:trPr>
        <w:tc>
          <w:tcPr>
            <w:tcW w:w="2518" w:type="dxa"/>
            <w:vMerge/>
            <w:tcBorders>
              <w:top w:val="single" w:sz="4" w:space="0" w:color="auto"/>
              <w:left w:val="single" w:sz="4" w:space="0" w:color="auto"/>
              <w:bottom w:val="nil"/>
              <w:right w:val="single" w:sz="4" w:space="0" w:color="auto"/>
            </w:tcBorders>
            <w:vAlign w:val="center"/>
            <w:hideMark/>
          </w:tcPr>
          <w:p w:rsidR="00A928DD" w:rsidRPr="00335F77" w:rsidRDefault="00A928DD">
            <w:pPr>
              <w:widowControl/>
              <w:jc w:val="left"/>
              <w:rPr>
                <w:color w:val="000000"/>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006495</w:t>
            </w:r>
          </w:p>
        </w:tc>
        <w:tc>
          <w:tcPr>
            <w:tcW w:w="1843"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国联安增富一年定期开放纯债债券型发起式证券投资基金</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2025-06-04</w:t>
            </w:r>
          </w:p>
        </w:tc>
        <w:tc>
          <w:tcPr>
            <w:tcW w:w="1468"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jc w:val="center"/>
              <w:rPr>
                <w:rFonts w:hint="eastAsia"/>
              </w:rPr>
            </w:pPr>
            <w:r>
              <w:rPr>
                <w:rFonts w:hint="eastAsia"/>
                <w:szCs w:val="21"/>
              </w:rPr>
              <w:t>-</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是否曾被监管机构予以行政处罚或采取行政监管措施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否</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是否已取得基金从业资格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是</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取得的其他相关从业资格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国籍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中国</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学历、学位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研究生、硕士</w:t>
            </w:r>
          </w:p>
        </w:tc>
      </w:tr>
      <w:tr w:rsidR="00A928DD">
        <w:trPr>
          <w:divId w:val="1548641848"/>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是否已按规定在中国基金业协会注册/登记 </w:t>
            </w:r>
          </w:p>
        </w:tc>
        <w:tc>
          <w:tcPr>
            <w:tcW w:w="6004" w:type="dxa"/>
            <w:gridSpan w:val="4"/>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Pr>
                <w:rFonts w:hint="eastAsia"/>
                <w:szCs w:val="21"/>
              </w:rPr>
              <w:t>是</w:t>
            </w:r>
          </w:p>
        </w:tc>
      </w:tr>
    </w:tbl>
    <w:p w:rsidR="00A928DD" w:rsidRDefault="00A928DD">
      <w:pPr>
        <w:spacing w:line="360" w:lineRule="auto"/>
        <w:jc w:val="center"/>
        <w:divId w:val="1548641848"/>
        <w:rPr>
          <w:rFonts w:hint="eastAsia"/>
          <w:sz w:val="28"/>
          <w:szCs w:val="30"/>
        </w:rPr>
      </w:pPr>
      <w:r>
        <w:rPr>
          <w:rFonts w:hint="eastAsia"/>
          <w:sz w:val="28"/>
          <w:szCs w:val="30"/>
        </w:rPr>
        <w:t xml:space="preserve">　 </w:t>
      </w:r>
    </w:p>
    <w:p w:rsidR="00A928DD" w:rsidRDefault="00A928DD">
      <w:pPr>
        <w:pStyle w:val="XBRLTitle1"/>
        <w:spacing w:before="156" w:line="360" w:lineRule="auto"/>
        <w:ind w:left="425"/>
        <w:jc w:val="left"/>
        <w:divId w:val="49886851"/>
        <w:rPr>
          <w:rFonts w:hAnsi="宋体" w:hint="eastAsia"/>
          <w:szCs w:val="24"/>
        </w:rPr>
      </w:pPr>
      <w:bookmarkStart w:id="22" w:name="_Toc34322062"/>
      <w:bookmarkStart w:id="23" w:name="m401"/>
      <w:bookmarkStart w:id="24" w:name="m401_tab"/>
      <w:bookmarkStart w:id="25" w:name="m201"/>
      <w:bookmarkStart w:id="26" w:name="_Toc513295941"/>
      <w:bookmarkStart w:id="27" w:name="_Toc513295878"/>
      <w:bookmarkStart w:id="28" w:name="_Toc438646481"/>
      <w:bookmarkStart w:id="29" w:name="_Toc481075097"/>
      <w:bookmarkStart w:id="30" w:name="_Toc490050049"/>
      <w:bookmarkStart w:id="31" w:name="_Toc512519529"/>
      <w:bookmarkStart w:id="32" w:name="_Toc17897969"/>
      <w:bookmarkStart w:id="33" w:name="_Toc17898228"/>
      <w:bookmarkStart w:id="34" w:name="m201_01"/>
      <w:r>
        <w:rPr>
          <w:rFonts w:hAnsi="宋体" w:hint="eastAsia"/>
          <w:szCs w:val="24"/>
        </w:rPr>
        <w:t>离任基金经理的相关信息</w:t>
      </w:r>
      <w:bookmarkEnd w:id="22"/>
      <w:r>
        <w:rPr>
          <w:rFonts w:hAnsi="宋体" w:hint="eastAsia"/>
          <w:szCs w:val="24"/>
        </w:rPr>
        <w:t xml:space="preserve"> </w:t>
      </w:r>
      <w:bookmarkEnd w:id="11"/>
      <w:bookmarkEnd w:id="1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77"/>
        <w:gridCol w:w="6384"/>
      </w:tblGrid>
      <w:tr w:rsidR="00A928DD">
        <w:trPr>
          <w:divId w:val="411631703"/>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离任基金经理姓名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sidRPr="00335F77">
              <w:rPr>
                <w:rFonts w:hint="eastAsia"/>
                <w:color w:val="000000"/>
                <w:kern w:val="0"/>
                <w:szCs w:val="21"/>
              </w:rPr>
              <w:t>张昊</w:t>
            </w:r>
          </w:p>
        </w:tc>
      </w:tr>
      <w:tr w:rsidR="00A928DD">
        <w:trPr>
          <w:divId w:val="411631703"/>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离任原因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sidRPr="00335F77">
              <w:rPr>
                <w:rFonts w:hint="eastAsia"/>
                <w:color w:val="000000"/>
                <w:kern w:val="0"/>
                <w:szCs w:val="21"/>
              </w:rPr>
              <w:t>个人原因</w:t>
            </w:r>
          </w:p>
        </w:tc>
      </w:tr>
      <w:tr w:rsidR="00A928DD">
        <w:trPr>
          <w:divId w:val="411631703"/>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离任日期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sidRPr="00335F77">
              <w:rPr>
                <w:rFonts w:hint="eastAsia"/>
                <w:color w:val="000000"/>
                <w:kern w:val="0"/>
                <w:szCs w:val="21"/>
              </w:rPr>
              <w:t>2025-12-15</w:t>
            </w:r>
          </w:p>
        </w:tc>
      </w:tr>
      <w:tr w:rsidR="00A928DD">
        <w:trPr>
          <w:divId w:val="411631703"/>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转任本公司其他工作岗位的说明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sidRPr="00335F77">
              <w:rPr>
                <w:rFonts w:hint="eastAsia"/>
                <w:color w:val="000000"/>
                <w:kern w:val="0"/>
                <w:szCs w:val="21"/>
              </w:rPr>
              <w:t>-</w:t>
            </w:r>
          </w:p>
        </w:tc>
      </w:tr>
      <w:tr w:rsidR="00A928DD">
        <w:trPr>
          <w:divId w:val="411631703"/>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是否已按规定在中国基金业协会办理变更手续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sidRPr="00335F77">
              <w:rPr>
                <w:rFonts w:hint="eastAsia"/>
                <w:color w:val="000000"/>
                <w:kern w:val="0"/>
                <w:szCs w:val="21"/>
              </w:rPr>
              <w:t>是</w:t>
            </w:r>
          </w:p>
        </w:tc>
      </w:tr>
      <w:tr w:rsidR="00A928DD">
        <w:trPr>
          <w:divId w:val="411631703"/>
        </w:trPr>
        <w:tc>
          <w:tcPr>
            <w:tcW w:w="2518" w:type="dxa"/>
            <w:tcBorders>
              <w:top w:val="single" w:sz="4" w:space="0" w:color="auto"/>
              <w:left w:val="single" w:sz="4" w:space="0" w:color="auto"/>
              <w:bottom w:val="single" w:sz="4" w:space="0" w:color="auto"/>
              <w:right w:val="single" w:sz="4" w:space="0" w:color="auto"/>
            </w:tcBorders>
            <w:hideMark/>
          </w:tcPr>
          <w:p w:rsidR="00A928DD" w:rsidRPr="00335F77" w:rsidRDefault="00A928DD">
            <w:pPr>
              <w:spacing w:line="312" w:lineRule="exact"/>
              <w:rPr>
                <w:rFonts w:hint="eastAsia"/>
                <w:color w:val="000000"/>
                <w:kern w:val="0"/>
                <w:szCs w:val="21"/>
              </w:rPr>
            </w:pPr>
            <w:r w:rsidRPr="00335F77">
              <w:rPr>
                <w:rFonts w:hint="eastAsia"/>
                <w:color w:val="000000"/>
                <w:kern w:val="0"/>
                <w:szCs w:val="21"/>
              </w:rPr>
              <w:t xml:space="preserve">是否已按规定在中国基金业协会办理注销手续 </w:t>
            </w:r>
          </w:p>
        </w:tc>
        <w:tc>
          <w:tcPr>
            <w:tcW w:w="6004" w:type="dxa"/>
            <w:tcBorders>
              <w:top w:val="single" w:sz="4" w:space="0" w:color="auto"/>
              <w:left w:val="single" w:sz="4" w:space="0" w:color="auto"/>
              <w:bottom w:val="single" w:sz="4" w:space="0" w:color="auto"/>
              <w:right w:val="single" w:sz="4" w:space="0" w:color="auto"/>
            </w:tcBorders>
            <w:vAlign w:val="center"/>
            <w:hideMark/>
          </w:tcPr>
          <w:p w:rsidR="00A928DD" w:rsidRDefault="00A928DD">
            <w:pPr>
              <w:spacing w:line="312" w:lineRule="exact"/>
              <w:rPr>
                <w:rFonts w:hint="eastAsia"/>
              </w:rPr>
            </w:pPr>
            <w:r w:rsidRPr="00335F77">
              <w:rPr>
                <w:rFonts w:hint="eastAsia"/>
                <w:color w:val="000000"/>
                <w:kern w:val="0"/>
                <w:szCs w:val="21"/>
              </w:rPr>
              <w:t>是</w:t>
            </w:r>
          </w:p>
        </w:tc>
      </w:tr>
    </w:tbl>
    <w:p w:rsidR="00A928DD" w:rsidRDefault="00A928DD">
      <w:pPr>
        <w:spacing w:line="360" w:lineRule="auto"/>
        <w:jc w:val="center"/>
        <w:divId w:val="411631703"/>
        <w:rPr>
          <w:rFonts w:hint="eastAsia"/>
          <w:sz w:val="28"/>
          <w:szCs w:val="30"/>
        </w:rPr>
      </w:pPr>
      <w:r>
        <w:rPr>
          <w:rFonts w:hint="eastAsia"/>
          <w:sz w:val="28"/>
          <w:szCs w:val="30"/>
        </w:rPr>
        <w:t xml:space="preserve">　 </w:t>
      </w:r>
    </w:p>
    <w:p w:rsidR="00A928DD" w:rsidRDefault="00A928DD">
      <w:pPr>
        <w:pStyle w:val="XBRLTitle1"/>
        <w:spacing w:before="156" w:line="360" w:lineRule="auto"/>
        <w:ind w:left="425"/>
        <w:jc w:val="left"/>
        <w:divId w:val="1668942554"/>
        <w:rPr>
          <w:rFonts w:hAnsi="宋体" w:hint="eastAsia"/>
          <w:szCs w:val="24"/>
        </w:rPr>
      </w:pPr>
      <w:bookmarkStart w:id="35" w:name="_Toc34322063"/>
      <w:r>
        <w:rPr>
          <w:rFonts w:hAnsi="宋体" w:hint="eastAsia"/>
          <w:szCs w:val="24"/>
        </w:rPr>
        <w:t>其他需要提示的事项</w:t>
      </w:r>
      <w:bookmarkEnd w:id="26"/>
      <w:bookmarkEnd w:id="27"/>
      <w:bookmarkEnd w:id="28"/>
      <w:bookmarkEnd w:id="29"/>
      <w:bookmarkEnd w:id="30"/>
      <w:bookmarkEnd w:id="31"/>
      <w:bookmarkEnd w:id="32"/>
      <w:bookmarkEnd w:id="33"/>
      <w:bookmarkEnd w:id="35"/>
      <w:r>
        <w:rPr>
          <w:rFonts w:hAnsi="宋体" w:hint="eastAsia"/>
          <w:szCs w:val="24"/>
        </w:rPr>
        <w:t xml:space="preserve"> </w:t>
      </w:r>
    </w:p>
    <w:p w:rsidR="00A928DD" w:rsidRDefault="00A928DD">
      <w:pPr>
        <w:spacing w:line="360" w:lineRule="auto"/>
        <w:ind w:firstLineChars="200" w:firstLine="420"/>
        <w:jc w:val="left"/>
        <w:divId w:val="1668942554"/>
        <w:rPr>
          <w:rFonts w:hint="eastAsia"/>
        </w:rPr>
      </w:pPr>
      <w:r>
        <w:rPr>
          <w:rFonts w:hint="eastAsia"/>
          <w:szCs w:val="21"/>
        </w:rPr>
        <w:t>（1）上述事项已在中国证券投资基金业协会完成相关手续，并将按有关规定向中国证监会上海监管局备案。</w:t>
      </w:r>
      <w:r>
        <w:rPr>
          <w:rFonts w:hint="eastAsia"/>
          <w:szCs w:val="21"/>
        </w:rPr>
        <w:br/>
        <w:t xml:space="preserve">　　（2）“证券从业”等含义参照行业协会关于从业人员资格管理的相关规定。</w:t>
      </w:r>
    </w:p>
    <w:p w:rsidR="00A928DD" w:rsidRDefault="00A928DD">
      <w:pPr>
        <w:spacing w:line="360" w:lineRule="auto"/>
        <w:ind w:firstLineChars="600" w:firstLine="1446"/>
        <w:jc w:val="right"/>
        <w:rPr>
          <w:rFonts w:hint="eastAsia"/>
          <w:b/>
          <w:bCs/>
          <w:sz w:val="24"/>
          <w:szCs w:val="30"/>
        </w:rPr>
      </w:pPr>
      <w:r>
        <w:rPr>
          <w:rFonts w:hint="eastAsia"/>
          <w:b/>
          <w:bCs/>
          <w:sz w:val="24"/>
          <w:szCs w:val="30"/>
        </w:rPr>
        <w:t xml:space="preserve">　 </w:t>
      </w:r>
    </w:p>
    <w:p w:rsidR="00A928DD" w:rsidRDefault="00A928DD">
      <w:pPr>
        <w:spacing w:line="360" w:lineRule="auto"/>
        <w:ind w:firstLineChars="600" w:firstLine="1446"/>
        <w:jc w:val="right"/>
        <w:rPr>
          <w:rFonts w:hint="eastAsia"/>
          <w:b/>
          <w:bCs/>
          <w:sz w:val="24"/>
          <w:szCs w:val="30"/>
        </w:rPr>
      </w:pPr>
      <w:r>
        <w:rPr>
          <w:rFonts w:hint="eastAsia"/>
          <w:b/>
          <w:bCs/>
          <w:sz w:val="24"/>
          <w:szCs w:val="30"/>
        </w:rPr>
        <w:t xml:space="preserve">　 </w:t>
      </w:r>
    </w:p>
    <w:p w:rsidR="00A928DD" w:rsidRDefault="00A928DD">
      <w:pPr>
        <w:spacing w:line="360" w:lineRule="auto"/>
        <w:ind w:firstLineChars="600" w:firstLine="1446"/>
        <w:jc w:val="right"/>
        <w:rPr>
          <w:rFonts w:hint="eastAsia"/>
        </w:rPr>
      </w:pPr>
      <w:r>
        <w:rPr>
          <w:rFonts w:hint="eastAsia"/>
          <w:b/>
          <w:bCs/>
          <w:sz w:val="24"/>
          <w:szCs w:val="24"/>
        </w:rPr>
        <w:t>国联安基金管理有限公司</w:t>
      </w:r>
    </w:p>
    <w:p w:rsidR="00A928DD" w:rsidRDefault="00A928DD">
      <w:pPr>
        <w:spacing w:line="360" w:lineRule="auto"/>
        <w:ind w:firstLineChars="600" w:firstLine="1446"/>
        <w:jc w:val="right"/>
        <w:rPr>
          <w:rFonts w:hint="eastAsia"/>
          <w:b/>
          <w:bCs/>
          <w:sz w:val="24"/>
          <w:szCs w:val="24"/>
        </w:rPr>
      </w:pPr>
      <w:r>
        <w:rPr>
          <w:rFonts w:hint="eastAsia"/>
          <w:b/>
          <w:bCs/>
          <w:sz w:val="24"/>
          <w:szCs w:val="24"/>
        </w:rPr>
        <w:t>2025年12月16日</w:t>
      </w:r>
      <w:bookmarkEnd w:id="34"/>
      <w:r>
        <w:rPr>
          <w:rFonts w:hint="eastAsia"/>
          <w:b/>
          <w:bCs/>
          <w:sz w:val="24"/>
          <w:szCs w:val="24"/>
        </w:rPr>
        <w:t xml:space="preserve"> </w:t>
      </w:r>
    </w:p>
    <w:sectPr w:rsidR="00A928DD">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8DD" w:rsidRDefault="00A928DD">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A928DD" w:rsidRDefault="00A928DD">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DD" w:rsidRDefault="00A928D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DD" w:rsidRDefault="00A928DD">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rFonts w:hint="eastAsia"/>
        <w:noProof/>
        <w:sz w:val="18"/>
        <w:szCs w:val="18"/>
      </w:rPr>
      <w:t>1</w:t>
    </w:r>
    <w:r>
      <w:rPr>
        <w:rFonts w:hint="eastAsia"/>
      </w:rPr>
      <w:t xml:space="preserve"> </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rFonts w:hint="eastAsia"/>
        <w:noProof/>
        <w:sz w:val="18"/>
        <w:szCs w:val="18"/>
      </w:rPr>
      <w:t>2</w:t>
    </w:r>
    <w:r>
      <w:rPr>
        <w:rFonts w:hint="eastAsia"/>
      </w:rPr>
      <w:t xml:space="preserve"> </w:t>
    </w:r>
    <w:r>
      <w:rPr>
        <w:rFonts w:hint="eastAsia"/>
        <w:sz w:val="18"/>
        <w:szCs w:val="18"/>
      </w:rPr>
      <w:fldChar w:fldCharType="end"/>
    </w:r>
    <w:r>
      <w:rPr>
        <w:rFonts w:hint="eastAsia"/>
        <w:sz w:val="18"/>
        <w:szCs w:val="18"/>
      </w:rPr>
      <w:t>页</w:t>
    </w:r>
    <w:r>
      <w:rPr>
        <w:rFonts w:hint="eastAsia"/>
      </w:rPr>
      <w:t xml:space="preserve"> </w:t>
    </w:r>
  </w:p>
  <w:p w:rsidR="00A928DD" w:rsidRDefault="00A928DD">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8DD" w:rsidRDefault="00A928DD">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A928DD" w:rsidRDefault="00A928DD">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DD" w:rsidRDefault="00A928DD">
    <w:pPr>
      <w:pStyle w:val="a8"/>
      <w:jc w:val="right"/>
    </w:pPr>
    <w:r>
      <w:rPr>
        <w:rFonts w:hint="eastAsia"/>
      </w:rPr>
      <w:t>国联安中短债债券型证券投资基金基金经理变更公告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8DD" w:rsidRDefault="00A928DD">
    <w:pPr>
      <w:pStyle w:val="a8"/>
      <w:jc w:val="right"/>
      <w:rPr>
        <w:rFonts w:hint="eastAsia"/>
      </w:rPr>
    </w:pPr>
    <w:r>
      <w:rPr>
        <w:rFonts w:hint="eastAsia"/>
      </w:rPr>
      <w:t>国联安中短债债券型证券投资基金基金经理变更公告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5F77"/>
    <w:rsid w:val="00335F77"/>
    <w:rsid w:val="008C431C"/>
    <w:rsid w:val="00A928D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49886851">
      <w:marLeft w:val="0"/>
      <w:marRight w:val="0"/>
      <w:marTop w:val="0"/>
      <w:marBottom w:val="0"/>
      <w:divBdr>
        <w:top w:val="none" w:sz="0" w:space="0" w:color="auto"/>
        <w:left w:val="none" w:sz="0" w:space="0" w:color="auto"/>
        <w:bottom w:val="none" w:sz="0" w:space="0" w:color="auto"/>
        <w:right w:val="none" w:sz="0" w:space="0" w:color="auto"/>
      </w:divBdr>
      <w:divsChild>
        <w:div w:id="411631703">
          <w:marLeft w:val="0"/>
          <w:marRight w:val="0"/>
          <w:marTop w:val="0"/>
          <w:marBottom w:val="0"/>
          <w:divBdr>
            <w:top w:val="none" w:sz="0" w:space="0" w:color="auto"/>
            <w:left w:val="none" w:sz="0" w:space="0" w:color="auto"/>
            <w:bottom w:val="none" w:sz="0" w:space="0" w:color="auto"/>
            <w:right w:val="none" w:sz="0" w:space="0" w:color="auto"/>
          </w:divBdr>
        </w:div>
      </w:divsChild>
    </w:div>
    <w:div w:id="592468579">
      <w:marLeft w:val="0"/>
      <w:marRight w:val="0"/>
      <w:marTop w:val="0"/>
      <w:marBottom w:val="0"/>
      <w:divBdr>
        <w:top w:val="none" w:sz="0" w:space="0" w:color="auto"/>
        <w:left w:val="none" w:sz="0" w:space="0" w:color="auto"/>
        <w:bottom w:val="none" w:sz="0" w:space="0" w:color="auto"/>
        <w:right w:val="none" w:sz="0" w:space="0" w:color="auto"/>
      </w:divBdr>
      <w:divsChild>
        <w:div w:id="1442144278">
          <w:marLeft w:val="0"/>
          <w:marRight w:val="0"/>
          <w:marTop w:val="0"/>
          <w:marBottom w:val="0"/>
          <w:divBdr>
            <w:top w:val="none" w:sz="0" w:space="0" w:color="auto"/>
            <w:left w:val="none" w:sz="0" w:space="0" w:color="auto"/>
            <w:bottom w:val="none" w:sz="0" w:space="0" w:color="auto"/>
            <w:right w:val="none" w:sz="0" w:space="0" w:color="auto"/>
          </w:divBdr>
        </w:div>
        <w:div w:id="1548641848">
          <w:marLeft w:val="0"/>
          <w:marRight w:val="0"/>
          <w:marTop w:val="0"/>
          <w:marBottom w:val="0"/>
          <w:divBdr>
            <w:top w:val="none" w:sz="0" w:space="0" w:color="auto"/>
            <w:left w:val="none" w:sz="0" w:space="0" w:color="auto"/>
            <w:bottom w:val="none" w:sz="0" w:space="0" w:color="auto"/>
            <w:right w:val="none" w:sz="0" w:space="0" w:color="auto"/>
          </w:divBdr>
        </w:div>
      </w:divsChild>
    </w:div>
    <w:div w:id="1418405012">
      <w:marLeft w:val="0"/>
      <w:marRight w:val="0"/>
      <w:marTop w:val="0"/>
      <w:marBottom w:val="0"/>
      <w:divBdr>
        <w:top w:val="none" w:sz="0" w:space="0" w:color="auto"/>
        <w:left w:val="none" w:sz="0" w:space="0" w:color="auto"/>
        <w:bottom w:val="none" w:sz="0" w:space="0" w:color="auto"/>
        <w:right w:val="none" w:sz="0" w:space="0" w:color="auto"/>
      </w:divBdr>
    </w:div>
    <w:div w:id="1668942554">
      <w:marLeft w:val="0"/>
      <w:marRight w:val="0"/>
      <w:marTop w:val="0"/>
      <w:marBottom w:val="0"/>
      <w:divBdr>
        <w:top w:val="none" w:sz="0" w:space="0" w:color="auto"/>
        <w:left w:val="none" w:sz="0" w:space="0" w:color="auto"/>
        <w:bottom w:val="none" w:sz="0" w:space="0" w:color="auto"/>
        <w:right w:val="none" w:sz="0" w:space="0" w:color="auto"/>
      </w:divBdr>
    </w:div>
    <w:div w:id="172255311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DE396-782E-45C6-884C-59725A5F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1726</Characters>
  <Application>Microsoft Office Word</Application>
  <DocSecurity>4</DocSecurity>
  <Lines>14</Lines>
  <Paragraphs>4</Paragraphs>
  <ScaleCrop>false</ScaleCrop>
  <Company/>
  <LinksUpToDate>false</LinksUpToDate>
  <CharactersWithSpaces>2024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2025-12-15T16:01:00Z</dcterms:created>
  <dcterms:modified xsi:type="dcterms:W3CDTF">2025-12-15T16:01:00Z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