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8E" w:rsidRPr="00B77C8E" w:rsidRDefault="00FF62C8" w:rsidP="00B77C8E">
      <w:pPr>
        <w:widowControl/>
        <w:spacing w:line="360" w:lineRule="auto"/>
        <w:jc w:val="center"/>
        <w:rPr>
          <w:rFonts w:asciiTheme="minorEastAsia" w:hAnsiTheme="minorEastAsia" w:cs="宋体"/>
          <w:b/>
          <w:kern w:val="0"/>
          <w:sz w:val="30"/>
          <w:szCs w:val="30"/>
        </w:rPr>
      </w:pPr>
      <w:r>
        <w:rPr>
          <w:rFonts w:asciiTheme="minorEastAsia" w:hAnsiTheme="minorEastAsia" w:cs="宋体" w:hint="eastAsia"/>
          <w:b/>
          <w:kern w:val="0"/>
          <w:sz w:val="30"/>
          <w:szCs w:val="30"/>
        </w:rPr>
        <w:t>新华丰利</w:t>
      </w:r>
      <w:r w:rsidR="00552441" w:rsidRPr="00552441">
        <w:rPr>
          <w:rFonts w:asciiTheme="minorEastAsia" w:hAnsiTheme="minorEastAsia" w:cs="宋体" w:hint="eastAsia"/>
          <w:b/>
          <w:kern w:val="0"/>
          <w:sz w:val="30"/>
          <w:szCs w:val="30"/>
        </w:rPr>
        <w:t>债券型证券投资基金</w:t>
      </w:r>
      <w:r w:rsidR="00B77C8E" w:rsidRPr="00B77C8E">
        <w:rPr>
          <w:rFonts w:asciiTheme="minorEastAsia" w:hAnsiTheme="minorEastAsia" w:cs="宋体" w:hint="eastAsia"/>
          <w:b/>
          <w:kern w:val="0"/>
          <w:sz w:val="30"/>
          <w:szCs w:val="30"/>
        </w:rPr>
        <w:t>分红公告</w:t>
      </w:r>
    </w:p>
    <w:p w:rsidR="00B77C8E" w:rsidRPr="00B77C8E" w:rsidRDefault="00B77C8E" w:rsidP="00B77C8E">
      <w:pPr>
        <w:spacing w:line="360" w:lineRule="auto"/>
        <w:jc w:val="center"/>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公告送出日期：</w:t>
      </w:r>
      <w:r w:rsidRPr="00B77C8E">
        <w:rPr>
          <w:rFonts w:asciiTheme="minorEastAsia" w:hAnsiTheme="minorEastAsia" w:cs="宋体"/>
          <w:bCs/>
          <w:sz w:val="24"/>
          <w:szCs w:val="24"/>
        </w:rPr>
        <w:t>202</w:t>
      </w:r>
      <w:r w:rsidR="00A42B69">
        <w:rPr>
          <w:rFonts w:asciiTheme="minorEastAsia" w:hAnsiTheme="minorEastAsia" w:cs="宋体"/>
          <w:bCs/>
          <w:sz w:val="24"/>
          <w:szCs w:val="24"/>
        </w:rPr>
        <w:t>5</w:t>
      </w:r>
      <w:r w:rsidRPr="00B77C8E">
        <w:rPr>
          <w:rFonts w:asciiTheme="minorEastAsia" w:hAnsiTheme="minorEastAsia" w:cs="宋体"/>
          <w:bCs/>
          <w:sz w:val="24"/>
          <w:szCs w:val="24"/>
        </w:rPr>
        <w:t>年</w:t>
      </w:r>
      <w:r w:rsidR="002B27D8">
        <w:rPr>
          <w:rFonts w:asciiTheme="minorEastAsia" w:hAnsiTheme="minorEastAsia" w:cs="宋体"/>
          <w:bCs/>
          <w:sz w:val="24"/>
          <w:szCs w:val="24"/>
        </w:rPr>
        <w:t>12</w:t>
      </w:r>
      <w:r w:rsidRPr="00B77C8E">
        <w:rPr>
          <w:rFonts w:asciiTheme="minorEastAsia" w:hAnsiTheme="minorEastAsia" w:cs="宋体"/>
          <w:bCs/>
          <w:sz w:val="24"/>
          <w:szCs w:val="24"/>
        </w:rPr>
        <w:t>月</w:t>
      </w:r>
      <w:r w:rsidR="00A42B69">
        <w:rPr>
          <w:rFonts w:asciiTheme="minorEastAsia" w:hAnsiTheme="minorEastAsia" w:cs="宋体"/>
          <w:bCs/>
          <w:sz w:val="24"/>
          <w:szCs w:val="24"/>
        </w:rPr>
        <w:t>16</w:t>
      </w:r>
      <w:r w:rsidRPr="00B77C8E">
        <w:rPr>
          <w:rFonts w:asciiTheme="minorEastAsia" w:hAnsiTheme="minorEastAsia" w:cs="宋体"/>
          <w:bCs/>
          <w:sz w:val="24"/>
          <w:szCs w:val="24"/>
        </w:rPr>
        <w:t>日</w:t>
      </w:r>
    </w:p>
    <w:p w:rsidR="00B77C8E" w:rsidRPr="00B77C8E" w:rsidRDefault="00B77C8E" w:rsidP="00B77C8E">
      <w:pPr>
        <w:keepNext/>
        <w:keepLines/>
        <w:spacing w:before="260" w:after="260" w:line="360" w:lineRule="auto"/>
        <w:outlineLvl w:val="1"/>
        <w:rPr>
          <w:rFonts w:asciiTheme="minorEastAsia" w:hAnsiTheme="minorEastAsia" w:cs="Times New Roman"/>
          <w:b/>
          <w:color w:val="000000"/>
          <w:sz w:val="24"/>
          <w:szCs w:val="24"/>
        </w:rPr>
      </w:pPr>
      <w:bookmarkStart w:id="0" w:name="_Toc275961418"/>
      <w:r w:rsidRPr="00B77C8E">
        <w:rPr>
          <w:rFonts w:asciiTheme="minorEastAsia" w:hAnsiTheme="minorEastAsia" w:cs="Times New Roman"/>
          <w:b/>
          <w:color w:val="000000"/>
          <w:sz w:val="24"/>
          <w:szCs w:val="24"/>
        </w:rPr>
        <w:t>1 公告基本信息</w:t>
      </w:r>
      <w:bookmarkEnd w:id="0"/>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7"/>
        <w:gridCol w:w="2455"/>
        <w:gridCol w:w="3060"/>
        <w:gridCol w:w="2976"/>
      </w:tblGrid>
      <w:tr w:rsidR="00785629" w:rsidRPr="00B77C8E" w:rsidTr="00785629">
        <w:trPr>
          <w:trHeight w:val="464"/>
          <w:jc w:val="center"/>
        </w:trPr>
        <w:tc>
          <w:tcPr>
            <w:tcW w:w="4732" w:type="dxa"/>
            <w:gridSpan w:val="2"/>
          </w:tcPr>
          <w:p w:rsidR="00785629" w:rsidRPr="00B77C8E" w:rsidRDefault="00785629"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基金名称</w:t>
            </w:r>
          </w:p>
        </w:tc>
        <w:tc>
          <w:tcPr>
            <w:tcW w:w="6036" w:type="dxa"/>
            <w:gridSpan w:val="2"/>
            <w:vAlign w:val="center"/>
          </w:tcPr>
          <w:p w:rsidR="00785629" w:rsidRPr="00B77C8E" w:rsidRDefault="00FF62C8" w:rsidP="00B77C8E">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新华丰利</w:t>
            </w:r>
            <w:r w:rsidR="00785629" w:rsidRPr="002E7EBD">
              <w:rPr>
                <w:rFonts w:asciiTheme="minorEastAsia" w:hAnsiTheme="minorEastAsia" w:cs="Times New Roman" w:hint="eastAsia"/>
                <w:sz w:val="24"/>
                <w:szCs w:val="24"/>
              </w:rPr>
              <w:t>债券型证券投资基金</w:t>
            </w:r>
          </w:p>
        </w:tc>
      </w:tr>
      <w:tr w:rsidR="00785629" w:rsidRPr="00B77C8E" w:rsidTr="00785629">
        <w:trPr>
          <w:trHeight w:val="475"/>
          <w:jc w:val="center"/>
        </w:trPr>
        <w:tc>
          <w:tcPr>
            <w:tcW w:w="4732" w:type="dxa"/>
            <w:gridSpan w:val="2"/>
          </w:tcPr>
          <w:p w:rsidR="00785629" w:rsidRPr="00B77C8E" w:rsidRDefault="00785629"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基金简称</w:t>
            </w:r>
          </w:p>
        </w:tc>
        <w:tc>
          <w:tcPr>
            <w:tcW w:w="6036" w:type="dxa"/>
            <w:gridSpan w:val="2"/>
            <w:vAlign w:val="center"/>
          </w:tcPr>
          <w:p w:rsidR="00785629" w:rsidRPr="00B77C8E" w:rsidRDefault="00785629" w:rsidP="00B77C8E">
            <w:pPr>
              <w:spacing w:line="360" w:lineRule="auto"/>
              <w:rPr>
                <w:rFonts w:asciiTheme="minorEastAsia" w:hAnsiTheme="minorEastAsia" w:cs="Times New Roman"/>
                <w:sz w:val="24"/>
                <w:szCs w:val="24"/>
              </w:rPr>
            </w:pPr>
            <w:r w:rsidRPr="00512238">
              <w:rPr>
                <w:rFonts w:asciiTheme="minorEastAsia" w:hAnsiTheme="minorEastAsia" w:cs="Times New Roman" w:hint="eastAsia"/>
                <w:sz w:val="24"/>
                <w:szCs w:val="24"/>
              </w:rPr>
              <w:t>新华</w:t>
            </w:r>
            <w:r w:rsidR="00FF62C8">
              <w:rPr>
                <w:rFonts w:asciiTheme="minorEastAsia" w:hAnsiTheme="minorEastAsia" w:cs="Times New Roman" w:hint="eastAsia"/>
                <w:sz w:val="24"/>
                <w:szCs w:val="24"/>
              </w:rPr>
              <w:t>丰利</w:t>
            </w:r>
            <w:r w:rsidR="00B808E5">
              <w:rPr>
                <w:rFonts w:asciiTheme="minorEastAsia" w:hAnsiTheme="minorEastAsia" w:cs="Times New Roman" w:hint="eastAsia"/>
                <w:sz w:val="24"/>
                <w:szCs w:val="24"/>
              </w:rPr>
              <w:t>债券</w:t>
            </w:r>
          </w:p>
        </w:tc>
      </w:tr>
      <w:tr w:rsidR="00785629" w:rsidRPr="00B77C8E" w:rsidTr="00785629">
        <w:trPr>
          <w:trHeight w:val="464"/>
          <w:jc w:val="center"/>
        </w:trPr>
        <w:tc>
          <w:tcPr>
            <w:tcW w:w="4732" w:type="dxa"/>
            <w:gridSpan w:val="2"/>
          </w:tcPr>
          <w:p w:rsidR="00785629" w:rsidRPr="00B77C8E" w:rsidRDefault="00785629"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基金主代码</w:t>
            </w:r>
          </w:p>
        </w:tc>
        <w:tc>
          <w:tcPr>
            <w:tcW w:w="6036" w:type="dxa"/>
            <w:gridSpan w:val="2"/>
            <w:vAlign w:val="center"/>
          </w:tcPr>
          <w:p w:rsidR="00785629" w:rsidRPr="00B77C8E" w:rsidRDefault="00785629" w:rsidP="00FF62C8">
            <w:pPr>
              <w:spacing w:line="360" w:lineRule="auto"/>
              <w:rPr>
                <w:rFonts w:asciiTheme="minorEastAsia" w:hAnsiTheme="minorEastAsia" w:cs="Times New Roman"/>
                <w:sz w:val="24"/>
                <w:szCs w:val="24"/>
              </w:rPr>
            </w:pPr>
            <w:r w:rsidRPr="00512238">
              <w:rPr>
                <w:rFonts w:asciiTheme="minorEastAsia" w:hAnsiTheme="minorEastAsia" w:cs="Times New Roman"/>
                <w:sz w:val="24"/>
                <w:szCs w:val="24"/>
              </w:rPr>
              <w:t>00</w:t>
            </w:r>
            <w:r w:rsidR="00FF62C8">
              <w:rPr>
                <w:rFonts w:asciiTheme="minorEastAsia" w:hAnsiTheme="minorEastAsia" w:cs="Times New Roman"/>
                <w:sz w:val="24"/>
                <w:szCs w:val="24"/>
              </w:rPr>
              <w:t>3221</w:t>
            </w:r>
          </w:p>
        </w:tc>
      </w:tr>
      <w:tr w:rsidR="00785629" w:rsidRPr="00B77C8E" w:rsidTr="00785629">
        <w:trPr>
          <w:trHeight w:val="353"/>
          <w:jc w:val="center"/>
        </w:trPr>
        <w:tc>
          <w:tcPr>
            <w:tcW w:w="4732" w:type="dxa"/>
            <w:gridSpan w:val="2"/>
            <w:vAlign w:val="center"/>
          </w:tcPr>
          <w:p w:rsidR="00785629" w:rsidRPr="00B77C8E" w:rsidRDefault="00785629"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基金合同生效日</w:t>
            </w:r>
          </w:p>
        </w:tc>
        <w:tc>
          <w:tcPr>
            <w:tcW w:w="6036" w:type="dxa"/>
            <w:gridSpan w:val="2"/>
            <w:vAlign w:val="center"/>
          </w:tcPr>
          <w:p w:rsidR="00785629" w:rsidRPr="00B77C8E" w:rsidRDefault="00FF62C8" w:rsidP="00FF62C8">
            <w:pPr>
              <w:spacing w:line="360" w:lineRule="auto"/>
              <w:rPr>
                <w:rFonts w:asciiTheme="minorEastAsia" w:hAnsiTheme="minorEastAsia" w:cs="Times New Roman"/>
                <w:sz w:val="24"/>
                <w:szCs w:val="24"/>
              </w:rPr>
            </w:pPr>
            <w:r>
              <w:rPr>
                <w:rFonts w:asciiTheme="minorEastAsia" w:hAnsiTheme="minorEastAsia" w:cs="Times New Roman"/>
                <w:sz w:val="24"/>
                <w:szCs w:val="24"/>
              </w:rPr>
              <w:t>2016</w:t>
            </w:r>
            <w:r w:rsidR="00785629" w:rsidRPr="00B77C8E">
              <w:rPr>
                <w:rFonts w:asciiTheme="minorEastAsia" w:hAnsiTheme="minorEastAsia" w:cs="Times New Roman"/>
                <w:sz w:val="24"/>
                <w:szCs w:val="24"/>
              </w:rPr>
              <w:t>年</w:t>
            </w:r>
            <w:r>
              <w:rPr>
                <w:rFonts w:asciiTheme="minorEastAsia" w:hAnsiTheme="minorEastAsia" w:cs="Times New Roman"/>
                <w:sz w:val="24"/>
                <w:szCs w:val="24"/>
              </w:rPr>
              <w:t>10</w:t>
            </w:r>
            <w:r w:rsidR="00785629" w:rsidRPr="00B77C8E">
              <w:rPr>
                <w:rFonts w:asciiTheme="minorEastAsia" w:hAnsiTheme="minorEastAsia" w:cs="Times New Roman"/>
                <w:sz w:val="24"/>
                <w:szCs w:val="24"/>
              </w:rPr>
              <w:t>月</w:t>
            </w:r>
            <w:r>
              <w:rPr>
                <w:rFonts w:asciiTheme="minorEastAsia" w:hAnsiTheme="minorEastAsia" w:cs="Times New Roman"/>
                <w:sz w:val="24"/>
                <w:szCs w:val="24"/>
              </w:rPr>
              <w:t>26</w:t>
            </w:r>
            <w:r w:rsidR="00785629" w:rsidRPr="00B77C8E">
              <w:rPr>
                <w:rFonts w:asciiTheme="minorEastAsia" w:hAnsiTheme="minorEastAsia" w:cs="Times New Roman"/>
                <w:sz w:val="24"/>
                <w:szCs w:val="24"/>
              </w:rPr>
              <w:t>日</w:t>
            </w:r>
          </w:p>
        </w:tc>
      </w:tr>
      <w:tr w:rsidR="00785629" w:rsidRPr="00B77C8E" w:rsidTr="00785629">
        <w:trPr>
          <w:trHeight w:val="464"/>
          <w:jc w:val="center"/>
        </w:trPr>
        <w:tc>
          <w:tcPr>
            <w:tcW w:w="4732" w:type="dxa"/>
            <w:gridSpan w:val="2"/>
          </w:tcPr>
          <w:p w:rsidR="00785629" w:rsidRPr="00B77C8E" w:rsidRDefault="00785629"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基金管理人名称</w:t>
            </w:r>
          </w:p>
        </w:tc>
        <w:tc>
          <w:tcPr>
            <w:tcW w:w="6036" w:type="dxa"/>
            <w:gridSpan w:val="2"/>
            <w:vAlign w:val="center"/>
          </w:tcPr>
          <w:p w:rsidR="00785629" w:rsidRPr="00B77C8E" w:rsidRDefault="00785629" w:rsidP="00B77C8E">
            <w:pPr>
              <w:spacing w:line="360" w:lineRule="auto"/>
              <w:rPr>
                <w:rFonts w:asciiTheme="minorEastAsia" w:hAnsiTheme="minorEastAsia" w:cs="Times New Roman"/>
                <w:sz w:val="24"/>
                <w:szCs w:val="24"/>
              </w:rPr>
            </w:pPr>
            <w:r w:rsidRPr="00B77C8E">
              <w:rPr>
                <w:rFonts w:asciiTheme="minorEastAsia" w:hAnsiTheme="minorEastAsia" w:cs="Times New Roman"/>
                <w:sz w:val="24"/>
                <w:szCs w:val="24"/>
              </w:rPr>
              <w:t>新华基金管理股份有限公司</w:t>
            </w:r>
          </w:p>
        </w:tc>
      </w:tr>
      <w:tr w:rsidR="00785629" w:rsidRPr="00B77C8E" w:rsidTr="00785629">
        <w:trPr>
          <w:trHeight w:val="475"/>
          <w:jc w:val="center"/>
        </w:trPr>
        <w:tc>
          <w:tcPr>
            <w:tcW w:w="4732" w:type="dxa"/>
            <w:gridSpan w:val="2"/>
          </w:tcPr>
          <w:p w:rsidR="00785629" w:rsidRPr="00B77C8E" w:rsidRDefault="00785629"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基金托管人名称</w:t>
            </w:r>
          </w:p>
        </w:tc>
        <w:tc>
          <w:tcPr>
            <w:tcW w:w="6036" w:type="dxa"/>
            <w:gridSpan w:val="2"/>
            <w:vAlign w:val="center"/>
          </w:tcPr>
          <w:p w:rsidR="00785629" w:rsidRPr="00B77C8E" w:rsidRDefault="00785629" w:rsidP="00B77C8E">
            <w:pPr>
              <w:spacing w:line="360" w:lineRule="auto"/>
              <w:rPr>
                <w:rFonts w:asciiTheme="minorEastAsia" w:hAnsiTheme="minorEastAsia" w:cs="Times New Roman"/>
                <w:sz w:val="24"/>
                <w:szCs w:val="24"/>
              </w:rPr>
            </w:pPr>
            <w:r w:rsidRPr="004F3D14">
              <w:rPr>
                <w:rFonts w:asciiTheme="minorEastAsia" w:hAnsiTheme="minorEastAsia" w:cs="Times New Roman" w:hint="eastAsia"/>
                <w:sz w:val="24"/>
                <w:szCs w:val="24"/>
              </w:rPr>
              <w:t>中国</w:t>
            </w:r>
            <w:r w:rsidR="00FF62C8">
              <w:rPr>
                <w:rFonts w:asciiTheme="minorEastAsia" w:hAnsiTheme="minorEastAsia" w:cs="Times New Roman" w:hint="eastAsia"/>
                <w:sz w:val="24"/>
                <w:szCs w:val="24"/>
              </w:rPr>
              <w:t>工商</w:t>
            </w:r>
            <w:r w:rsidRPr="004F3D14">
              <w:rPr>
                <w:rFonts w:asciiTheme="minorEastAsia" w:hAnsiTheme="minorEastAsia" w:cs="Times New Roman" w:hint="eastAsia"/>
                <w:sz w:val="24"/>
                <w:szCs w:val="24"/>
              </w:rPr>
              <w:t>银行股份有限公司</w:t>
            </w:r>
          </w:p>
        </w:tc>
      </w:tr>
      <w:tr w:rsidR="00785629" w:rsidRPr="00B77C8E" w:rsidTr="00785629">
        <w:trPr>
          <w:trHeight w:val="1879"/>
          <w:jc w:val="center"/>
        </w:trPr>
        <w:tc>
          <w:tcPr>
            <w:tcW w:w="4732" w:type="dxa"/>
            <w:gridSpan w:val="2"/>
          </w:tcPr>
          <w:p w:rsidR="00785629" w:rsidRPr="00B77C8E" w:rsidRDefault="00785629"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公告依据</w:t>
            </w:r>
          </w:p>
        </w:tc>
        <w:tc>
          <w:tcPr>
            <w:tcW w:w="6036" w:type="dxa"/>
            <w:gridSpan w:val="2"/>
            <w:vAlign w:val="center"/>
          </w:tcPr>
          <w:p w:rsidR="00785629" w:rsidRPr="00B77C8E" w:rsidRDefault="00785629" w:rsidP="00B77C8E">
            <w:pPr>
              <w:spacing w:line="360" w:lineRule="auto"/>
              <w:rPr>
                <w:rFonts w:asciiTheme="minorEastAsia" w:hAnsiTheme="minorEastAsia" w:cs="Times New Roman"/>
                <w:sz w:val="24"/>
                <w:szCs w:val="24"/>
              </w:rPr>
            </w:pPr>
            <w:r w:rsidRPr="00B77C8E">
              <w:rPr>
                <w:rFonts w:asciiTheme="minorEastAsia" w:hAnsiTheme="minorEastAsia" w:cs="Times New Roman"/>
                <w:sz w:val="24"/>
                <w:szCs w:val="24"/>
              </w:rPr>
              <w:t>《公开募集证券投资基金信息披露管理办法》、《</w:t>
            </w:r>
            <w:r w:rsidR="00B808E5">
              <w:rPr>
                <w:rFonts w:asciiTheme="minorEastAsia" w:hAnsiTheme="minorEastAsia" w:cs="Times New Roman" w:hint="eastAsia"/>
                <w:sz w:val="24"/>
                <w:szCs w:val="24"/>
              </w:rPr>
              <w:t>新华</w:t>
            </w:r>
            <w:r w:rsidR="00FF62C8">
              <w:rPr>
                <w:rFonts w:asciiTheme="minorEastAsia" w:hAnsiTheme="minorEastAsia" w:cs="Times New Roman" w:hint="eastAsia"/>
                <w:sz w:val="24"/>
                <w:szCs w:val="24"/>
              </w:rPr>
              <w:t>丰利</w:t>
            </w:r>
            <w:r w:rsidRPr="006B32CB">
              <w:rPr>
                <w:rFonts w:asciiTheme="minorEastAsia" w:hAnsiTheme="minorEastAsia" w:cs="Times New Roman" w:hint="eastAsia"/>
                <w:sz w:val="24"/>
                <w:szCs w:val="24"/>
              </w:rPr>
              <w:t>债券型证券投资基金</w:t>
            </w:r>
            <w:r w:rsidRPr="00B77C8E">
              <w:rPr>
                <w:rFonts w:asciiTheme="minorEastAsia" w:hAnsiTheme="minorEastAsia" w:cs="Times New Roman"/>
                <w:sz w:val="24"/>
                <w:szCs w:val="24"/>
              </w:rPr>
              <w:t>基金合同》、《</w:t>
            </w:r>
            <w:r w:rsidR="00FF62C8">
              <w:rPr>
                <w:rFonts w:asciiTheme="minorEastAsia" w:hAnsiTheme="minorEastAsia" w:cs="Times New Roman" w:hint="eastAsia"/>
                <w:sz w:val="24"/>
                <w:szCs w:val="24"/>
              </w:rPr>
              <w:t>新华丰利</w:t>
            </w:r>
            <w:r w:rsidRPr="006B32CB">
              <w:rPr>
                <w:rFonts w:asciiTheme="minorEastAsia" w:hAnsiTheme="minorEastAsia" w:cs="Times New Roman" w:hint="eastAsia"/>
                <w:sz w:val="24"/>
                <w:szCs w:val="24"/>
              </w:rPr>
              <w:t>债券型证券投资基金</w:t>
            </w:r>
            <w:r w:rsidRPr="00B77C8E">
              <w:rPr>
                <w:rFonts w:asciiTheme="minorEastAsia" w:hAnsiTheme="minorEastAsia" w:cs="Times New Roman"/>
                <w:sz w:val="24"/>
                <w:szCs w:val="24"/>
              </w:rPr>
              <w:t>招募说明书》</w:t>
            </w:r>
            <w:r w:rsidR="008F0EA0">
              <w:rPr>
                <w:rFonts w:asciiTheme="minorEastAsia" w:hAnsiTheme="minorEastAsia" w:cs="Times New Roman"/>
                <w:sz w:val="24"/>
                <w:szCs w:val="24"/>
              </w:rPr>
              <w:t>（更新）</w:t>
            </w:r>
            <w:r w:rsidRPr="00B77C8E">
              <w:rPr>
                <w:rFonts w:asciiTheme="minorEastAsia" w:hAnsiTheme="minorEastAsia" w:cs="Times New Roman"/>
                <w:sz w:val="24"/>
                <w:szCs w:val="24"/>
              </w:rPr>
              <w:t>等</w:t>
            </w:r>
            <w:r w:rsidRPr="00B77C8E">
              <w:rPr>
                <w:rFonts w:asciiTheme="minorEastAsia" w:hAnsiTheme="minorEastAsia" w:cs="Times New Roman" w:hint="eastAsia"/>
                <w:sz w:val="24"/>
                <w:szCs w:val="24"/>
              </w:rPr>
              <w:t xml:space="preserve"> </w:t>
            </w:r>
          </w:p>
        </w:tc>
      </w:tr>
      <w:tr w:rsidR="00785629" w:rsidRPr="00B77C8E" w:rsidTr="00785629">
        <w:trPr>
          <w:trHeight w:val="475"/>
          <w:jc w:val="center"/>
        </w:trPr>
        <w:tc>
          <w:tcPr>
            <w:tcW w:w="4732" w:type="dxa"/>
            <w:gridSpan w:val="2"/>
          </w:tcPr>
          <w:p w:rsidR="00785629" w:rsidRPr="00B77C8E" w:rsidRDefault="00785629"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收益分配基准日</w:t>
            </w:r>
          </w:p>
        </w:tc>
        <w:tc>
          <w:tcPr>
            <w:tcW w:w="6036" w:type="dxa"/>
            <w:gridSpan w:val="2"/>
          </w:tcPr>
          <w:p w:rsidR="00785629" w:rsidRPr="00B77C8E" w:rsidRDefault="00785629" w:rsidP="00A42B69">
            <w:pPr>
              <w:spacing w:line="360" w:lineRule="auto"/>
              <w:rPr>
                <w:rFonts w:asciiTheme="minorEastAsia" w:hAnsiTheme="minorEastAsia" w:cs="Times New Roman"/>
                <w:sz w:val="24"/>
                <w:szCs w:val="24"/>
              </w:rPr>
            </w:pPr>
            <w:r w:rsidRPr="00B77C8E">
              <w:rPr>
                <w:rFonts w:asciiTheme="minorEastAsia" w:hAnsiTheme="minorEastAsia" w:cs="Times New Roman"/>
                <w:sz w:val="24"/>
                <w:szCs w:val="24"/>
              </w:rPr>
              <w:t>202</w:t>
            </w:r>
            <w:r w:rsidR="00A42B69">
              <w:rPr>
                <w:rFonts w:asciiTheme="minorEastAsia" w:hAnsiTheme="minorEastAsia" w:cs="Times New Roman"/>
                <w:sz w:val="24"/>
                <w:szCs w:val="24"/>
              </w:rPr>
              <w:t>5</w:t>
            </w:r>
            <w:r w:rsidRPr="00B77C8E">
              <w:rPr>
                <w:rFonts w:asciiTheme="minorEastAsia" w:hAnsiTheme="minorEastAsia" w:cs="Times New Roman"/>
                <w:sz w:val="24"/>
                <w:szCs w:val="24"/>
              </w:rPr>
              <w:t>年</w:t>
            </w:r>
            <w:r w:rsidR="002B27D8">
              <w:rPr>
                <w:rFonts w:asciiTheme="minorEastAsia" w:hAnsiTheme="minorEastAsia" w:cs="Times New Roman"/>
                <w:sz w:val="24"/>
                <w:szCs w:val="24"/>
              </w:rPr>
              <w:t>12</w:t>
            </w:r>
            <w:r w:rsidRPr="00B77C8E">
              <w:rPr>
                <w:rFonts w:asciiTheme="minorEastAsia" w:hAnsiTheme="minorEastAsia" w:cs="Times New Roman"/>
                <w:sz w:val="24"/>
                <w:szCs w:val="24"/>
              </w:rPr>
              <w:t>月</w:t>
            </w:r>
            <w:r w:rsidR="00A42B69">
              <w:rPr>
                <w:rFonts w:asciiTheme="minorEastAsia" w:hAnsiTheme="minorEastAsia" w:cs="Times New Roman"/>
                <w:sz w:val="24"/>
                <w:szCs w:val="24"/>
              </w:rPr>
              <w:t>12</w:t>
            </w:r>
            <w:r w:rsidRPr="00B77C8E">
              <w:rPr>
                <w:rFonts w:asciiTheme="minorEastAsia" w:hAnsiTheme="minorEastAsia" w:cs="Times New Roman"/>
                <w:sz w:val="24"/>
                <w:szCs w:val="24"/>
              </w:rPr>
              <w:t>日</w:t>
            </w:r>
          </w:p>
        </w:tc>
      </w:tr>
      <w:tr w:rsidR="00785629" w:rsidRPr="00B77C8E" w:rsidTr="00785629">
        <w:trPr>
          <w:trHeight w:val="939"/>
          <w:jc w:val="center"/>
        </w:trPr>
        <w:tc>
          <w:tcPr>
            <w:tcW w:w="2277" w:type="dxa"/>
            <w:vMerge w:val="restart"/>
            <w:vAlign w:val="center"/>
          </w:tcPr>
          <w:p w:rsidR="00785629" w:rsidRPr="00B77C8E" w:rsidRDefault="00785629" w:rsidP="00B77C8E">
            <w:pPr>
              <w:spacing w:line="360" w:lineRule="auto"/>
              <w:jc w:val="center"/>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截止收益分配基准日的相关指标</w:t>
            </w:r>
          </w:p>
        </w:tc>
        <w:tc>
          <w:tcPr>
            <w:tcW w:w="2455" w:type="dxa"/>
          </w:tcPr>
          <w:p w:rsidR="00785629" w:rsidRPr="00B77C8E" w:rsidRDefault="00785629"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基准日基金份额净值</w:t>
            </w:r>
            <w:r w:rsidRPr="00B77C8E">
              <w:rPr>
                <w:rFonts w:asciiTheme="minorEastAsia" w:hAnsiTheme="minorEastAsia" w:cs="Times New Roman" w:hint="eastAsia"/>
                <w:sz w:val="24"/>
                <w:szCs w:val="24"/>
              </w:rPr>
              <w:t>（单位：</w:t>
            </w:r>
            <w:r w:rsidRPr="00B77C8E">
              <w:rPr>
                <w:rFonts w:asciiTheme="minorEastAsia" w:hAnsiTheme="minorEastAsia" w:cs="Times New Roman" w:hint="eastAsia"/>
                <w:color w:val="000000"/>
                <w:kern w:val="0"/>
                <w:sz w:val="24"/>
                <w:szCs w:val="24"/>
              </w:rPr>
              <w:t>元</w:t>
            </w:r>
            <w:r w:rsidRPr="00B77C8E">
              <w:rPr>
                <w:rFonts w:asciiTheme="minorEastAsia" w:hAnsiTheme="minorEastAsia" w:cs="Times New Roman" w:hint="eastAsia"/>
                <w:sz w:val="24"/>
                <w:szCs w:val="24"/>
              </w:rPr>
              <w:t>）</w:t>
            </w:r>
          </w:p>
        </w:tc>
        <w:tc>
          <w:tcPr>
            <w:tcW w:w="6036" w:type="dxa"/>
            <w:gridSpan w:val="2"/>
          </w:tcPr>
          <w:p w:rsidR="00785629" w:rsidRPr="00B77C8E" w:rsidRDefault="00F51999" w:rsidP="00F02659">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1.</w:t>
            </w:r>
            <w:r w:rsidR="00F02659">
              <w:rPr>
                <w:rFonts w:asciiTheme="minorEastAsia" w:hAnsiTheme="minorEastAsia" w:cs="Times New Roman"/>
                <w:sz w:val="24"/>
                <w:szCs w:val="24"/>
              </w:rPr>
              <w:t>1044</w:t>
            </w:r>
          </w:p>
        </w:tc>
      </w:tr>
      <w:tr w:rsidR="00785629" w:rsidRPr="00B77C8E" w:rsidTr="00785629">
        <w:trPr>
          <w:trHeight w:val="939"/>
          <w:jc w:val="center"/>
        </w:trPr>
        <w:tc>
          <w:tcPr>
            <w:tcW w:w="2277" w:type="dxa"/>
            <w:vMerge/>
          </w:tcPr>
          <w:p w:rsidR="00785629" w:rsidRPr="00B77C8E" w:rsidRDefault="00785629" w:rsidP="00B77C8E">
            <w:pPr>
              <w:spacing w:line="360" w:lineRule="auto"/>
              <w:rPr>
                <w:rFonts w:asciiTheme="minorEastAsia" w:hAnsiTheme="minorEastAsia" w:cs="Times New Roman"/>
                <w:color w:val="000000"/>
                <w:sz w:val="24"/>
                <w:szCs w:val="24"/>
              </w:rPr>
            </w:pPr>
          </w:p>
        </w:tc>
        <w:tc>
          <w:tcPr>
            <w:tcW w:w="2455" w:type="dxa"/>
          </w:tcPr>
          <w:p w:rsidR="00785629" w:rsidRPr="00F02659" w:rsidRDefault="00785629" w:rsidP="00B77C8E">
            <w:pPr>
              <w:spacing w:line="360" w:lineRule="auto"/>
              <w:rPr>
                <w:rFonts w:asciiTheme="minorEastAsia" w:hAnsiTheme="minorEastAsia" w:cs="Times New Roman"/>
                <w:sz w:val="24"/>
                <w:szCs w:val="24"/>
              </w:rPr>
            </w:pPr>
            <w:r w:rsidRPr="00F02659">
              <w:rPr>
                <w:rFonts w:asciiTheme="minorEastAsia" w:hAnsiTheme="minorEastAsia" w:cs="Times New Roman"/>
                <w:sz w:val="24"/>
                <w:szCs w:val="24"/>
              </w:rPr>
              <w:t>基准日基金可供分配利润</w:t>
            </w:r>
            <w:r w:rsidRPr="00B77C8E">
              <w:rPr>
                <w:rFonts w:asciiTheme="minorEastAsia" w:hAnsiTheme="minorEastAsia" w:cs="Times New Roman" w:hint="eastAsia"/>
                <w:sz w:val="24"/>
                <w:szCs w:val="24"/>
              </w:rPr>
              <w:t>（单位：</w:t>
            </w:r>
            <w:r w:rsidRPr="00F02659">
              <w:rPr>
                <w:rFonts w:asciiTheme="minorEastAsia" w:hAnsiTheme="minorEastAsia" w:cs="Times New Roman" w:hint="eastAsia"/>
                <w:sz w:val="24"/>
                <w:szCs w:val="24"/>
              </w:rPr>
              <w:t>元</w:t>
            </w:r>
            <w:r w:rsidRPr="00B77C8E">
              <w:rPr>
                <w:rFonts w:asciiTheme="minorEastAsia" w:hAnsiTheme="minorEastAsia" w:cs="Times New Roman" w:hint="eastAsia"/>
                <w:sz w:val="24"/>
                <w:szCs w:val="24"/>
              </w:rPr>
              <w:t>）</w:t>
            </w:r>
          </w:p>
        </w:tc>
        <w:tc>
          <w:tcPr>
            <w:tcW w:w="6036" w:type="dxa"/>
            <w:gridSpan w:val="2"/>
          </w:tcPr>
          <w:p w:rsidR="00785629" w:rsidRPr="002B27D8" w:rsidRDefault="00F02659" w:rsidP="00F02659">
            <w:pPr>
              <w:widowControl/>
              <w:rPr>
                <w:rFonts w:asciiTheme="minorEastAsia" w:hAnsiTheme="minorEastAsia" w:cs="Times New Roman"/>
                <w:sz w:val="24"/>
                <w:szCs w:val="24"/>
              </w:rPr>
            </w:pPr>
            <w:r w:rsidRPr="00F02659">
              <w:rPr>
                <w:rFonts w:asciiTheme="minorEastAsia" w:hAnsiTheme="minorEastAsia" w:cs="Times New Roman" w:hint="eastAsia"/>
                <w:sz w:val="24"/>
                <w:szCs w:val="24"/>
              </w:rPr>
              <w:t>21,841,851.17</w:t>
            </w:r>
          </w:p>
        </w:tc>
      </w:tr>
      <w:tr w:rsidR="00785629" w:rsidRPr="00B77C8E" w:rsidTr="00785629">
        <w:trPr>
          <w:trHeight w:val="475"/>
          <w:jc w:val="center"/>
        </w:trPr>
        <w:tc>
          <w:tcPr>
            <w:tcW w:w="4732" w:type="dxa"/>
            <w:gridSpan w:val="2"/>
          </w:tcPr>
          <w:p w:rsidR="00785629" w:rsidRPr="00B77C8E" w:rsidRDefault="00785629"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本次分红方案（单位：元/10份基金份额）</w:t>
            </w:r>
          </w:p>
        </w:tc>
        <w:tc>
          <w:tcPr>
            <w:tcW w:w="6036" w:type="dxa"/>
            <w:gridSpan w:val="2"/>
          </w:tcPr>
          <w:p w:rsidR="00785629" w:rsidRPr="00B77C8E" w:rsidRDefault="00785629" w:rsidP="00B77C8E">
            <w:pPr>
              <w:spacing w:line="360" w:lineRule="auto"/>
              <w:rPr>
                <w:rFonts w:asciiTheme="minorEastAsia" w:hAnsiTheme="minorEastAsia" w:cs="Times New Roman"/>
                <w:sz w:val="24"/>
                <w:szCs w:val="24"/>
              </w:rPr>
            </w:pPr>
            <w:r w:rsidRPr="00B77C8E">
              <w:rPr>
                <w:rFonts w:asciiTheme="minorEastAsia" w:hAnsiTheme="minorEastAsia" w:cs="Times New Roman"/>
                <w:sz w:val="24"/>
                <w:szCs w:val="24"/>
              </w:rPr>
              <w:t>-</w:t>
            </w:r>
          </w:p>
        </w:tc>
      </w:tr>
      <w:tr w:rsidR="00785629" w:rsidRPr="00B77C8E" w:rsidTr="00785629">
        <w:trPr>
          <w:trHeight w:val="464"/>
          <w:jc w:val="center"/>
        </w:trPr>
        <w:tc>
          <w:tcPr>
            <w:tcW w:w="4732" w:type="dxa"/>
            <w:gridSpan w:val="2"/>
            <w:vAlign w:val="center"/>
          </w:tcPr>
          <w:p w:rsidR="00785629" w:rsidRPr="00B77C8E" w:rsidRDefault="00785629"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有关年度分红次数的说明</w:t>
            </w:r>
          </w:p>
        </w:tc>
        <w:tc>
          <w:tcPr>
            <w:tcW w:w="6036" w:type="dxa"/>
            <w:gridSpan w:val="2"/>
            <w:vAlign w:val="center"/>
          </w:tcPr>
          <w:p w:rsidR="00785629" w:rsidRPr="00B77C8E" w:rsidRDefault="00785629" w:rsidP="008878F8">
            <w:pPr>
              <w:spacing w:line="360" w:lineRule="auto"/>
              <w:rPr>
                <w:rFonts w:asciiTheme="minorEastAsia" w:hAnsiTheme="minorEastAsia" w:cs="Times New Roman"/>
                <w:sz w:val="24"/>
                <w:szCs w:val="24"/>
              </w:rPr>
            </w:pPr>
            <w:r w:rsidRPr="00B77C8E">
              <w:rPr>
                <w:rFonts w:asciiTheme="minorEastAsia" w:hAnsiTheme="minorEastAsia" w:cs="Times New Roman"/>
                <w:sz w:val="24"/>
                <w:szCs w:val="24"/>
              </w:rPr>
              <w:t>本次分红为</w:t>
            </w:r>
            <w:r w:rsidR="00003072">
              <w:rPr>
                <w:rFonts w:asciiTheme="minorEastAsia" w:hAnsiTheme="minorEastAsia" w:cs="Times New Roman"/>
                <w:sz w:val="24"/>
                <w:szCs w:val="24"/>
              </w:rPr>
              <w:t>202</w:t>
            </w:r>
            <w:r w:rsidR="00F02659">
              <w:rPr>
                <w:rFonts w:asciiTheme="minorEastAsia" w:hAnsiTheme="minorEastAsia" w:cs="Times New Roman"/>
                <w:sz w:val="24"/>
                <w:szCs w:val="24"/>
              </w:rPr>
              <w:t>5</w:t>
            </w:r>
            <w:r w:rsidRPr="00B77C8E">
              <w:rPr>
                <w:rFonts w:asciiTheme="minorEastAsia" w:hAnsiTheme="minorEastAsia" w:cs="Times New Roman"/>
                <w:sz w:val="24"/>
                <w:szCs w:val="24"/>
              </w:rPr>
              <w:t>年第</w:t>
            </w:r>
            <w:r w:rsidR="00F02659">
              <w:rPr>
                <w:rFonts w:asciiTheme="minorEastAsia" w:hAnsiTheme="minorEastAsia" w:cs="Times New Roman" w:hint="eastAsia"/>
                <w:sz w:val="24"/>
                <w:szCs w:val="24"/>
              </w:rPr>
              <w:t>一</w:t>
            </w:r>
            <w:r w:rsidRPr="00B77C8E">
              <w:rPr>
                <w:rFonts w:asciiTheme="minorEastAsia" w:hAnsiTheme="minorEastAsia" w:cs="Times New Roman"/>
                <w:sz w:val="24"/>
                <w:szCs w:val="24"/>
              </w:rPr>
              <w:t>次分红</w:t>
            </w:r>
          </w:p>
        </w:tc>
      </w:tr>
      <w:tr w:rsidR="00BD3FF2" w:rsidRPr="00B77C8E" w:rsidTr="00BD3FF2">
        <w:trPr>
          <w:trHeight w:val="397"/>
          <w:jc w:val="center"/>
        </w:trPr>
        <w:tc>
          <w:tcPr>
            <w:tcW w:w="4732" w:type="dxa"/>
            <w:gridSpan w:val="2"/>
          </w:tcPr>
          <w:p w:rsidR="00BD3FF2" w:rsidRPr="00B77C8E" w:rsidRDefault="00BD3FF2"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下属分级基金的基金简称</w:t>
            </w:r>
          </w:p>
        </w:tc>
        <w:tc>
          <w:tcPr>
            <w:tcW w:w="3060" w:type="dxa"/>
          </w:tcPr>
          <w:p w:rsidR="00BD3FF2" w:rsidRPr="00B77C8E" w:rsidRDefault="00BD3FF2" w:rsidP="00003072">
            <w:pPr>
              <w:spacing w:line="360" w:lineRule="auto"/>
              <w:rPr>
                <w:rFonts w:asciiTheme="minorEastAsia" w:hAnsiTheme="minorEastAsia" w:cs="Times New Roman"/>
                <w:sz w:val="24"/>
                <w:szCs w:val="24"/>
              </w:rPr>
            </w:pPr>
            <w:r w:rsidRPr="00F706E7">
              <w:rPr>
                <w:rFonts w:asciiTheme="minorEastAsia" w:hAnsiTheme="minorEastAsia" w:cs="Times New Roman" w:hint="eastAsia"/>
                <w:sz w:val="24"/>
                <w:szCs w:val="24"/>
              </w:rPr>
              <w:t>新华</w:t>
            </w:r>
            <w:r>
              <w:rPr>
                <w:rFonts w:asciiTheme="minorEastAsia" w:hAnsiTheme="minorEastAsia" w:cs="Times New Roman" w:hint="eastAsia"/>
                <w:sz w:val="24"/>
                <w:szCs w:val="24"/>
              </w:rPr>
              <w:t>丰利</w:t>
            </w:r>
            <w:r w:rsidR="006B78AD">
              <w:rPr>
                <w:rFonts w:asciiTheme="minorEastAsia" w:hAnsiTheme="minorEastAsia" w:cs="Times New Roman" w:hint="eastAsia"/>
                <w:sz w:val="24"/>
                <w:szCs w:val="24"/>
              </w:rPr>
              <w:t>债券</w:t>
            </w:r>
            <w:r w:rsidRPr="00F706E7">
              <w:rPr>
                <w:rFonts w:asciiTheme="minorEastAsia" w:hAnsiTheme="minorEastAsia" w:cs="Times New Roman" w:hint="eastAsia"/>
                <w:sz w:val="24"/>
                <w:szCs w:val="24"/>
              </w:rPr>
              <w:t>A</w:t>
            </w:r>
          </w:p>
        </w:tc>
        <w:tc>
          <w:tcPr>
            <w:tcW w:w="2976" w:type="dxa"/>
          </w:tcPr>
          <w:p w:rsidR="00BD3FF2" w:rsidRPr="00B77C8E" w:rsidRDefault="00BD3FF2" w:rsidP="00003072">
            <w:pPr>
              <w:spacing w:line="360" w:lineRule="auto"/>
              <w:rPr>
                <w:rFonts w:asciiTheme="minorEastAsia" w:hAnsiTheme="minorEastAsia" w:cs="Times New Roman"/>
                <w:sz w:val="24"/>
                <w:szCs w:val="24"/>
              </w:rPr>
            </w:pPr>
            <w:r>
              <w:rPr>
                <w:rFonts w:asciiTheme="minorEastAsia" w:hAnsiTheme="minorEastAsia" w:cs="Times New Roman" w:hint="eastAsia"/>
                <w:sz w:val="24"/>
                <w:szCs w:val="24"/>
              </w:rPr>
              <w:t>新华丰利</w:t>
            </w:r>
            <w:r w:rsidR="006B78AD">
              <w:rPr>
                <w:rFonts w:asciiTheme="minorEastAsia" w:hAnsiTheme="minorEastAsia" w:cs="Times New Roman" w:hint="eastAsia"/>
                <w:sz w:val="24"/>
                <w:szCs w:val="24"/>
              </w:rPr>
              <w:t>债券</w:t>
            </w:r>
            <w:r w:rsidRPr="00B77C8E">
              <w:rPr>
                <w:rFonts w:asciiTheme="minorEastAsia" w:hAnsiTheme="minorEastAsia" w:cs="Times New Roman"/>
                <w:sz w:val="24"/>
                <w:szCs w:val="24"/>
              </w:rPr>
              <w:t>C</w:t>
            </w:r>
          </w:p>
        </w:tc>
      </w:tr>
      <w:tr w:rsidR="00BD3FF2" w:rsidRPr="00B77C8E" w:rsidTr="00BD3FF2">
        <w:trPr>
          <w:trHeight w:val="475"/>
          <w:jc w:val="center"/>
        </w:trPr>
        <w:tc>
          <w:tcPr>
            <w:tcW w:w="4732" w:type="dxa"/>
            <w:gridSpan w:val="2"/>
          </w:tcPr>
          <w:p w:rsidR="00BD3FF2" w:rsidRPr="00B77C8E" w:rsidRDefault="00BD3FF2"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下属分级基金的交易代码</w:t>
            </w:r>
          </w:p>
        </w:tc>
        <w:tc>
          <w:tcPr>
            <w:tcW w:w="3060" w:type="dxa"/>
          </w:tcPr>
          <w:p w:rsidR="00BD3FF2" w:rsidRPr="00B77C8E" w:rsidRDefault="00BD3FF2" w:rsidP="00BD3FF2">
            <w:pPr>
              <w:spacing w:line="360" w:lineRule="auto"/>
              <w:rPr>
                <w:rFonts w:asciiTheme="minorEastAsia" w:hAnsiTheme="minorEastAsia" w:cs="Times New Roman"/>
                <w:sz w:val="24"/>
                <w:szCs w:val="24"/>
              </w:rPr>
            </w:pPr>
            <w:r>
              <w:rPr>
                <w:rFonts w:asciiTheme="minorEastAsia" w:hAnsiTheme="minorEastAsia" w:cs="Times New Roman"/>
                <w:sz w:val="24"/>
                <w:szCs w:val="24"/>
              </w:rPr>
              <w:t>003221</w:t>
            </w:r>
          </w:p>
        </w:tc>
        <w:tc>
          <w:tcPr>
            <w:tcW w:w="2976" w:type="dxa"/>
          </w:tcPr>
          <w:p w:rsidR="00BD3FF2" w:rsidRPr="00B77C8E" w:rsidRDefault="00BD3FF2" w:rsidP="00BD3FF2">
            <w:pPr>
              <w:spacing w:line="360" w:lineRule="auto"/>
              <w:rPr>
                <w:rFonts w:asciiTheme="minorEastAsia" w:hAnsiTheme="minorEastAsia" w:cs="Times New Roman"/>
                <w:sz w:val="24"/>
                <w:szCs w:val="24"/>
              </w:rPr>
            </w:pPr>
            <w:r>
              <w:rPr>
                <w:rFonts w:asciiTheme="minorEastAsia" w:hAnsiTheme="minorEastAsia" w:cs="Times New Roman"/>
                <w:sz w:val="24"/>
                <w:szCs w:val="24"/>
              </w:rPr>
              <w:t>003222</w:t>
            </w:r>
          </w:p>
        </w:tc>
      </w:tr>
      <w:tr w:rsidR="00BD3FF2" w:rsidRPr="00B77C8E" w:rsidTr="00BD3FF2">
        <w:trPr>
          <w:trHeight w:val="939"/>
          <w:jc w:val="center"/>
        </w:trPr>
        <w:tc>
          <w:tcPr>
            <w:tcW w:w="2277" w:type="dxa"/>
            <w:vMerge w:val="restart"/>
            <w:vAlign w:val="center"/>
          </w:tcPr>
          <w:p w:rsidR="00BD3FF2" w:rsidRPr="00B77C8E" w:rsidRDefault="00BD3FF2"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截止基准日下属分级基金的相关指标</w:t>
            </w:r>
          </w:p>
        </w:tc>
        <w:tc>
          <w:tcPr>
            <w:tcW w:w="2455" w:type="dxa"/>
          </w:tcPr>
          <w:p w:rsidR="00BD3FF2" w:rsidRPr="00B77C8E" w:rsidRDefault="00BD3FF2"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基准日下属分级基金份额净值</w:t>
            </w:r>
            <w:r w:rsidRPr="00B77C8E">
              <w:rPr>
                <w:rFonts w:asciiTheme="minorEastAsia" w:hAnsiTheme="minorEastAsia" w:cs="Times New Roman" w:hint="eastAsia"/>
                <w:sz w:val="24"/>
                <w:szCs w:val="24"/>
              </w:rPr>
              <w:t>（单位：</w:t>
            </w:r>
            <w:r w:rsidRPr="00B77C8E">
              <w:rPr>
                <w:rFonts w:asciiTheme="minorEastAsia" w:hAnsiTheme="minorEastAsia" w:cs="Times New Roman" w:hint="eastAsia"/>
                <w:color w:val="000000"/>
                <w:kern w:val="0"/>
                <w:sz w:val="24"/>
                <w:szCs w:val="24"/>
              </w:rPr>
              <w:t>元</w:t>
            </w:r>
            <w:r w:rsidRPr="00B77C8E">
              <w:rPr>
                <w:rFonts w:asciiTheme="minorEastAsia" w:hAnsiTheme="minorEastAsia" w:cs="Times New Roman" w:hint="eastAsia"/>
                <w:sz w:val="24"/>
                <w:szCs w:val="24"/>
              </w:rPr>
              <w:t>）</w:t>
            </w:r>
          </w:p>
        </w:tc>
        <w:tc>
          <w:tcPr>
            <w:tcW w:w="3060" w:type="dxa"/>
          </w:tcPr>
          <w:p w:rsidR="00BD3FF2" w:rsidRPr="00F02659" w:rsidRDefault="00F02659" w:rsidP="00F02659">
            <w:pPr>
              <w:widowControl/>
              <w:rPr>
                <w:rFonts w:asciiTheme="minorEastAsia" w:hAnsiTheme="minorEastAsia" w:cs="Times New Roman"/>
                <w:sz w:val="24"/>
                <w:szCs w:val="24"/>
              </w:rPr>
            </w:pPr>
            <w:r w:rsidRPr="00F02659">
              <w:rPr>
                <w:rFonts w:asciiTheme="minorEastAsia" w:hAnsiTheme="minorEastAsia" w:cs="Times New Roman" w:hint="eastAsia"/>
                <w:sz w:val="24"/>
                <w:szCs w:val="24"/>
              </w:rPr>
              <w:t>1.1045</w:t>
            </w:r>
          </w:p>
        </w:tc>
        <w:tc>
          <w:tcPr>
            <w:tcW w:w="2976" w:type="dxa"/>
          </w:tcPr>
          <w:p w:rsidR="00BD3FF2" w:rsidRPr="00F02659" w:rsidRDefault="00F02659" w:rsidP="00F02659">
            <w:pPr>
              <w:widowControl/>
              <w:rPr>
                <w:rFonts w:asciiTheme="minorEastAsia" w:hAnsiTheme="minorEastAsia" w:cs="Times New Roman"/>
                <w:sz w:val="24"/>
                <w:szCs w:val="24"/>
              </w:rPr>
            </w:pPr>
            <w:r w:rsidRPr="00F02659">
              <w:rPr>
                <w:rFonts w:asciiTheme="minorEastAsia" w:hAnsiTheme="minorEastAsia" w:cs="Times New Roman" w:hint="eastAsia"/>
                <w:sz w:val="24"/>
                <w:szCs w:val="24"/>
              </w:rPr>
              <w:t>1.0988</w:t>
            </w:r>
          </w:p>
        </w:tc>
      </w:tr>
      <w:tr w:rsidR="00BD3FF2" w:rsidRPr="00B77C8E" w:rsidTr="00BD3FF2">
        <w:trPr>
          <w:trHeight w:val="407"/>
          <w:jc w:val="center"/>
        </w:trPr>
        <w:tc>
          <w:tcPr>
            <w:tcW w:w="2277" w:type="dxa"/>
            <w:vMerge/>
          </w:tcPr>
          <w:p w:rsidR="00BD3FF2" w:rsidRPr="00B77C8E" w:rsidRDefault="00BD3FF2" w:rsidP="00B77C8E">
            <w:pPr>
              <w:spacing w:line="360" w:lineRule="auto"/>
              <w:rPr>
                <w:rFonts w:asciiTheme="minorEastAsia" w:hAnsiTheme="minorEastAsia" w:cs="Times New Roman"/>
                <w:color w:val="000000"/>
                <w:sz w:val="24"/>
                <w:szCs w:val="24"/>
              </w:rPr>
            </w:pPr>
          </w:p>
        </w:tc>
        <w:tc>
          <w:tcPr>
            <w:tcW w:w="2455" w:type="dxa"/>
            <w:vAlign w:val="center"/>
          </w:tcPr>
          <w:p w:rsidR="00BD3FF2" w:rsidRPr="00B77C8E" w:rsidRDefault="00BD3FF2"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基准日下属分级基金可供分配利润</w:t>
            </w:r>
            <w:r w:rsidRPr="00B77C8E">
              <w:rPr>
                <w:rFonts w:asciiTheme="minorEastAsia" w:hAnsiTheme="minorEastAsia" w:cs="Times New Roman" w:hint="eastAsia"/>
                <w:sz w:val="24"/>
                <w:szCs w:val="24"/>
              </w:rPr>
              <w:t>（单位：</w:t>
            </w:r>
            <w:r w:rsidRPr="00B77C8E">
              <w:rPr>
                <w:rFonts w:asciiTheme="minorEastAsia" w:hAnsiTheme="minorEastAsia" w:cs="Times New Roman" w:hint="eastAsia"/>
                <w:color w:val="000000"/>
                <w:kern w:val="0"/>
                <w:sz w:val="24"/>
                <w:szCs w:val="24"/>
              </w:rPr>
              <w:t>元</w:t>
            </w:r>
            <w:r w:rsidRPr="00B77C8E">
              <w:rPr>
                <w:rFonts w:asciiTheme="minorEastAsia" w:hAnsiTheme="minorEastAsia" w:cs="Times New Roman" w:hint="eastAsia"/>
                <w:sz w:val="24"/>
                <w:szCs w:val="24"/>
              </w:rPr>
              <w:t>）</w:t>
            </w:r>
          </w:p>
        </w:tc>
        <w:tc>
          <w:tcPr>
            <w:tcW w:w="3060" w:type="dxa"/>
          </w:tcPr>
          <w:p w:rsidR="00BD3FF2" w:rsidRPr="002B27D8" w:rsidRDefault="00F02659" w:rsidP="00F02659">
            <w:pPr>
              <w:widowControl/>
              <w:rPr>
                <w:rFonts w:asciiTheme="minorEastAsia" w:hAnsiTheme="minorEastAsia" w:cs="Times New Roman"/>
                <w:sz w:val="24"/>
                <w:szCs w:val="24"/>
              </w:rPr>
            </w:pPr>
            <w:r w:rsidRPr="00F02659">
              <w:rPr>
                <w:rFonts w:asciiTheme="minorEastAsia" w:hAnsiTheme="minorEastAsia" w:cs="Times New Roman" w:hint="eastAsia"/>
                <w:sz w:val="24"/>
                <w:szCs w:val="24"/>
              </w:rPr>
              <w:t>21,518,098.44</w:t>
            </w:r>
          </w:p>
        </w:tc>
        <w:tc>
          <w:tcPr>
            <w:tcW w:w="2976" w:type="dxa"/>
          </w:tcPr>
          <w:p w:rsidR="00BD3FF2" w:rsidRPr="00855AAF" w:rsidRDefault="00F02659" w:rsidP="00855AAF">
            <w:pPr>
              <w:widowControl/>
              <w:rPr>
                <w:rFonts w:asciiTheme="minorEastAsia" w:hAnsiTheme="minorEastAsia" w:cs="Times New Roman"/>
                <w:sz w:val="24"/>
                <w:szCs w:val="24"/>
              </w:rPr>
            </w:pPr>
            <w:r w:rsidRPr="00F02659">
              <w:rPr>
                <w:rFonts w:asciiTheme="minorEastAsia" w:hAnsiTheme="minorEastAsia" w:cs="Times New Roman" w:hint="eastAsia"/>
                <w:sz w:val="24"/>
                <w:szCs w:val="24"/>
              </w:rPr>
              <w:t>323,752.73</w:t>
            </w:r>
          </w:p>
        </w:tc>
      </w:tr>
      <w:tr w:rsidR="00BD3FF2" w:rsidRPr="00B77C8E" w:rsidTr="00BD3FF2">
        <w:trPr>
          <w:trHeight w:val="939"/>
          <w:jc w:val="center"/>
        </w:trPr>
        <w:tc>
          <w:tcPr>
            <w:tcW w:w="4732" w:type="dxa"/>
            <w:gridSpan w:val="2"/>
          </w:tcPr>
          <w:p w:rsidR="00BD3FF2" w:rsidRPr="00B77C8E" w:rsidRDefault="00BD3FF2"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lastRenderedPageBreak/>
              <w:t>本次下属分级基金分红方案（单位：元/10份基金份额）</w:t>
            </w:r>
          </w:p>
        </w:tc>
        <w:tc>
          <w:tcPr>
            <w:tcW w:w="3060" w:type="dxa"/>
          </w:tcPr>
          <w:p w:rsidR="00BD3FF2" w:rsidRPr="00B77C8E" w:rsidRDefault="00F02659" w:rsidP="006B78AD">
            <w:pPr>
              <w:spacing w:line="360" w:lineRule="auto"/>
              <w:rPr>
                <w:rFonts w:asciiTheme="minorEastAsia" w:hAnsiTheme="minorEastAsia" w:cs="Times New Roman"/>
                <w:sz w:val="24"/>
                <w:szCs w:val="24"/>
              </w:rPr>
            </w:pPr>
            <w:r>
              <w:rPr>
                <w:rFonts w:asciiTheme="minorEastAsia" w:hAnsiTheme="minorEastAsia" w:cs="Times New Roman"/>
                <w:sz w:val="24"/>
                <w:szCs w:val="24"/>
              </w:rPr>
              <w:t>0.43</w:t>
            </w:r>
          </w:p>
        </w:tc>
        <w:tc>
          <w:tcPr>
            <w:tcW w:w="2976" w:type="dxa"/>
          </w:tcPr>
          <w:p w:rsidR="00BD3FF2" w:rsidRDefault="00F02659" w:rsidP="006B78AD">
            <w:pPr>
              <w:spacing w:line="360" w:lineRule="auto"/>
              <w:rPr>
                <w:rFonts w:asciiTheme="minorEastAsia" w:hAnsiTheme="minorEastAsia" w:cs="Times New Roman"/>
                <w:sz w:val="24"/>
                <w:szCs w:val="24"/>
              </w:rPr>
            </w:pPr>
            <w:r>
              <w:rPr>
                <w:rFonts w:asciiTheme="minorEastAsia" w:hAnsiTheme="minorEastAsia" w:cs="Times New Roman"/>
                <w:sz w:val="24"/>
                <w:szCs w:val="24"/>
              </w:rPr>
              <w:t>0.43</w:t>
            </w:r>
          </w:p>
        </w:tc>
      </w:tr>
    </w:tbl>
    <w:p w:rsidR="00B77C8E" w:rsidRPr="00B77C8E" w:rsidRDefault="00B77C8E" w:rsidP="00B77C8E">
      <w:pPr>
        <w:spacing w:line="360" w:lineRule="auto"/>
        <w:rPr>
          <w:rFonts w:asciiTheme="minorEastAsia" w:hAnsiTheme="minorEastAsia" w:cs="Times New Roman"/>
          <w:sz w:val="24"/>
          <w:szCs w:val="24"/>
        </w:rPr>
      </w:pPr>
    </w:p>
    <w:p w:rsidR="00B77C8E" w:rsidRPr="00B77C8E" w:rsidRDefault="00B77C8E" w:rsidP="00B77C8E">
      <w:pPr>
        <w:keepNext/>
        <w:keepLines/>
        <w:spacing w:before="260" w:after="260" w:line="360" w:lineRule="auto"/>
        <w:outlineLvl w:val="1"/>
        <w:rPr>
          <w:rFonts w:asciiTheme="minorEastAsia" w:hAnsiTheme="minorEastAsia" w:cs="Times New Roman"/>
          <w:b/>
          <w:color w:val="000000"/>
          <w:sz w:val="24"/>
          <w:szCs w:val="24"/>
        </w:rPr>
      </w:pPr>
      <w:bookmarkStart w:id="1" w:name="_Toc275961419"/>
      <w:r w:rsidRPr="00B77C8E">
        <w:rPr>
          <w:rFonts w:asciiTheme="minorEastAsia" w:hAnsiTheme="minorEastAsia" w:cs="Times New Roman"/>
          <w:b/>
          <w:color w:val="000000"/>
          <w:sz w:val="24"/>
          <w:szCs w:val="24"/>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4"/>
        <w:gridCol w:w="6405"/>
      </w:tblGrid>
      <w:tr w:rsidR="00B77C8E" w:rsidRPr="00B77C8E" w:rsidTr="00962CF6">
        <w:trPr>
          <w:jc w:val="center"/>
        </w:trPr>
        <w:tc>
          <w:tcPr>
            <w:tcW w:w="4355" w:type="dxa"/>
          </w:tcPr>
          <w:p w:rsidR="00B77C8E" w:rsidRPr="00B77C8E" w:rsidRDefault="00B77C8E"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权益登记日</w:t>
            </w:r>
          </w:p>
        </w:tc>
        <w:tc>
          <w:tcPr>
            <w:tcW w:w="4355" w:type="dxa"/>
          </w:tcPr>
          <w:p w:rsidR="00B77C8E" w:rsidRPr="00B77C8E" w:rsidRDefault="00B77C8E" w:rsidP="00A1135C">
            <w:pPr>
              <w:spacing w:line="360" w:lineRule="auto"/>
              <w:rPr>
                <w:rFonts w:asciiTheme="minorEastAsia" w:hAnsiTheme="minorEastAsia" w:cs="Times New Roman"/>
                <w:sz w:val="24"/>
                <w:szCs w:val="24"/>
              </w:rPr>
            </w:pPr>
            <w:r w:rsidRPr="00B77C8E">
              <w:rPr>
                <w:rFonts w:asciiTheme="minorEastAsia" w:hAnsiTheme="minorEastAsia" w:cs="Times New Roman"/>
                <w:sz w:val="24"/>
                <w:szCs w:val="24"/>
              </w:rPr>
              <w:t>202</w:t>
            </w:r>
            <w:r w:rsidR="00A1135C">
              <w:rPr>
                <w:rFonts w:asciiTheme="minorEastAsia" w:hAnsiTheme="minorEastAsia" w:cs="Times New Roman"/>
                <w:sz w:val="24"/>
                <w:szCs w:val="24"/>
              </w:rPr>
              <w:t>5</w:t>
            </w:r>
            <w:r w:rsidRPr="00B77C8E">
              <w:rPr>
                <w:rFonts w:asciiTheme="minorEastAsia" w:hAnsiTheme="minorEastAsia" w:cs="Times New Roman"/>
                <w:sz w:val="24"/>
                <w:szCs w:val="24"/>
              </w:rPr>
              <w:t>年</w:t>
            </w:r>
            <w:r w:rsidR="008B4281">
              <w:rPr>
                <w:rFonts w:asciiTheme="minorEastAsia" w:hAnsiTheme="minorEastAsia" w:cs="Times New Roman"/>
                <w:sz w:val="24"/>
                <w:szCs w:val="24"/>
              </w:rPr>
              <w:t>12</w:t>
            </w:r>
            <w:r w:rsidRPr="00B77C8E">
              <w:rPr>
                <w:rFonts w:asciiTheme="minorEastAsia" w:hAnsiTheme="minorEastAsia" w:cs="Times New Roman"/>
                <w:sz w:val="24"/>
                <w:szCs w:val="24"/>
              </w:rPr>
              <w:t>月</w:t>
            </w:r>
            <w:r w:rsidR="00A1135C">
              <w:rPr>
                <w:rFonts w:asciiTheme="minorEastAsia" w:hAnsiTheme="minorEastAsia" w:cs="Times New Roman"/>
                <w:sz w:val="24"/>
                <w:szCs w:val="24"/>
              </w:rPr>
              <w:t>17</w:t>
            </w:r>
            <w:r w:rsidRPr="00B77C8E">
              <w:rPr>
                <w:rFonts w:asciiTheme="minorEastAsia" w:hAnsiTheme="minorEastAsia" w:cs="Times New Roman"/>
                <w:sz w:val="24"/>
                <w:szCs w:val="24"/>
              </w:rPr>
              <w:t>日</w:t>
            </w:r>
          </w:p>
        </w:tc>
      </w:tr>
      <w:tr w:rsidR="00B77C8E" w:rsidRPr="00B77C8E" w:rsidTr="00962CF6">
        <w:trPr>
          <w:jc w:val="center"/>
        </w:trPr>
        <w:tc>
          <w:tcPr>
            <w:tcW w:w="4355" w:type="dxa"/>
          </w:tcPr>
          <w:p w:rsidR="00B77C8E" w:rsidRPr="00B77C8E" w:rsidRDefault="00B77C8E"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除息日</w:t>
            </w:r>
          </w:p>
        </w:tc>
        <w:tc>
          <w:tcPr>
            <w:tcW w:w="8710" w:type="dxa"/>
          </w:tcPr>
          <w:p w:rsidR="00B77C8E" w:rsidRPr="00B77C8E" w:rsidRDefault="00B77C8E" w:rsidP="00A1135C">
            <w:pPr>
              <w:spacing w:line="360" w:lineRule="auto"/>
              <w:rPr>
                <w:rFonts w:asciiTheme="minorEastAsia" w:hAnsiTheme="minorEastAsia" w:cs="Times New Roman"/>
                <w:sz w:val="24"/>
                <w:szCs w:val="24"/>
              </w:rPr>
            </w:pPr>
            <w:r w:rsidRPr="00B77C8E">
              <w:rPr>
                <w:rFonts w:asciiTheme="minorEastAsia" w:hAnsiTheme="minorEastAsia" w:cs="Times New Roman"/>
                <w:sz w:val="24"/>
                <w:szCs w:val="24"/>
              </w:rPr>
              <w:t>202</w:t>
            </w:r>
            <w:r w:rsidR="00A1135C">
              <w:rPr>
                <w:rFonts w:asciiTheme="minorEastAsia" w:hAnsiTheme="minorEastAsia" w:cs="Times New Roman"/>
                <w:sz w:val="24"/>
                <w:szCs w:val="24"/>
              </w:rPr>
              <w:t>5</w:t>
            </w:r>
            <w:r w:rsidRPr="00B77C8E">
              <w:rPr>
                <w:rFonts w:asciiTheme="minorEastAsia" w:hAnsiTheme="minorEastAsia" w:cs="Times New Roman"/>
                <w:sz w:val="24"/>
                <w:szCs w:val="24"/>
              </w:rPr>
              <w:t>年</w:t>
            </w:r>
            <w:r w:rsidR="008B4281">
              <w:rPr>
                <w:rFonts w:asciiTheme="minorEastAsia" w:hAnsiTheme="minorEastAsia" w:cs="Times New Roman"/>
                <w:sz w:val="24"/>
                <w:szCs w:val="24"/>
              </w:rPr>
              <w:t>12</w:t>
            </w:r>
            <w:r w:rsidRPr="00B77C8E">
              <w:rPr>
                <w:rFonts w:asciiTheme="minorEastAsia" w:hAnsiTheme="minorEastAsia" w:cs="Times New Roman"/>
                <w:sz w:val="24"/>
                <w:szCs w:val="24"/>
              </w:rPr>
              <w:t>月</w:t>
            </w:r>
            <w:r w:rsidR="00A1135C">
              <w:rPr>
                <w:rFonts w:asciiTheme="minorEastAsia" w:hAnsiTheme="minorEastAsia" w:cs="Times New Roman"/>
                <w:sz w:val="24"/>
                <w:szCs w:val="24"/>
              </w:rPr>
              <w:t>17</w:t>
            </w:r>
            <w:r w:rsidR="005F34E2">
              <w:rPr>
                <w:rFonts w:asciiTheme="minorEastAsia" w:hAnsiTheme="minorEastAsia" w:cs="Times New Roman"/>
                <w:sz w:val="24"/>
                <w:szCs w:val="24"/>
              </w:rPr>
              <w:t>日</w:t>
            </w:r>
          </w:p>
        </w:tc>
      </w:tr>
      <w:tr w:rsidR="00B77C8E" w:rsidRPr="00B77C8E" w:rsidTr="00962CF6">
        <w:trPr>
          <w:jc w:val="center"/>
        </w:trPr>
        <w:tc>
          <w:tcPr>
            <w:tcW w:w="4355" w:type="dxa"/>
          </w:tcPr>
          <w:p w:rsidR="00B77C8E" w:rsidRPr="00B77C8E" w:rsidRDefault="00B77C8E"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现金红利发放日</w:t>
            </w:r>
          </w:p>
        </w:tc>
        <w:tc>
          <w:tcPr>
            <w:tcW w:w="4355" w:type="dxa"/>
          </w:tcPr>
          <w:p w:rsidR="00B77C8E" w:rsidRPr="00B77C8E" w:rsidRDefault="00B77C8E" w:rsidP="00A1135C">
            <w:pPr>
              <w:spacing w:line="360" w:lineRule="auto"/>
              <w:rPr>
                <w:rFonts w:asciiTheme="minorEastAsia" w:hAnsiTheme="minorEastAsia" w:cs="Times New Roman"/>
                <w:sz w:val="24"/>
                <w:szCs w:val="24"/>
              </w:rPr>
            </w:pPr>
            <w:r w:rsidRPr="00B77C8E">
              <w:rPr>
                <w:rFonts w:asciiTheme="minorEastAsia" w:hAnsiTheme="minorEastAsia" w:cs="Times New Roman"/>
                <w:sz w:val="24"/>
                <w:szCs w:val="24"/>
              </w:rPr>
              <w:t>202</w:t>
            </w:r>
            <w:r w:rsidR="00A1135C">
              <w:rPr>
                <w:rFonts w:asciiTheme="minorEastAsia" w:hAnsiTheme="minorEastAsia" w:cs="Times New Roman"/>
                <w:sz w:val="24"/>
                <w:szCs w:val="24"/>
              </w:rPr>
              <w:t>5</w:t>
            </w:r>
            <w:r w:rsidRPr="00B77C8E">
              <w:rPr>
                <w:rFonts w:asciiTheme="minorEastAsia" w:hAnsiTheme="minorEastAsia" w:cs="Times New Roman"/>
                <w:sz w:val="24"/>
                <w:szCs w:val="24"/>
              </w:rPr>
              <w:t>年</w:t>
            </w:r>
            <w:r w:rsidR="008B4281">
              <w:rPr>
                <w:rFonts w:asciiTheme="minorEastAsia" w:hAnsiTheme="minorEastAsia" w:cs="Times New Roman"/>
                <w:sz w:val="24"/>
                <w:szCs w:val="24"/>
              </w:rPr>
              <w:t>12</w:t>
            </w:r>
            <w:r w:rsidRPr="00B77C8E">
              <w:rPr>
                <w:rFonts w:asciiTheme="minorEastAsia" w:hAnsiTheme="minorEastAsia" w:cs="Times New Roman"/>
                <w:sz w:val="24"/>
                <w:szCs w:val="24"/>
              </w:rPr>
              <w:t>月</w:t>
            </w:r>
            <w:r w:rsidR="00A1135C">
              <w:rPr>
                <w:rFonts w:asciiTheme="minorEastAsia" w:hAnsiTheme="minorEastAsia" w:cs="Times New Roman"/>
                <w:sz w:val="24"/>
                <w:szCs w:val="24"/>
              </w:rPr>
              <w:t>19</w:t>
            </w:r>
            <w:r w:rsidRPr="00B77C8E">
              <w:rPr>
                <w:rFonts w:asciiTheme="minorEastAsia" w:hAnsiTheme="minorEastAsia" w:cs="Times New Roman"/>
                <w:sz w:val="24"/>
                <w:szCs w:val="24"/>
              </w:rPr>
              <w:t>日</w:t>
            </w:r>
          </w:p>
        </w:tc>
      </w:tr>
      <w:tr w:rsidR="00B77C8E" w:rsidRPr="00B77C8E" w:rsidTr="00962CF6">
        <w:trPr>
          <w:jc w:val="center"/>
        </w:trPr>
        <w:tc>
          <w:tcPr>
            <w:tcW w:w="4355" w:type="dxa"/>
          </w:tcPr>
          <w:p w:rsidR="00B77C8E" w:rsidRPr="00B77C8E" w:rsidRDefault="00B77C8E"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分红对象</w:t>
            </w:r>
          </w:p>
        </w:tc>
        <w:tc>
          <w:tcPr>
            <w:tcW w:w="4355" w:type="dxa"/>
            <w:shd w:val="clear" w:color="auto" w:fill="auto"/>
          </w:tcPr>
          <w:p w:rsidR="00B77C8E" w:rsidRPr="00B77C8E" w:rsidRDefault="00B77C8E" w:rsidP="00B77C8E">
            <w:pPr>
              <w:spacing w:line="360" w:lineRule="auto"/>
              <w:rPr>
                <w:rFonts w:asciiTheme="minorEastAsia" w:hAnsiTheme="minorEastAsia" w:cs="Times New Roman"/>
                <w:sz w:val="24"/>
                <w:szCs w:val="24"/>
              </w:rPr>
            </w:pPr>
            <w:r w:rsidRPr="00B77C8E">
              <w:rPr>
                <w:rFonts w:asciiTheme="minorEastAsia" w:hAnsiTheme="minorEastAsia" w:cs="Times New Roman" w:hint="eastAsia"/>
                <w:sz w:val="24"/>
                <w:szCs w:val="24"/>
              </w:rPr>
              <w:t>权益登记日在注册登记机构新华基金管理股份有限公司登记在册的本基金全体份额持有人。</w:t>
            </w:r>
          </w:p>
        </w:tc>
      </w:tr>
      <w:tr w:rsidR="00B77C8E" w:rsidRPr="00B77C8E" w:rsidTr="00962CF6">
        <w:trPr>
          <w:jc w:val="center"/>
        </w:trPr>
        <w:tc>
          <w:tcPr>
            <w:tcW w:w="4355" w:type="dxa"/>
            <w:shd w:val="clear" w:color="auto" w:fill="auto"/>
            <w:vAlign w:val="center"/>
          </w:tcPr>
          <w:p w:rsidR="00B77C8E" w:rsidRPr="00B77C8E" w:rsidRDefault="00B77C8E"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红利再投资相关事项的说明</w:t>
            </w:r>
          </w:p>
        </w:tc>
        <w:tc>
          <w:tcPr>
            <w:tcW w:w="4355" w:type="dxa"/>
            <w:shd w:val="clear" w:color="auto" w:fill="auto"/>
          </w:tcPr>
          <w:p w:rsidR="00B77C8E" w:rsidRPr="00B77C8E" w:rsidRDefault="00B77C8E" w:rsidP="00A1135C">
            <w:pPr>
              <w:spacing w:line="360" w:lineRule="auto"/>
              <w:rPr>
                <w:rFonts w:asciiTheme="minorEastAsia" w:hAnsiTheme="minorEastAsia" w:cs="Times New Roman"/>
                <w:sz w:val="24"/>
                <w:szCs w:val="24"/>
              </w:rPr>
            </w:pPr>
            <w:r w:rsidRPr="00B77C8E">
              <w:rPr>
                <w:rFonts w:asciiTheme="minorEastAsia" w:hAnsiTheme="minorEastAsia" w:cs="Times New Roman"/>
                <w:sz w:val="24"/>
                <w:szCs w:val="24"/>
              </w:rPr>
              <w:t>投资者选择红利再投资方式的，现金红利转换为基金份额净值基准日为202</w:t>
            </w:r>
            <w:r w:rsidR="00A1135C">
              <w:rPr>
                <w:rFonts w:asciiTheme="minorEastAsia" w:hAnsiTheme="minorEastAsia" w:cs="Times New Roman"/>
                <w:sz w:val="24"/>
                <w:szCs w:val="24"/>
              </w:rPr>
              <w:t>5</w:t>
            </w:r>
            <w:r w:rsidRPr="00B77C8E">
              <w:rPr>
                <w:rFonts w:asciiTheme="minorEastAsia" w:hAnsiTheme="minorEastAsia" w:cs="Times New Roman"/>
                <w:sz w:val="24"/>
                <w:szCs w:val="24"/>
              </w:rPr>
              <w:t>年</w:t>
            </w:r>
            <w:r w:rsidR="008B4281">
              <w:rPr>
                <w:rFonts w:asciiTheme="minorEastAsia" w:hAnsiTheme="minorEastAsia" w:cs="Times New Roman"/>
                <w:sz w:val="24"/>
                <w:szCs w:val="24"/>
              </w:rPr>
              <w:t>12</w:t>
            </w:r>
            <w:r w:rsidRPr="00B77C8E">
              <w:rPr>
                <w:rFonts w:asciiTheme="minorEastAsia" w:hAnsiTheme="minorEastAsia" w:cs="Times New Roman"/>
                <w:sz w:val="24"/>
                <w:szCs w:val="24"/>
              </w:rPr>
              <w:t>月</w:t>
            </w:r>
            <w:r w:rsidR="00A1135C">
              <w:rPr>
                <w:rFonts w:asciiTheme="minorEastAsia" w:hAnsiTheme="minorEastAsia" w:cs="Times New Roman"/>
                <w:sz w:val="24"/>
                <w:szCs w:val="24"/>
              </w:rPr>
              <w:t>17</w:t>
            </w:r>
            <w:r w:rsidRPr="00B77C8E">
              <w:rPr>
                <w:rFonts w:asciiTheme="minorEastAsia" w:hAnsiTheme="minorEastAsia" w:cs="Times New Roman"/>
                <w:sz w:val="24"/>
                <w:szCs w:val="24"/>
              </w:rPr>
              <w:t>日，基金份额登记过户日为</w:t>
            </w:r>
            <w:r w:rsidR="00B961FF" w:rsidRPr="00B961FF">
              <w:rPr>
                <w:rFonts w:asciiTheme="minorEastAsia" w:hAnsiTheme="minorEastAsia" w:cs="Times New Roman"/>
                <w:sz w:val="24"/>
                <w:szCs w:val="24"/>
              </w:rPr>
              <w:t>202</w:t>
            </w:r>
            <w:r w:rsidR="00A1135C">
              <w:rPr>
                <w:rFonts w:asciiTheme="minorEastAsia" w:hAnsiTheme="minorEastAsia" w:cs="Times New Roman"/>
                <w:sz w:val="24"/>
                <w:szCs w:val="24"/>
              </w:rPr>
              <w:t>5</w:t>
            </w:r>
            <w:r w:rsidRPr="00B77C8E">
              <w:rPr>
                <w:rFonts w:asciiTheme="minorEastAsia" w:hAnsiTheme="minorEastAsia" w:cs="Times New Roman"/>
                <w:sz w:val="24"/>
                <w:szCs w:val="24"/>
              </w:rPr>
              <w:t>年</w:t>
            </w:r>
            <w:r w:rsidR="008B4281">
              <w:rPr>
                <w:rFonts w:asciiTheme="minorEastAsia" w:hAnsiTheme="minorEastAsia" w:cs="Times New Roman"/>
                <w:sz w:val="24"/>
                <w:szCs w:val="24"/>
              </w:rPr>
              <w:t>12</w:t>
            </w:r>
            <w:r w:rsidRPr="00B77C8E">
              <w:rPr>
                <w:rFonts w:asciiTheme="minorEastAsia" w:hAnsiTheme="minorEastAsia" w:cs="Times New Roman"/>
                <w:sz w:val="24"/>
                <w:szCs w:val="24"/>
              </w:rPr>
              <w:t>月</w:t>
            </w:r>
            <w:r w:rsidR="00A1135C">
              <w:rPr>
                <w:rFonts w:asciiTheme="minorEastAsia" w:hAnsiTheme="minorEastAsia" w:cs="Times New Roman"/>
                <w:sz w:val="24"/>
                <w:szCs w:val="24"/>
              </w:rPr>
              <w:t>18</w:t>
            </w:r>
            <w:r w:rsidRPr="00B77C8E">
              <w:rPr>
                <w:rFonts w:asciiTheme="minorEastAsia" w:hAnsiTheme="minorEastAsia" w:cs="Times New Roman"/>
                <w:sz w:val="24"/>
                <w:szCs w:val="24"/>
              </w:rPr>
              <w:t>日。</w:t>
            </w:r>
          </w:p>
        </w:tc>
      </w:tr>
      <w:tr w:rsidR="00B77C8E" w:rsidRPr="00B77C8E" w:rsidTr="00962CF6">
        <w:trPr>
          <w:jc w:val="center"/>
        </w:trPr>
        <w:tc>
          <w:tcPr>
            <w:tcW w:w="4355" w:type="dxa"/>
          </w:tcPr>
          <w:p w:rsidR="00B77C8E" w:rsidRPr="00B77C8E" w:rsidRDefault="00B77C8E"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税收相关事项的说明</w:t>
            </w:r>
          </w:p>
        </w:tc>
        <w:tc>
          <w:tcPr>
            <w:tcW w:w="4355" w:type="dxa"/>
            <w:shd w:val="clear" w:color="auto" w:fill="auto"/>
          </w:tcPr>
          <w:p w:rsidR="00B77C8E" w:rsidRPr="00B77C8E" w:rsidRDefault="00B77C8E" w:rsidP="00B77C8E">
            <w:pPr>
              <w:spacing w:line="360" w:lineRule="auto"/>
              <w:rPr>
                <w:rFonts w:asciiTheme="minorEastAsia" w:hAnsiTheme="minorEastAsia" w:cs="Times New Roman"/>
                <w:sz w:val="24"/>
                <w:szCs w:val="24"/>
              </w:rPr>
            </w:pPr>
            <w:r w:rsidRPr="00B77C8E">
              <w:rPr>
                <w:rFonts w:asciiTheme="minorEastAsia" w:hAnsiTheme="minorEastAsia" w:cs="Times New Roman"/>
                <w:sz w:val="24"/>
                <w:szCs w:val="24"/>
              </w:rPr>
              <w:t>根据财政部、国家税务总局《关于开放式证券投资基金有关税收问题的通知》（财税字[2002]128号）及《关于企业所得税若干优惠政策的通知》（财税[2008]1号）的规定，基金向投资者分配的基金收益,暂免征收所得税。</w:t>
            </w:r>
          </w:p>
        </w:tc>
      </w:tr>
      <w:tr w:rsidR="00B77C8E" w:rsidRPr="00B77C8E" w:rsidTr="00962CF6">
        <w:trPr>
          <w:jc w:val="center"/>
        </w:trPr>
        <w:tc>
          <w:tcPr>
            <w:tcW w:w="4355" w:type="dxa"/>
          </w:tcPr>
          <w:p w:rsidR="00B77C8E" w:rsidRPr="00B77C8E" w:rsidRDefault="00B77C8E" w:rsidP="00B77C8E">
            <w:pPr>
              <w:spacing w:line="360" w:lineRule="auto"/>
              <w:rPr>
                <w:rFonts w:asciiTheme="minorEastAsia" w:hAnsiTheme="minorEastAsia" w:cs="Times New Roman"/>
                <w:color w:val="000000"/>
                <w:sz w:val="24"/>
                <w:szCs w:val="24"/>
              </w:rPr>
            </w:pPr>
            <w:r w:rsidRPr="00B77C8E">
              <w:rPr>
                <w:rFonts w:asciiTheme="minorEastAsia" w:hAnsiTheme="minorEastAsia" w:cs="Times New Roman"/>
                <w:color w:val="000000"/>
                <w:sz w:val="24"/>
                <w:szCs w:val="24"/>
              </w:rPr>
              <w:t>费用相关事项的说明</w:t>
            </w:r>
          </w:p>
        </w:tc>
        <w:tc>
          <w:tcPr>
            <w:tcW w:w="4355" w:type="dxa"/>
            <w:shd w:val="clear" w:color="auto" w:fill="auto"/>
          </w:tcPr>
          <w:p w:rsidR="00B77C8E" w:rsidRPr="00B77C8E" w:rsidRDefault="00B77C8E" w:rsidP="00B77C8E">
            <w:pPr>
              <w:spacing w:line="360" w:lineRule="auto"/>
              <w:rPr>
                <w:rFonts w:asciiTheme="minorEastAsia" w:hAnsiTheme="minorEastAsia" w:cs="Times New Roman"/>
                <w:sz w:val="24"/>
                <w:szCs w:val="24"/>
              </w:rPr>
            </w:pPr>
            <w:r w:rsidRPr="00B77C8E">
              <w:rPr>
                <w:rFonts w:asciiTheme="minorEastAsia" w:hAnsiTheme="minorEastAsia" w:cs="Times New Roman"/>
                <w:sz w:val="24"/>
                <w:szCs w:val="24"/>
              </w:rPr>
              <w:t>本次分红免收分红手续费。</w:t>
            </w:r>
          </w:p>
        </w:tc>
      </w:tr>
    </w:tbl>
    <w:p w:rsidR="00B77C8E" w:rsidRPr="00B77C8E" w:rsidRDefault="00B77C8E" w:rsidP="00B77C8E">
      <w:pPr>
        <w:keepNext/>
        <w:keepLines/>
        <w:spacing w:before="260" w:after="260" w:line="360" w:lineRule="auto"/>
        <w:outlineLvl w:val="1"/>
        <w:rPr>
          <w:rFonts w:asciiTheme="minorEastAsia" w:hAnsiTheme="minorEastAsia" w:cs="Times New Roman"/>
          <w:b/>
          <w:color w:val="000000"/>
          <w:sz w:val="24"/>
          <w:szCs w:val="24"/>
        </w:rPr>
      </w:pPr>
      <w:bookmarkStart w:id="2" w:name="_Toc275961420"/>
      <w:r w:rsidRPr="00B77C8E">
        <w:rPr>
          <w:rFonts w:asciiTheme="minorEastAsia" w:hAnsiTheme="minorEastAsia" w:cs="Times New Roman"/>
          <w:b/>
          <w:color w:val="000000"/>
          <w:sz w:val="24"/>
          <w:szCs w:val="24"/>
        </w:rPr>
        <w:t>3 其他需要提示的事项</w:t>
      </w:r>
      <w:bookmarkEnd w:id="2"/>
    </w:p>
    <w:p w:rsidR="00B77C8E" w:rsidRPr="00B77C8E" w:rsidRDefault="00B77C8E" w:rsidP="00B77C8E">
      <w:pPr>
        <w:spacing w:line="360" w:lineRule="auto"/>
        <w:ind w:firstLineChars="200" w:firstLine="480"/>
        <w:rPr>
          <w:rFonts w:asciiTheme="minorEastAsia" w:hAnsiTheme="minorEastAsia" w:cs="Times New Roman"/>
          <w:sz w:val="24"/>
          <w:szCs w:val="24"/>
        </w:rPr>
      </w:pPr>
      <w:r w:rsidRPr="00B77C8E">
        <w:rPr>
          <w:rFonts w:asciiTheme="minorEastAsia" w:hAnsiTheme="minorEastAsia" w:cs="Times New Roman"/>
          <w:sz w:val="24"/>
          <w:szCs w:val="24"/>
        </w:rPr>
        <w:t>(1)本次收益分配公告已经本基金托管人</w:t>
      </w:r>
      <w:r w:rsidR="00E11CBE" w:rsidRPr="00E11CBE">
        <w:rPr>
          <w:rFonts w:asciiTheme="minorEastAsia" w:hAnsiTheme="minorEastAsia" w:cs="Times New Roman" w:hint="eastAsia"/>
          <w:sz w:val="24"/>
          <w:szCs w:val="24"/>
        </w:rPr>
        <w:t>中国</w:t>
      </w:r>
      <w:r w:rsidR="00AF32B1">
        <w:rPr>
          <w:rFonts w:asciiTheme="minorEastAsia" w:hAnsiTheme="minorEastAsia" w:cs="Times New Roman" w:hint="eastAsia"/>
          <w:sz w:val="24"/>
          <w:szCs w:val="24"/>
        </w:rPr>
        <w:t>工商</w:t>
      </w:r>
      <w:r w:rsidR="00E11CBE" w:rsidRPr="00E11CBE">
        <w:rPr>
          <w:rFonts w:asciiTheme="minorEastAsia" w:hAnsiTheme="minorEastAsia" w:cs="Times New Roman" w:hint="eastAsia"/>
          <w:sz w:val="24"/>
          <w:szCs w:val="24"/>
        </w:rPr>
        <w:t>银行股份有限公司</w:t>
      </w:r>
      <w:r w:rsidRPr="00B77C8E">
        <w:rPr>
          <w:rFonts w:asciiTheme="minorEastAsia" w:hAnsiTheme="minorEastAsia" w:cs="Times New Roman"/>
          <w:sz w:val="24"/>
          <w:szCs w:val="24"/>
        </w:rPr>
        <w:t xml:space="preserve">复核。 </w:t>
      </w:r>
    </w:p>
    <w:p w:rsidR="00B77C8E" w:rsidRPr="00B77C8E" w:rsidRDefault="00B77C8E" w:rsidP="00B77C8E">
      <w:pPr>
        <w:spacing w:line="360" w:lineRule="auto"/>
        <w:ind w:firstLineChars="200" w:firstLine="480"/>
        <w:rPr>
          <w:rFonts w:asciiTheme="minorEastAsia" w:hAnsiTheme="minorEastAsia" w:cs="Times New Roman"/>
          <w:sz w:val="24"/>
          <w:szCs w:val="24"/>
        </w:rPr>
      </w:pPr>
      <w:r w:rsidRPr="00B77C8E">
        <w:rPr>
          <w:rFonts w:asciiTheme="minorEastAsia" w:hAnsiTheme="minorEastAsia" w:cs="Times New Roman"/>
          <w:sz w:val="24"/>
          <w:szCs w:val="24"/>
        </w:rPr>
        <w:t>(2)</w:t>
      </w:r>
      <w:r w:rsidRPr="00B77C8E">
        <w:rPr>
          <w:rFonts w:asciiTheme="minorEastAsia" w:hAnsiTheme="minorEastAsia" w:cs="Times New Roman" w:hint="eastAsia"/>
          <w:sz w:val="24"/>
          <w:szCs w:val="24"/>
        </w:rPr>
        <w:t>本基金收益分配方式分两种：现金分红与红利再投资，投资者可选择现金红利或将现金红利自动转为相应类别的基金份额进行再投资；若投资者不选择，本基金默认的收益分配方式是现金分红。</w:t>
      </w:r>
    </w:p>
    <w:p w:rsidR="00B77C8E" w:rsidRPr="00B77C8E" w:rsidRDefault="00B77C8E" w:rsidP="00B77C8E">
      <w:pPr>
        <w:spacing w:line="360" w:lineRule="auto"/>
        <w:ind w:firstLineChars="200" w:firstLine="480"/>
        <w:rPr>
          <w:rFonts w:asciiTheme="minorEastAsia" w:hAnsiTheme="minorEastAsia" w:cs="Times New Roman"/>
          <w:sz w:val="24"/>
          <w:szCs w:val="24"/>
        </w:rPr>
      </w:pPr>
      <w:r w:rsidRPr="00B77C8E">
        <w:rPr>
          <w:rFonts w:asciiTheme="minorEastAsia" w:hAnsiTheme="minorEastAsia" w:cs="Times New Roman"/>
          <w:sz w:val="24"/>
          <w:szCs w:val="24"/>
        </w:rPr>
        <w:t>(3)由于部分投资者在开户时填写的地址不够准确完整，为确保投资者能够及时准确地收到对账单，本公司特此提示：请各位投资者核对开户信息，若需补充或更改，请及时致电本公司的客户服务电话4008198866，通过本公司网站或到原开户网点变更相关资料。</w:t>
      </w:r>
    </w:p>
    <w:p w:rsidR="00B77C8E" w:rsidRPr="00B77C8E" w:rsidRDefault="00B77C8E" w:rsidP="00B77C8E">
      <w:pPr>
        <w:spacing w:line="360" w:lineRule="auto"/>
        <w:ind w:firstLineChars="200" w:firstLine="480"/>
        <w:rPr>
          <w:rFonts w:asciiTheme="minorEastAsia" w:hAnsiTheme="minorEastAsia" w:cs="Times New Roman"/>
          <w:sz w:val="24"/>
          <w:szCs w:val="24"/>
        </w:rPr>
      </w:pPr>
      <w:r w:rsidRPr="00B77C8E">
        <w:rPr>
          <w:rFonts w:asciiTheme="minorEastAsia" w:hAnsiTheme="minorEastAsia" w:cs="Times New Roman"/>
          <w:sz w:val="24"/>
          <w:szCs w:val="24"/>
        </w:rPr>
        <w:t>(4)权益分派期间（202</w:t>
      </w:r>
      <w:r w:rsidR="00A1135C">
        <w:rPr>
          <w:rFonts w:asciiTheme="minorEastAsia" w:hAnsiTheme="minorEastAsia" w:cs="Times New Roman"/>
          <w:sz w:val="24"/>
          <w:szCs w:val="24"/>
        </w:rPr>
        <w:t>5</w:t>
      </w:r>
      <w:r w:rsidRPr="00B77C8E">
        <w:rPr>
          <w:rFonts w:asciiTheme="minorEastAsia" w:hAnsiTheme="minorEastAsia" w:cs="Times New Roman"/>
          <w:sz w:val="24"/>
          <w:szCs w:val="24"/>
        </w:rPr>
        <w:t>年</w:t>
      </w:r>
      <w:r w:rsidR="008B4281">
        <w:rPr>
          <w:rFonts w:asciiTheme="minorEastAsia" w:hAnsiTheme="minorEastAsia" w:cs="Times New Roman"/>
          <w:sz w:val="24"/>
          <w:szCs w:val="24"/>
        </w:rPr>
        <w:t>12</w:t>
      </w:r>
      <w:r w:rsidRPr="00B77C8E">
        <w:rPr>
          <w:rFonts w:asciiTheme="minorEastAsia" w:hAnsiTheme="minorEastAsia" w:cs="Times New Roman"/>
          <w:sz w:val="24"/>
          <w:szCs w:val="24"/>
        </w:rPr>
        <w:t>月</w:t>
      </w:r>
      <w:r w:rsidR="00A1135C">
        <w:rPr>
          <w:rFonts w:asciiTheme="minorEastAsia" w:hAnsiTheme="minorEastAsia" w:cs="Times New Roman"/>
          <w:sz w:val="24"/>
          <w:szCs w:val="24"/>
        </w:rPr>
        <w:t>17</w:t>
      </w:r>
      <w:r w:rsidRPr="00B77C8E">
        <w:rPr>
          <w:rFonts w:asciiTheme="minorEastAsia" w:hAnsiTheme="minorEastAsia" w:cs="Times New Roman"/>
          <w:sz w:val="24"/>
          <w:szCs w:val="24"/>
        </w:rPr>
        <w:t>日至</w:t>
      </w:r>
      <w:r w:rsidR="008B4281">
        <w:rPr>
          <w:rFonts w:asciiTheme="minorEastAsia" w:hAnsiTheme="minorEastAsia" w:cs="Times New Roman"/>
          <w:sz w:val="24"/>
          <w:szCs w:val="24"/>
        </w:rPr>
        <w:t>12</w:t>
      </w:r>
      <w:r w:rsidRPr="00B77C8E">
        <w:rPr>
          <w:rFonts w:asciiTheme="minorEastAsia" w:hAnsiTheme="minorEastAsia" w:cs="Times New Roman"/>
          <w:sz w:val="24"/>
          <w:szCs w:val="24"/>
        </w:rPr>
        <w:t>月</w:t>
      </w:r>
      <w:r w:rsidR="00A1135C">
        <w:rPr>
          <w:rFonts w:asciiTheme="minorEastAsia" w:hAnsiTheme="minorEastAsia" w:cs="Times New Roman"/>
          <w:sz w:val="24"/>
          <w:szCs w:val="24"/>
        </w:rPr>
        <w:t>19</w:t>
      </w:r>
      <w:r w:rsidRPr="00B77C8E">
        <w:rPr>
          <w:rFonts w:asciiTheme="minorEastAsia" w:hAnsiTheme="minorEastAsia" w:cs="Times New Roman"/>
          <w:sz w:val="24"/>
          <w:szCs w:val="24"/>
        </w:rPr>
        <w:t>日）注册登记机构不接受</w:t>
      </w:r>
      <w:r w:rsidRPr="00B77C8E">
        <w:rPr>
          <w:rFonts w:asciiTheme="minorEastAsia" w:hAnsiTheme="minorEastAsia" w:cs="Times New Roman"/>
          <w:sz w:val="24"/>
          <w:szCs w:val="24"/>
        </w:rPr>
        <w:lastRenderedPageBreak/>
        <w:t>投资者基金转托管、非交易过户等业务的申请。</w:t>
      </w:r>
    </w:p>
    <w:p w:rsidR="00B77C8E" w:rsidRPr="00B77C8E" w:rsidRDefault="00B77C8E" w:rsidP="00B77C8E">
      <w:pPr>
        <w:spacing w:line="360" w:lineRule="auto"/>
        <w:ind w:firstLineChars="200" w:firstLine="480"/>
        <w:rPr>
          <w:rFonts w:asciiTheme="minorEastAsia" w:hAnsiTheme="minorEastAsia" w:cs="Times New Roman"/>
          <w:sz w:val="24"/>
          <w:szCs w:val="24"/>
        </w:rPr>
      </w:pPr>
      <w:r w:rsidRPr="00B77C8E">
        <w:rPr>
          <w:rFonts w:asciiTheme="minorEastAsia" w:hAnsiTheme="minorEastAsia" w:cs="Times New Roman"/>
          <w:sz w:val="24"/>
          <w:szCs w:val="24"/>
        </w:rPr>
        <w:t>(5)欲了解有关分红的情况，可向本公司咨询，客户服务热线：4008198866，或登陆本公司网站：http://www.ncfund.com.cn。</w:t>
      </w:r>
    </w:p>
    <w:p w:rsidR="00B77C8E" w:rsidRPr="00B77C8E" w:rsidRDefault="00B77C8E" w:rsidP="00B77C8E">
      <w:pPr>
        <w:spacing w:line="360" w:lineRule="auto"/>
        <w:ind w:firstLineChars="200" w:firstLine="480"/>
        <w:rPr>
          <w:rFonts w:asciiTheme="minorEastAsia" w:hAnsiTheme="minorEastAsia" w:cs="Times New Roman"/>
          <w:sz w:val="24"/>
          <w:szCs w:val="24"/>
        </w:rPr>
      </w:pPr>
      <w:r w:rsidRPr="00B77C8E">
        <w:rPr>
          <w:rFonts w:asciiTheme="minorEastAsia" w:hAnsiTheme="minorEastAsia" w:cs="Times New Roman"/>
          <w:sz w:val="24"/>
          <w:szCs w:val="24"/>
        </w:rPr>
        <w:t>(6)本次分红不会改变本基金的风险收益特征，也不会降低本基金的投资风险或提高本基金的投资收益。</w:t>
      </w:r>
    </w:p>
    <w:p w:rsidR="00B77C8E" w:rsidRPr="00B77C8E" w:rsidRDefault="00B77C8E" w:rsidP="00B77C8E">
      <w:pPr>
        <w:spacing w:line="360" w:lineRule="auto"/>
        <w:ind w:firstLineChars="200" w:firstLine="480"/>
        <w:rPr>
          <w:rFonts w:asciiTheme="minorEastAsia" w:hAnsiTheme="minorEastAsia" w:cs="Times New Roman"/>
          <w:sz w:val="24"/>
          <w:szCs w:val="24"/>
        </w:rPr>
      </w:pPr>
    </w:p>
    <w:p w:rsidR="00B77C8E" w:rsidRPr="00B77C8E" w:rsidRDefault="00B77C8E" w:rsidP="00B77C8E">
      <w:pPr>
        <w:spacing w:line="360" w:lineRule="auto"/>
        <w:ind w:firstLineChars="200" w:firstLine="480"/>
        <w:rPr>
          <w:rFonts w:asciiTheme="minorEastAsia" w:hAnsiTheme="minorEastAsia" w:cs="Times New Roman"/>
          <w:sz w:val="24"/>
          <w:szCs w:val="24"/>
        </w:rPr>
      </w:pPr>
      <w:r w:rsidRPr="00B77C8E">
        <w:rPr>
          <w:rFonts w:asciiTheme="minorEastAsia" w:hAnsiTheme="minorEastAsia" w:cs="Times New Roman"/>
          <w:sz w:val="24"/>
          <w:szCs w:val="24"/>
        </w:rPr>
        <w:t>风险提示</w:t>
      </w:r>
    </w:p>
    <w:p w:rsidR="00B77C8E" w:rsidRPr="00B77C8E" w:rsidRDefault="00B77C8E" w:rsidP="00B77C8E">
      <w:pPr>
        <w:spacing w:line="360" w:lineRule="auto"/>
        <w:ind w:firstLineChars="200" w:firstLine="480"/>
        <w:rPr>
          <w:rFonts w:asciiTheme="minorEastAsia" w:hAnsiTheme="minorEastAsia" w:cs="Times New Roman"/>
          <w:sz w:val="24"/>
          <w:szCs w:val="24"/>
        </w:rPr>
      </w:pPr>
      <w:r w:rsidRPr="00B77C8E">
        <w:rPr>
          <w:rFonts w:asciiTheme="minorEastAsia" w:hAnsiTheme="minorEastAsia" w:cs="Times New Roman"/>
          <w:sz w:val="24"/>
          <w:szCs w:val="24"/>
        </w:rPr>
        <w:t>本公司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选择与自身风险承受能力相匹配的产品，做理性的基金投资者，享受长期投资理财的快乐！</w:t>
      </w:r>
    </w:p>
    <w:p w:rsidR="00B77C8E" w:rsidRPr="00B77C8E" w:rsidRDefault="00B77C8E" w:rsidP="00B77C8E">
      <w:pPr>
        <w:spacing w:line="360" w:lineRule="auto"/>
        <w:ind w:firstLineChars="200" w:firstLine="480"/>
        <w:rPr>
          <w:rFonts w:asciiTheme="minorEastAsia" w:hAnsiTheme="minorEastAsia" w:cs="Times New Roman"/>
          <w:sz w:val="24"/>
          <w:szCs w:val="24"/>
        </w:rPr>
      </w:pPr>
      <w:r w:rsidRPr="00B77C8E">
        <w:rPr>
          <w:rFonts w:asciiTheme="minorEastAsia" w:hAnsiTheme="minorEastAsia" w:cs="Times New Roman"/>
          <w:sz w:val="24"/>
          <w:szCs w:val="24"/>
        </w:rPr>
        <w:t>特此公告！</w:t>
      </w:r>
    </w:p>
    <w:p w:rsidR="00B77C8E" w:rsidRPr="00B77C8E" w:rsidRDefault="00B77C8E" w:rsidP="00B77C8E">
      <w:pPr>
        <w:spacing w:line="360" w:lineRule="auto"/>
        <w:ind w:firstLineChars="200" w:firstLine="480"/>
        <w:rPr>
          <w:rFonts w:asciiTheme="minorEastAsia" w:hAnsiTheme="minorEastAsia" w:cs="Times New Roman"/>
          <w:sz w:val="24"/>
          <w:szCs w:val="24"/>
        </w:rPr>
      </w:pPr>
    </w:p>
    <w:p w:rsidR="00B77C8E" w:rsidRPr="00B77C8E" w:rsidRDefault="00B77C8E" w:rsidP="00A525A5">
      <w:pPr>
        <w:spacing w:line="360" w:lineRule="auto"/>
        <w:ind w:firstLineChars="200" w:firstLine="480"/>
        <w:jc w:val="right"/>
        <w:rPr>
          <w:rFonts w:asciiTheme="minorEastAsia" w:hAnsiTheme="minorEastAsia" w:cs="Times New Roman"/>
          <w:sz w:val="24"/>
          <w:szCs w:val="24"/>
        </w:rPr>
      </w:pPr>
      <w:r w:rsidRPr="00B77C8E">
        <w:rPr>
          <w:rFonts w:asciiTheme="minorEastAsia" w:hAnsiTheme="minorEastAsia" w:cs="Times New Roman"/>
          <w:sz w:val="24"/>
          <w:szCs w:val="24"/>
        </w:rPr>
        <w:t xml:space="preserve">                                                                                                                                                                                         新华基金管理股份有限公司                                                                                                                                                                                                 202</w:t>
      </w:r>
      <w:r w:rsidR="00A1135C">
        <w:rPr>
          <w:rFonts w:asciiTheme="minorEastAsia" w:hAnsiTheme="minorEastAsia" w:cs="Times New Roman"/>
          <w:sz w:val="24"/>
          <w:szCs w:val="24"/>
        </w:rPr>
        <w:t>5</w:t>
      </w:r>
      <w:r w:rsidRPr="00B77C8E">
        <w:rPr>
          <w:rFonts w:asciiTheme="minorEastAsia" w:hAnsiTheme="minorEastAsia" w:cs="Times New Roman"/>
          <w:sz w:val="24"/>
          <w:szCs w:val="24"/>
        </w:rPr>
        <w:t>年</w:t>
      </w:r>
      <w:r w:rsidR="008B4281">
        <w:rPr>
          <w:rFonts w:asciiTheme="minorEastAsia" w:hAnsiTheme="minorEastAsia" w:cs="Times New Roman"/>
          <w:sz w:val="24"/>
          <w:szCs w:val="24"/>
        </w:rPr>
        <w:t>12</w:t>
      </w:r>
      <w:r w:rsidRPr="00B77C8E">
        <w:rPr>
          <w:rFonts w:asciiTheme="minorEastAsia" w:hAnsiTheme="minorEastAsia" w:cs="Times New Roman"/>
          <w:sz w:val="24"/>
          <w:szCs w:val="24"/>
        </w:rPr>
        <w:t>月</w:t>
      </w:r>
      <w:r w:rsidR="00A1135C">
        <w:rPr>
          <w:rFonts w:asciiTheme="minorEastAsia" w:hAnsiTheme="minorEastAsia" w:cs="Times New Roman"/>
          <w:sz w:val="24"/>
          <w:szCs w:val="24"/>
        </w:rPr>
        <w:t>16</w:t>
      </w:r>
      <w:bookmarkStart w:id="3" w:name="_GoBack"/>
      <w:bookmarkEnd w:id="3"/>
      <w:r w:rsidRPr="00B77C8E">
        <w:rPr>
          <w:rFonts w:asciiTheme="minorEastAsia" w:hAnsiTheme="minorEastAsia" w:cs="Times New Roman"/>
          <w:sz w:val="24"/>
          <w:szCs w:val="24"/>
        </w:rPr>
        <w:t>日</w:t>
      </w:r>
    </w:p>
    <w:p w:rsidR="00B77C8E" w:rsidRPr="00B77C8E" w:rsidRDefault="00B77C8E" w:rsidP="00B77C8E">
      <w:pPr>
        <w:rPr>
          <w:rFonts w:ascii="Times New Roman" w:eastAsia="方正仿宋简体" w:hAnsi="Times New Roman" w:cs="Times New Roman"/>
          <w:sz w:val="32"/>
          <w:szCs w:val="20"/>
        </w:rPr>
      </w:pPr>
    </w:p>
    <w:p w:rsidR="007C779D" w:rsidRPr="00A525A5" w:rsidRDefault="007C779D"/>
    <w:sectPr w:rsidR="007C779D" w:rsidRPr="00A525A5" w:rsidSect="00A61E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F05" w:rsidRDefault="00E34F05" w:rsidP="00E94CAE">
      <w:r>
        <w:separator/>
      </w:r>
    </w:p>
  </w:endnote>
  <w:endnote w:type="continuationSeparator" w:id="0">
    <w:p w:rsidR="00E34F05" w:rsidRDefault="00E34F05" w:rsidP="00E94C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F05" w:rsidRDefault="00E34F05" w:rsidP="00E94CAE">
      <w:r>
        <w:separator/>
      </w:r>
    </w:p>
  </w:footnote>
  <w:footnote w:type="continuationSeparator" w:id="0">
    <w:p w:rsidR="00E34F05" w:rsidRDefault="00E34F05" w:rsidP="00E94C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529C"/>
    <w:rsid w:val="00003072"/>
    <w:rsid w:val="000436F8"/>
    <w:rsid w:val="000632E0"/>
    <w:rsid w:val="000D7719"/>
    <w:rsid w:val="00120D0A"/>
    <w:rsid w:val="00135429"/>
    <w:rsid w:val="001E7527"/>
    <w:rsid w:val="00221A7D"/>
    <w:rsid w:val="002311FF"/>
    <w:rsid w:val="00231B18"/>
    <w:rsid w:val="002B27D8"/>
    <w:rsid w:val="002D529C"/>
    <w:rsid w:val="002D5D04"/>
    <w:rsid w:val="002E7EBD"/>
    <w:rsid w:val="00350DB4"/>
    <w:rsid w:val="004505A9"/>
    <w:rsid w:val="0046429C"/>
    <w:rsid w:val="004E6051"/>
    <w:rsid w:val="004F3D14"/>
    <w:rsid w:val="004F5051"/>
    <w:rsid w:val="00512238"/>
    <w:rsid w:val="00552441"/>
    <w:rsid w:val="00575794"/>
    <w:rsid w:val="005C4CE2"/>
    <w:rsid w:val="005F34E2"/>
    <w:rsid w:val="00642E59"/>
    <w:rsid w:val="00663198"/>
    <w:rsid w:val="006B32CB"/>
    <w:rsid w:val="006B78AD"/>
    <w:rsid w:val="006D1721"/>
    <w:rsid w:val="006D6468"/>
    <w:rsid w:val="006F6881"/>
    <w:rsid w:val="00785629"/>
    <w:rsid w:val="00791230"/>
    <w:rsid w:val="00795AD4"/>
    <w:rsid w:val="007C779D"/>
    <w:rsid w:val="007E73DF"/>
    <w:rsid w:val="00817C51"/>
    <w:rsid w:val="00855AAF"/>
    <w:rsid w:val="008859BB"/>
    <w:rsid w:val="00887744"/>
    <w:rsid w:val="008878F8"/>
    <w:rsid w:val="008B4281"/>
    <w:rsid w:val="008E0750"/>
    <w:rsid w:val="008F0EA0"/>
    <w:rsid w:val="009312A3"/>
    <w:rsid w:val="00974786"/>
    <w:rsid w:val="00A1135C"/>
    <w:rsid w:val="00A34E59"/>
    <w:rsid w:val="00A35529"/>
    <w:rsid w:val="00A42B69"/>
    <w:rsid w:val="00A5019E"/>
    <w:rsid w:val="00A525A5"/>
    <w:rsid w:val="00A61E9B"/>
    <w:rsid w:val="00AC662B"/>
    <w:rsid w:val="00AF32B1"/>
    <w:rsid w:val="00B0664A"/>
    <w:rsid w:val="00B71085"/>
    <w:rsid w:val="00B77C8E"/>
    <w:rsid w:val="00B808E5"/>
    <w:rsid w:val="00B961FF"/>
    <w:rsid w:val="00BD3FF2"/>
    <w:rsid w:val="00C16EF7"/>
    <w:rsid w:val="00C37E0F"/>
    <w:rsid w:val="00C4069D"/>
    <w:rsid w:val="00C84D5B"/>
    <w:rsid w:val="00CA2962"/>
    <w:rsid w:val="00CB1682"/>
    <w:rsid w:val="00CD5D63"/>
    <w:rsid w:val="00D117A2"/>
    <w:rsid w:val="00D325B3"/>
    <w:rsid w:val="00D35397"/>
    <w:rsid w:val="00DD63F3"/>
    <w:rsid w:val="00E11CBE"/>
    <w:rsid w:val="00E34F05"/>
    <w:rsid w:val="00E94CAE"/>
    <w:rsid w:val="00EA4077"/>
    <w:rsid w:val="00EB7173"/>
    <w:rsid w:val="00EC4F4E"/>
    <w:rsid w:val="00F02659"/>
    <w:rsid w:val="00F16E7C"/>
    <w:rsid w:val="00F35169"/>
    <w:rsid w:val="00F4425B"/>
    <w:rsid w:val="00F51999"/>
    <w:rsid w:val="00F706E7"/>
    <w:rsid w:val="00F91A85"/>
    <w:rsid w:val="00FC5D04"/>
    <w:rsid w:val="00FE18EA"/>
    <w:rsid w:val="00FF62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E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4C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4CAE"/>
    <w:rPr>
      <w:sz w:val="18"/>
      <w:szCs w:val="18"/>
    </w:rPr>
  </w:style>
  <w:style w:type="paragraph" w:styleId="a4">
    <w:name w:val="footer"/>
    <w:basedOn w:val="a"/>
    <w:link w:val="Char0"/>
    <w:uiPriority w:val="99"/>
    <w:unhideWhenUsed/>
    <w:rsid w:val="00E94CAE"/>
    <w:pPr>
      <w:tabs>
        <w:tab w:val="center" w:pos="4153"/>
        <w:tab w:val="right" w:pos="8306"/>
      </w:tabs>
      <w:snapToGrid w:val="0"/>
      <w:jc w:val="left"/>
    </w:pPr>
    <w:rPr>
      <w:sz w:val="18"/>
      <w:szCs w:val="18"/>
    </w:rPr>
  </w:style>
  <w:style w:type="character" w:customStyle="1" w:styleId="Char0">
    <w:name w:val="页脚 Char"/>
    <w:basedOn w:val="a0"/>
    <w:link w:val="a4"/>
    <w:uiPriority w:val="99"/>
    <w:rsid w:val="00E94CAE"/>
    <w:rPr>
      <w:sz w:val="18"/>
      <w:szCs w:val="18"/>
    </w:rPr>
  </w:style>
</w:styles>
</file>

<file path=word/webSettings.xml><?xml version="1.0" encoding="utf-8"?>
<w:webSettings xmlns:r="http://schemas.openxmlformats.org/officeDocument/2006/relationships" xmlns:w="http://schemas.openxmlformats.org/wordprocessingml/2006/main">
  <w:divs>
    <w:div w:id="125776972">
      <w:bodyDiv w:val="1"/>
      <w:marLeft w:val="0"/>
      <w:marRight w:val="0"/>
      <w:marTop w:val="0"/>
      <w:marBottom w:val="0"/>
      <w:divBdr>
        <w:top w:val="none" w:sz="0" w:space="0" w:color="auto"/>
        <w:left w:val="none" w:sz="0" w:space="0" w:color="auto"/>
        <w:bottom w:val="none" w:sz="0" w:space="0" w:color="auto"/>
        <w:right w:val="none" w:sz="0" w:space="0" w:color="auto"/>
      </w:divBdr>
    </w:div>
    <w:div w:id="146017354">
      <w:bodyDiv w:val="1"/>
      <w:marLeft w:val="0"/>
      <w:marRight w:val="0"/>
      <w:marTop w:val="0"/>
      <w:marBottom w:val="0"/>
      <w:divBdr>
        <w:top w:val="none" w:sz="0" w:space="0" w:color="auto"/>
        <w:left w:val="none" w:sz="0" w:space="0" w:color="auto"/>
        <w:bottom w:val="none" w:sz="0" w:space="0" w:color="auto"/>
        <w:right w:val="none" w:sz="0" w:space="0" w:color="auto"/>
      </w:divBdr>
    </w:div>
    <w:div w:id="186220166">
      <w:bodyDiv w:val="1"/>
      <w:marLeft w:val="0"/>
      <w:marRight w:val="0"/>
      <w:marTop w:val="0"/>
      <w:marBottom w:val="0"/>
      <w:divBdr>
        <w:top w:val="none" w:sz="0" w:space="0" w:color="auto"/>
        <w:left w:val="none" w:sz="0" w:space="0" w:color="auto"/>
        <w:bottom w:val="none" w:sz="0" w:space="0" w:color="auto"/>
        <w:right w:val="none" w:sz="0" w:space="0" w:color="auto"/>
      </w:divBdr>
    </w:div>
    <w:div w:id="268926097">
      <w:bodyDiv w:val="1"/>
      <w:marLeft w:val="0"/>
      <w:marRight w:val="0"/>
      <w:marTop w:val="0"/>
      <w:marBottom w:val="0"/>
      <w:divBdr>
        <w:top w:val="none" w:sz="0" w:space="0" w:color="auto"/>
        <w:left w:val="none" w:sz="0" w:space="0" w:color="auto"/>
        <w:bottom w:val="none" w:sz="0" w:space="0" w:color="auto"/>
        <w:right w:val="none" w:sz="0" w:space="0" w:color="auto"/>
      </w:divBdr>
    </w:div>
    <w:div w:id="443504875">
      <w:bodyDiv w:val="1"/>
      <w:marLeft w:val="0"/>
      <w:marRight w:val="0"/>
      <w:marTop w:val="0"/>
      <w:marBottom w:val="0"/>
      <w:divBdr>
        <w:top w:val="none" w:sz="0" w:space="0" w:color="auto"/>
        <w:left w:val="none" w:sz="0" w:space="0" w:color="auto"/>
        <w:bottom w:val="none" w:sz="0" w:space="0" w:color="auto"/>
        <w:right w:val="none" w:sz="0" w:space="0" w:color="auto"/>
      </w:divBdr>
    </w:div>
    <w:div w:id="722219346">
      <w:bodyDiv w:val="1"/>
      <w:marLeft w:val="0"/>
      <w:marRight w:val="0"/>
      <w:marTop w:val="0"/>
      <w:marBottom w:val="0"/>
      <w:divBdr>
        <w:top w:val="none" w:sz="0" w:space="0" w:color="auto"/>
        <w:left w:val="none" w:sz="0" w:space="0" w:color="auto"/>
        <w:bottom w:val="none" w:sz="0" w:space="0" w:color="auto"/>
        <w:right w:val="none" w:sz="0" w:space="0" w:color="auto"/>
      </w:divBdr>
    </w:div>
    <w:div w:id="759135358">
      <w:bodyDiv w:val="1"/>
      <w:marLeft w:val="0"/>
      <w:marRight w:val="0"/>
      <w:marTop w:val="0"/>
      <w:marBottom w:val="0"/>
      <w:divBdr>
        <w:top w:val="none" w:sz="0" w:space="0" w:color="auto"/>
        <w:left w:val="none" w:sz="0" w:space="0" w:color="auto"/>
        <w:bottom w:val="none" w:sz="0" w:space="0" w:color="auto"/>
        <w:right w:val="none" w:sz="0" w:space="0" w:color="auto"/>
      </w:divBdr>
    </w:div>
    <w:div w:id="1047339224">
      <w:bodyDiv w:val="1"/>
      <w:marLeft w:val="0"/>
      <w:marRight w:val="0"/>
      <w:marTop w:val="0"/>
      <w:marBottom w:val="0"/>
      <w:divBdr>
        <w:top w:val="none" w:sz="0" w:space="0" w:color="auto"/>
        <w:left w:val="none" w:sz="0" w:space="0" w:color="auto"/>
        <w:bottom w:val="none" w:sz="0" w:space="0" w:color="auto"/>
        <w:right w:val="none" w:sz="0" w:space="0" w:color="auto"/>
      </w:divBdr>
    </w:div>
    <w:div w:id="1112092109">
      <w:bodyDiv w:val="1"/>
      <w:marLeft w:val="0"/>
      <w:marRight w:val="0"/>
      <w:marTop w:val="0"/>
      <w:marBottom w:val="0"/>
      <w:divBdr>
        <w:top w:val="none" w:sz="0" w:space="0" w:color="auto"/>
        <w:left w:val="none" w:sz="0" w:space="0" w:color="auto"/>
        <w:bottom w:val="none" w:sz="0" w:space="0" w:color="auto"/>
        <w:right w:val="none" w:sz="0" w:space="0" w:color="auto"/>
      </w:divBdr>
    </w:div>
    <w:div w:id="1155413960">
      <w:bodyDiv w:val="1"/>
      <w:marLeft w:val="0"/>
      <w:marRight w:val="0"/>
      <w:marTop w:val="0"/>
      <w:marBottom w:val="0"/>
      <w:divBdr>
        <w:top w:val="none" w:sz="0" w:space="0" w:color="auto"/>
        <w:left w:val="none" w:sz="0" w:space="0" w:color="auto"/>
        <w:bottom w:val="none" w:sz="0" w:space="0" w:color="auto"/>
        <w:right w:val="none" w:sz="0" w:space="0" w:color="auto"/>
      </w:divBdr>
    </w:div>
    <w:div w:id="1326977541">
      <w:bodyDiv w:val="1"/>
      <w:marLeft w:val="0"/>
      <w:marRight w:val="0"/>
      <w:marTop w:val="0"/>
      <w:marBottom w:val="0"/>
      <w:divBdr>
        <w:top w:val="none" w:sz="0" w:space="0" w:color="auto"/>
        <w:left w:val="none" w:sz="0" w:space="0" w:color="auto"/>
        <w:bottom w:val="none" w:sz="0" w:space="0" w:color="auto"/>
        <w:right w:val="none" w:sz="0" w:space="0" w:color="auto"/>
      </w:divBdr>
    </w:div>
    <w:div w:id="1471249500">
      <w:bodyDiv w:val="1"/>
      <w:marLeft w:val="0"/>
      <w:marRight w:val="0"/>
      <w:marTop w:val="0"/>
      <w:marBottom w:val="0"/>
      <w:divBdr>
        <w:top w:val="none" w:sz="0" w:space="0" w:color="auto"/>
        <w:left w:val="none" w:sz="0" w:space="0" w:color="auto"/>
        <w:bottom w:val="none" w:sz="0" w:space="0" w:color="auto"/>
        <w:right w:val="none" w:sz="0" w:space="0" w:color="auto"/>
      </w:divBdr>
    </w:div>
    <w:div w:id="1688604783">
      <w:bodyDiv w:val="1"/>
      <w:marLeft w:val="0"/>
      <w:marRight w:val="0"/>
      <w:marTop w:val="0"/>
      <w:marBottom w:val="0"/>
      <w:divBdr>
        <w:top w:val="none" w:sz="0" w:space="0" w:color="auto"/>
        <w:left w:val="none" w:sz="0" w:space="0" w:color="auto"/>
        <w:bottom w:val="none" w:sz="0" w:space="0" w:color="auto"/>
        <w:right w:val="none" w:sz="0" w:space="0" w:color="auto"/>
      </w:divBdr>
    </w:div>
    <w:div w:id="1708602636">
      <w:bodyDiv w:val="1"/>
      <w:marLeft w:val="0"/>
      <w:marRight w:val="0"/>
      <w:marTop w:val="0"/>
      <w:marBottom w:val="0"/>
      <w:divBdr>
        <w:top w:val="none" w:sz="0" w:space="0" w:color="auto"/>
        <w:left w:val="none" w:sz="0" w:space="0" w:color="auto"/>
        <w:bottom w:val="none" w:sz="0" w:space="0" w:color="auto"/>
        <w:right w:val="none" w:sz="0" w:space="0" w:color="auto"/>
      </w:divBdr>
    </w:div>
    <w:div w:id="1996493263">
      <w:bodyDiv w:val="1"/>
      <w:marLeft w:val="0"/>
      <w:marRight w:val="0"/>
      <w:marTop w:val="0"/>
      <w:marBottom w:val="0"/>
      <w:divBdr>
        <w:top w:val="none" w:sz="0" w:space="0" w:color="auto"/>
        <w:left w:val="none" w:sz="0" w:space="0" w:color="auto"/>
        <w:bottom w:val="none" w:sz="0" w:space="0" w:color="auto"/>
        <w:right w:val="none" w:sz="0" w:space="0" w:color="auto"/>
      </w:divBdr>
    </w:div>
    <w:div w:id="2041196525">
      <w:bodyDiv w:val="1"/>
      <w:marLeft w:val="0"/>
      <w:marRight w:val="0"/>
      <w:marTop w:val="0"/>
      <w:marBottom w:val="0"/>
      <w:divBdr>
        <w:top w:val="none" w:sz="0" w:space="0" w:color="auto"/>
        <w:left w:val="none" w:sz="0" w:space="0" w:color="auto"/>
        <w:bottom w:val="none" w:sz="0" w:space="0" w:color="auto"/>
        <w:right w:val="none" w:sz="0" w:space="0" w:color="auto"/>
      </w:divBdr>
    </w:div>
    <w:div w:id="20474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1636</Characters>
  <Application>Microsoft Office Word</Application>
  <DocSecurity>4</DocSecurity>
  <Lines>13</Lines>
  <Paragraphs>3</Paragraphs>
  <ScaleCrop>false</ScaleCrop>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ZHONGM</cp:lastModifiedBy>
  <cp:revision>2</cp:revision>
  <dcterms:created xsi:type="dcterms:W3CDTF">2025-12-15T16:00:00Z</dcterms:created>
  <dcterms:modified xsi:type="dcterms:W3CDTF">2025-12-15T16:00:00Z</dcterms:modified>
</cp:coreProperties>
</file>