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74" w:rsidRDefault="00683AF5" w:rsidP="00E047F2">
      <w:pPr>
        <w:widowControl/>
        <w:spacing w:line="360" w:lineRule="auto"/>
        <w:jc w:val="center"/>
        <w:rPr>
          <w:rFonts w:ascii="Arial" w:eastAsiaTheme="minorEastAsia" w:hAnsi="Arial" w:cs="Arial"/>
          <w:b/>
          <w:bCs/>
          <w:kern w:val="0"/>
          <w:sz w:val="28"/>
          <w:szCs w:val="28"/>
        </w:rPr>
      </w:pPr>
      <w:r w:rsidRPr="00773116">
        <w:rPr>
          <w:rFonts w:ascii="Arial" w:eastAsiaTheme="minorEastAsia" w:hAnsi="Arial" w:cs="Arial" w:hint="eastAsia"/>
          <w:b/>
          <w:bCs/>
          <w:kern w:val="0"/>
          <w:sz w:val="28"/>
          <w:szCs w:val="28"/>
        </w:rPr>
        <w:t>关于</w:t>
      </w:r>
      <w:r w:rsidR="00CB0D74" w:rsidRPr="00CB0D74">
        <w:rPr>
          <w:rFonts w:ascii="Arial" w:eastAsiaTheme="minorEastAsia" w:hAnsi="Arial" w:cs="Arial" w:hint="eastAsia"/>
          <w:b/>
          <w:bCs/>
          <w:kern w:val="0"/>
          <w:sz w:val="28"/>
          <w:szCs w:val="28"/>
        </w:rPr>
        <w:t>景顺长城中证</w:t>
      </w:r>
      <w:r w:rsidR="00CB0D74" w:rsidRPr="00CB0D74">
        <w:rPr>
          <w:rFonts w:ascii="Arial" w:eastAsiaTheme="minorEastAsia" w:hAnsi="Arial" w:cs="Arial" w:hint="eastAsia"/>
          <w:b/>
          <w:bCs/>
          <w:kern w:val="0"/>
          <w:sz w:val="28"/>
          <w:szCs w:val="28"/>
        </w:rPr>
        <w:t>500</w:t>
      </w:r>
      <w:r w:rsidR="00CB0D74" w:rsidRPr="00CB0D74">
        <w:rPr>
          <w:rFonts w:ascii="Arial" w:eastAsiaTheme="minorEastAsia" w:hAnsi="Arial" w:cs="Arial" w:hint="eastAsia"/>
          <w:b/>
          <w:bCs/>
          <w:kern w:val="0"/>
          <w:sz w:val="28"/>
          <w:szCs w:val="28"/>
        </w:rPr>
        <w:t>行业中性低波动指数型证券投资基金</w:t>
      </w:r>
      <w:r w:rsidRPr="00773116">
        <w:rPr>
          <w:rFonts w:ascii="Arial" w:eastAsiaTheme="minorEastAsia" w:hAnsi="Arial" w:cs="Arial" w:hint="eastAsia"/>
          <w:b/>
          <w:bCs/>
          <w:kern w:val="0"/>
          <w:sz w:val="28"/>
          <w:szCs w:val="28"/>
        </w:rPr>
        <w:t>新增</w:t>
      </w:r>
    </w:p>
    <w:p w:rsidR="0098471D" w:rsidRPr="00773116" w:rsidRDefault="00CB0D74" w:rsidP="00E047F2">
      <w:pPr>
        <w:widowControl/>
        <w:spacing w:line="360" w:lineRule="auto"/>
        <w:jc w:val="center"/>
        <w:rPr>
          <w:rFonts w:ascii="Arial" w:hAnsi="Arial" w:cs="Arial"/>
          <w:b/>
          <w:bCs/>
          <w:kern w:val="0"/>
          <w:sz w:val="28"/>
          <w:szCs w:val="28"/>
        </w:rPr>
      </w:pPr>
      <w:r>
        <w:rPr>
          <w:rFonts w:ascii="Arial" w:eastAsiaTheme="minorEastAsia" w:hAnsi="Arial" w:cs="Arial" w:hint="eastAsia"/>
          <w:b/>
          <w:bCs/>
          <w:kern w:val="0"/>
          <w:sz w:val="28"/>
          <w:szCs w:val="28"/>
        </w:rPr>
        <w:t>中国民生银行</w:t>
      </w:r>
      <w:r w:rsidR="00683AF5"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00683AF5"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CB0D74" w:rsidRPr="00CB0D74">
        <w:rPr>
          <w:rFonts w:ascii="Arial" w:hAnsi="Arial" w:cs="Arial" w:hint="eastAsia"/>
          <w:szCs w:val="21"/>
        </w:rPr>
        <w:t>中国民生银行股份有限公司</w:t>
      </w:r>
      <w:r w:rsidR="00AF2AB1" w:rsidRPr="001F07D5">
        <w:rPr>
          <w:rFonts w:ascii="Arial" w:hAnsi="Arial" w:cs="Arial"/>
          <w:szCs w:val="21"/>
        </w:rPr>
        <w:t>（以下简称</w:t>
      </w:r>
      <w:r w:rsidR="00AF2AB1" w:rsidRPr="001F07D5">
        <w:rPr>
          <w:rFonts w:ascii="Arial" w:hAnsi="Arial" w:cs="Arial"/>
          <w:szCs w:val="21"/>
        </w:rPr>
        <w:t>“</w:t>
      </w:r>
      <w:r w:rsidR="00CB0D74" w:rsidRPr="00CB0D74">
        <w:rPr>
          <w:rFonts w:ascii="Arial" w:hAnsi="Arial" w:cs="Arial" w:hint="eastAsia"/>
          <w:szCs w:val="21"/>
        </w:rPr>
        <w:t>中国民生银行</w:t>
      </w:r>
      <w:r w:rsidR="00AF2AB1" w:rsidRPr="001F07D5">
        <w:rPr>
          <w:rFonts w:ascii="Arial" w:hAnsi="Arial" w:cs="Arial"/>
          <w:szCs w:val="21"/>
        </w:rPr>
        <w:t>”</w:t>
      </w:r>
      <w:r w:rsidR="00AF2AB1" w:rsidRPr="001F07D5">
        <w:rPr>
          <w:rFonts w:ascii="Arial" w:hAnsi="Arial" w:cs="Arial"/>
          <w:szCs w:val="21"/>
        </w:rPr>
        <w:t>）签署的委托销售协议</w:t>
      </w:r>
      <w:r>
        <w:rPr>
          <w:rFonts w:ascii="Arial" w:hAnsi="Arial" w:cs="Arial" w:hint="eastAsia"/>
          <w:szCs w:val="21"/>
        </w:rPr>
        <w:t>，自</w:t>
      </w:r>
      <w:r>
        <w:rPr>
          <w:rFonts w:ascii="Arial" w:hAnsi="Arial" w:cs="Arial"/>
          <w:szCs w:val="21"/>
        </w:rPr>
        <w:t>2025</w:t>
      </w:r>
      <w:r>
        <w:rPr>
          <w:rFonts w:ascii="Arial" w:hAnsi="Arial" w:cs="Arial" w:hint="eastAsia"/>
          <w:szCs w:val="21"/>
        </w:rPr>
        <w:t>年</w:t>
      </w:r>
      <w:r w:rsidR="00AF2AB1">
        <w:rPr>
          <w:rFonts w:ascii="Arial" w:hAnsi="Arial" w:cs="Arial"/>
          <w:szCs w:val="21"/>
        </w:rPr>
        <w:t>12</w:t>
      </w:r>
      <w:r>
        <w:rPr>
          <w:rFonts w:ascii="Arial" w:hAnsi="Arial" w:cs="Arial" w:hint="eastAsia"/>
          <w:szCs w:val="21"/>
        </w:rPr>
        <w:t>月</w:t>
      </w:r>
      <w:r w:rsidR="007249CF">
        <w:rPr>
          <w:rFonts w:ascii="Arial" w:hAnsi="Arial" w:cs="Arial"/>
          <w:szCs w:val="21"/>
        </w:rPr>
        <w:t>1</w:t>
      </w:r>
      <w:r w:rsidR="00CB0D74">
        <w:rPr>
          <w:rFonts w:ascii="Arial" w:hAnsi="Arial" w:cs="Arial"/>
          <w:szCs w:val="21"/>
        </w:rPr>
        <w:t>5</w:t>
      </w:r>
      <w:r>
        <w:rPr>
          <w:rFonts w:ascii="Arial" w:hAnsi="Arial" w:cs="Arial" w:hint="eastAsia"/>
          <w:szCs w:val="21"/>
        </w:rPr>
        <w:t>日起新增委托</w:t>
      </w:r>
      <w:r w:rsidR="00CB0D74" w:rsidRPr="00CB0D74">
        <w:rPr>
          <w:rFonts w:ascii="Arial" w:hAnsi="Arial" w:cs="Arial" w:hint="eastAsia"/>
          <w:szCs w:val="21"/>
        </w:rPr>
        <w:t>中国民生银行</w:t>
      </w:r>
      <w:r>
        <w:rPr>
          <w:rFonts w:ascii="Arial" w:hAnsi="Arial" w:cs="Arial" w:hint="eastAsia"/>
          <w:szCs w:val="21"/>
        </w:rPr>
        <w:t>销售</w:t>
      </w:r>
      <w:r w:rsidRPr="00886B1B">
        <w:rPr>
          <w:rFonts w:ascii="Arial" w:hAnsi="Arial" w:cs="Arial" w:hint="eastAsia"/>
          <w:szCs w:val="21"/>
        </w:rPr>
        <w:t>本公司旗下</w:t>
      </w:r>
      <w:r w:rsidR="00CB0D74" w:rsidRPr="00CB0D74">
        <w:rPr>
          <w:rFonts w:ascii="Arial" w:hAnsi="Arial" w:cs="Arial" w:hint="eastAsia"/>
          <w:szCs w:val="21"/>
        </w:rPr>
        <w:t>景顺长城中证</w:t>
      </w:r>
      <w:r w:rsidR="00CB0D74" w:rsidRPr="00CB0D74">
        <w:rPr>
          <w:rFonts w:ascii="Arial" w:hAnsi="Arial" w:cs="Arial" w:hint="eastAsia"/>
          <w:szCs w:val="21"/>
        </w:rPr>
        <w:t>500</w:t>
      </w:r>
      <w:r w:rsidR="00CB0D74" w:rsidRPr="00CB0D74">
        <w:rPr>
          <w:rFonts w:ascii="Arial" w:hAnsi="Arial" w:cs="Arial" w:hint="eastAsia"/>
          <w:szCs w:val="21"/>
        </w:rPr>
        <w:t>行业中性低波动指数型证券投资基金</w:t>
      </w:r>
      <w:r>
        <w:rPr>
          <w:rFonts w:ascii="Arial" w:hAnsi="Arial" w:cs="Arial" w:hint="eastAsia"/>
          <w:szCs w:val="21"/>
        </w:rPr>
        <w:t>，具体的业务流程、业务开通情况、办理时间、办理方式及费率优惠情况以</w:t>
      </w:r>
      <w:r w:rsidR="00CB0D74" w:rsidRPr="00CB0D74">
        <w:rPr>
          <w:rFonts w:ascii="Arial" w:hAnsi="Arial" w:cs="Arial" w:hint="eastAsia"/>
          <w:szCs w:val="21"/>
        </w:rPr>
        <w:t>中国民生银行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8359" w:type="dxa"/>
        <w:tblLook w:val="04A0"/>
      </w:tblPr>
      <w:tblGrid>
        <w:gridCol w:w="1413"/>
        <w:gridCol w:w="6946"/>
      </w:tblGrid>
      <w:tr w:rsidR="00585BE8" w:rsidRPr="00585BE8" w:rsidTr="00585BE8">
        <w:trPr>
          <w:trHeight w:val="255"/>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代码</w:t>
            </w:r>
          </w:p>
        </w:tc>
        <w:tc>
          <w:tcPr>
            <w:tcW w:w="6946" w:type="dxa"/>
            <w:tcBorders>
              <w:top w:val="single" w:sz="4" w:space="0" w:color="000000"/>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名称</w:t>
            </w:r>
          </w:p>
        </w:tc>
      </w:tr>
      <w:tr w:rsidR="00AF2AB1" w:rsidRPr="00585BE8" w:rsidTr="001F2F40">
        <w:trPr>
          <w:trHeight w:val="255"/>
        </w:trPr>
        <w:tc>
          <w:tcPr>
            <w:tcW w:w="1413" w:type="dxa"/>
            <w:tcBorders>
              <w:top w:val="nil"/>
              <w:left w:val="single" w:sz="4" w:space="0" w:color="000000"/>
              <w:bottom w:val="single" w:sz="4" w:space="0" w:color="000000"/>
              <w:right w:val="single" w:sz="4" w:space="0" w:color="000000"/>
            </w:tcBorders>
            <w:shd w:val="clear" w:color="auto" w:fill="auto"/>
            <w:noWrap/>
            <w:hideMark/>
          </w:tcPr>
          <w:p w:rsidR="00AF2AB1" w:rsidRPr="00585BE8" w:rsidRDefault="00CB0D74" w:rsidP="00AF2AB1">
            <w:pPr>
              <w:widowControl/>
              <w:jc w:val="center"/>
              <w:rPr>
                <w:rFonts w:ascii="Arial" w:eastAsiaTheme="majorEastAsia" w:hAnsi="Arial" w:cs="Arial"/>
                <w:kern w:val="0"/>
                <w:szCs w:val="21"/>
              </w:rPr>
            </w:pPr>
            <w:r>
              <w:rPr>
                <w:rFonts w:ascii="Arial" w:eastAsiaTheme="majorEastAsia" w:hAnsi="Arial" w:cs="Arial"/>
                <w:kern w:val="0"/>
                <w:szCs w:val="21"/>
              </w:rPr>
              <w:t>003318</w:t>
            </w:r>
          </w:p>
        </w:tc>
        <w:tc>
          <w:tcPr>
            <w:tcW w:w="6946" w:type="dxa"/>
            <w:tcBorders>
              <w:top w:val="nil"/>
              <w:left w:val="nil"/>
              <w:bottom w:val="single" w:sz="4" w:space="0" w:color="000000"/>
              <w:right w:val="single" w:sz="4" w:space="0" w:color="000000"/>
            </w:tcBorders>
            <w:shd w:val="clear" w:color="auto" w:fill="auto"/>
            <w:noWrap/>
            <w:hideMark/>
          </w:tcPr>
          <w:p w:rsidR="00AF2AB1" w:rsidRPr="00585BE8" w:rsidRDefault="00CB0D74" w:rsidP="004D2BEB">
            <w:pPr>
              <w:widowControl/>
              <w:jc w:val="center"/>
              <w:rPr>
                <w:rFonts w:ascii="Arial" w:eastAsiaTheme="majorEastAsia" w:hAnsi="Arial" w:cs="Arial"/>
                <w:kern w:val="0"/>
                <w:szCs w:val="21"/>
              </w:rPr>
            </w:pPr>
            <w:r w:rsidRPr="00CB0D74">
              <w:rPr>
                <w:rFonts w:ascii="Arial" w:hAnsi="Arial" w:cs="Arial" w:hint="eastAsia"/>
                <w:szCs w:val="21"/>
              </w:rPr>
              <w:t>景顺长城中证</w:t>
            </w:r>
            <w:r w:rsidRPr="00CB0D74">
              <w:rPr>
                <w:rFonts w:ascii="Arial" w:hAnsi="Arial" w:cs="Arial" w:hint="eastAsia"/>
                <w:szCs w:val="21"/>
              </w:rPr>
              <w:t>500</w:t>
            </w:r>
            <w:r w:rsidRPr="00CB0D74">
              <w:rPr>
                <w:rFonts w:ascii="Arial" w:hAnsi="Arial" w:cs="Arial" w:hint="eastAsia"/>
                <w:szCs w:val="21"/>
              </w:rPr>
              <w:t>行业中性低波动指数型证券投资基金</w:t>
            </w:r>
            <w:r w:rsidR="00AF2AB1" w:rsidRPr="00AF2AB1">
              <w:rPr>
                <w:rFonts w:ascii="Arial" w:eastAsiaTheme="majorEastAsia" w:hAnsi="Arial" w:cs="Arial" w:hint="eastAsia"/>
                <w:kern w:val="0"/>
                <w:szCs w:val="21"/>
              </w:rPr>
              <w:t>A</w:t>
            </w:r>
          </w:p>
        </w:tc>
      </w:tr>
      <w:tr w:rsidR="00AF2AB1" w:rsidRPr="00585BE8" w:rsidTr="001F2F40">
        <w:trPr>
          <w:trHeight w:val="255"/>
        </w:trPr>
        <w:tc>
          <w:tcPr>
            <w:tcW w:w="1413" w:type="dxa"/>
            <w:tcBorders>
              <w:top w:val="nil"/>
              <w:left w:val="single" w:sz="4" w:space="0" w:color="000000"/>
              <w:bottom w:val="single" w:sz="4" w:space="0" w:color="000000"/>
              <w:right w:val="single" w:sz="4" w:space="0" w:color="000000"/>
            </w:tcBorders>
            <w:shd w:val="clear" w:color="auto" w:fill="auto"/>
            <w:noWrap/>
            <w:hideMark/>
          </w:tcPr>
          <w:p w:rsidR="00AF2AB1" w:rsidRPr="00585BE8" w:rsidRDefault="00CB0D74" w:rsidP="00AF2AB1">
            <w:pPr>
              <w:widowControl/>
              <w:jc w:val="center"/>
              <w:rPr>
                <w:rFonts w:ascii="Arial" w:eastAsiaTheme="majorEastAsia" w:hAnsi="Arial" w:cs="Arial"/>
                <w:kern w:val="0"/>
                <w:szCs w:val="21"/>
              </w:rPr>
            </w:pPr>
            <w:r w:rsidRPr="00CB0D74">
              <w:rPr>
                <w:rFonts w:ascii="Arial" w:eastAsiaTheme="majorEastAsia" w:hAnsi="Arial" w:cs="Arial"/>
                <w:kern w:val="0"/>
                <w:szCs w:val="21"/>
              </w:rPr>
              <w:t>019359</w:t>
            </w:r>
          </w:p>
        </w:tc>
        <w:tc>
          <w:tcPr>
            <w:tcW w:w="6946" w:type="dxa"/>
            <w:tcBorders>
              <w:top w:val="nil"/>
              <w:left w:val="nil"/>
              <w:bottom w:val="single" w:sz="4" w:space="0" w:color="000000"/>
              <w:right w:val="single" w:sz="4" w:space="0" w:color="000000"/>
            </w:tcBorders>
            <w:shd w:val="clear" w:color="auto" w:fill="auto"/>
            <w:noWrap/>
            <w:hideMark/>
          </w:tcPr>
          <w:p w:rsidR="00AF2AB1" w:rsidRPr="00585BE8" w:rsidRDefault="00CB0D74" w:rsidP="00AF2AB1">
            <w:pPr>
              <w:widowControl/>
              <w:jc w:val="center"/>
              <w:rPr>
                <w:rFonts w:ascii="Arial" w:eastAsiaTheme="majorEastAsia" w:hAnsi="Arial" w:cs="Arial"/>
                <w:kern w:val="0"/>
                <w:szCs w:val="21"/>
              </w:rPr>
            </w:pPr>
            <w:r w:rsidRPr="00CB0D74">
              <w:rPr>
                <w:rFonts w:ascii="Arial" w:hAnsi="Arial" w:cs="Arial" w:hint="eastAsia"/>
                <w:szCs w:val="21"/>
              </w:rPr>
              <w:t>景顺长城中证</w:t>
            </w:r>
            <w:r w:rsidRPr="00CB0D74">
              <w:rPr>
                <w:rFonts w:ascii="Arial" w:hAnsi="Arial" w:cs="Arial" w:hint="eastAsia"/>
                <w:szCs w:val="21"/>
              </w:rPr>
              <w:t>500</w:t>
            </w:r>
            <w:r w:rsidRPr="00CB0D74">
              <w:rPr>
                <w:rFonts w:ascii="Arial" w:hAnsi="Arial" w:cs="Arial" w:hint="eastAsia"/>
                <w:szCs w:val="21"/>
              </w:rPr>
              <w:t>行业中性低波动指数型证券投资基金</w:t>
            </w:r>
            <w:r w:rsidR="00AF2AB1" w:rsidRPr="00AF2AB1">
              <w:rPr>
                <w:rFonts w:ascii="Arial" w:eastAsiaTheme="majorEastAsia" w:hAnsi="Arial" w:cs="Arial" w:hint="eastAsia"/>
                <w:kern w:val="0"/>
                <w:szCs w:val="21"/>
              </w:rPr>
              <w:t>C</w:t>
            </w:r>
          </w:p>
        </w:tc>
      </w:tr>
    </w:tbl>
    <w:p w:rsidR="004F0132" w:rsidRPr="00585BE8"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0246A8" w:rsidRPr="001F07D5" w:rsidRDefault="000246A8" w:rsidP="000246A8">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00CB0D74" w:rsidRPr="00CB0D74">
        <w:rPr>
          <w:rFonts w:ascii="Arial" w:hAnsi="Arial" w:cs="Arial" w:hint="eastAsia"/>
          <w:kern w:val="0"/>
          <w:szCs w:val="21"/>
        </w:rPr>
        <w:t>中国民生银行股份有限公司</w:t>
      </w:r>
    </w:p>
    <w:p w:rsidR="00CB0D74" w:rsidRPr="00CB0D74"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注册（办公）地址：北京市西城区复兴门内大街</w:t>
      </w:r>
      <w:r w:rsidRPr="00CB0D74">
        <w:rPr>
          <w:rFonts w:ascii="Arial" w:hAnsi="Arial" w:cs="Arial" w:hint="eastAsia"/>
          <w:kern w:val="0"/>
          <w:szCs w:val="21"/>
        </w:rPr>
        <w:t>2</w:t>
      </w:r>
      <w:r w:rsidRPr="00CB0D74">
        <w:rPr>
          <w:rFonts w:ascii="Arial" w:hAnsi="Arial" w:cs="Arial" w:hint="eastAsia"/>
          <w:kern w:val="0"/>
          <w:szCs w:val="21"/>
        </w:rPr>
        <w:t>号</w:t>
      </w:r>
      <w:r w:rsidRPr="00CB0D74">
        <w:rPr>
          <w:rFonts w:ascii="Arial" w:hAnsi="Arial" w:cs="Arial" w:hint="eastAsia"/>
          <w:kern w:val="0"/>
          <w:szCs w:val="21"/>
        </w:rPr>
        <w:t xml:space="preserve">    </w:t>
      </w:r>
    </w:p>
    <w:p w:rsidR="00CB0D74" w:rsidRPr="00CB0D74"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法定代表人：高迎欣</w:t>
      </w:r>
    </w:p>
    <w:p w:rsidR="00CB0D74" w:rsidRPr="00CB0D74"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联系人：穆婷</w:t>
      </w:r>
    </w:p>
    <w:p w:rsidR="00CB0D74" w:rsidRPr="00CB0D74"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联系电话：</w:t>
      </w:r>
      <w:r w:rsidRPr="00CB0D74">
        <w:rPr>
          <w:rFonts w:ascii="Arial" w:hAnsi="Arial" w:cs="Arial" w:hint="eastAsia"/>
          <w:kern w:val="0"/>
          <w:szCs w:val="21"/>
        </w:rPr>
        <w:t>010-58560666</w:t>
      </w:r>
    </w:p>
    <w:p w:rsidR="00CB0D74" w:rsidRPr="00CB0D74"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传真：</w:t>
      </w:r>
      <w:r w:rsidRPr="00CB0D74">
        <w:rPr>
          <w:rFonts w:ascii="Arial" w:hAnsi="Arial" w:cs="Arial" w:hint="eastAsia"/>
          <w:kern w:val="0"/>
          <w:szCs w:val="21"/>
        </w:rPr>
        <w:t>010-57092611</w:t>
      </w:r>
    </w:p>
    <w:p w:rsidR="00CB0D74" w:rsidRPr="00CB0D74"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客户服务热线：</w:t>
      </w:r>
      <w:r w:rsidRPr="00CB0D74">
        <w:rPr>
          <w:rFonts w:ascii="Arial" w:hAnsi="Arial" w:cs="Arial" w:hint="eastAsia"/>
          <w:kern w:val="0"/>
          <w:szCs w:val="21"/>
        </w:rPr>
        <w:t>95568</w:t>
      </w:r>
    </w:p>
    <w:p w:rsidR="000246A8"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网址：</w:t>
      </w:r>
      <w:r w:rsidRPr="00CB0D74">
        <w:rPr>
          <w:rFonts w:ascii="Arial" w:hAnsi="Arial" w:cs="Arial" w:hint="eastAsia"/>
          <w:kern w:val="0"/>
          <w:szCs w:val="21"/>
        </w:rPr>
        <w:t>www.cmbc.com.cn</w:t>
      </w:r>
    </w:p>
    <w:p w:rsidR="007249CF" w:rsidRDefault="007249CF" w:rsidP="007249CF">
      <w:pPr>
        <w:widowControl/>
        <w:spacing w:line="360" w:lineRule="auto"/>
        <w:ind w:firstLineChars="200" w:firstLine="420"/>
        <w:jc w:val="left"/>
        <w:rPr>
          <w:rFonts w:ascii="Arial" w:hAnsi="Arial" w:cs="Arial"/>
          <w:kern w:val="0"/>
          <w:szCs w:val="21"/>
        </w:rPr>
      </w:pPr>
    </w:p>
    <w:p w:rsidR="00EF4BB2" w:rsidRDefault="002B7241" w:rsidP="00B84339">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w:t>
      </w:r>
      <w:r w:rsidR="005D4255" w:rsidRPr="005D4255">
        <w:rPr>
          <w:rFonts w:ascii="Arial" w:hAnsi="Arial" w:cs="Arial" w:hint="eastAsia"/>
          <w:szCs w:val="21"/>
        </w:rPr>
        <w:lastRenderedPageBreak/>
        <w:t>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CB0D74" w:rsidRPr="001F07D5" w:rsidRDefault="00EF4360" w:rsidP="00CB0D74">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CB0D74" w:rsidRPr="00CB0D74">
        <w:rPr>
          <w:rFonts w:ascii="Arial" w:hAnsi="Arial" w:cs="Arial" w:hint="eastAsia"/>
          <w:kern w:val="0"/>
          <w:szCs w:val="21"/>
        </w:rPr>
        <w:t>中国民生银行股份有限公司</w:t>
      </w:r>
    </w:p>
    <w:p w:rsidR="00CB0D74" w:rsidRPr="00CB0D74"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客户服务热线：</w:t>
      </w:r>
      <w:r w:rsidRPr="00CB0D74">
        <w:rPr>
          <w:rFonts w:ascii="Arial" w:hAnsi="Arial" w:cs="Arial" w:hint="eastAsia"/>
          <w:kern w:val="0"/>
          <w:szCs w:val="21"/>
        </w:rPr>
        <w:t>95568</w:t>
      </w:r>
    </w:p>
    <w:p w:rsidR="000237E9" w:rsidRDefault="00CB0D74" w:rsidP="00CB0D74">
      <w:pPr>
        <w:widowControl/>
        <w:spacing w:line="360" w:lineRule="auto"/>
        <w:ind w:firstLineChars="200" w:firstLine="420"/>
        <w:jc w:val="left"/>
        <w:rPr>
          <w:rFonts w:ascii="Arial" w:hAnsi="Arial" w:cs="Arial"/>
          <w:kern w:val="0"/>
          <w:szCs w:val="21"/>
        </w:rPr>
      </w:pPr>
      <w:r w:rsidRPr="00CB0D74">
        <w:rPr>
          <w:rFonts w:ascii="Arial" w:hAnsi="Arial" w:cs="Arial" w:hint="eastAsia"/>
          <w:kern w:val="0"/>
          <w:szCs w:val="21"/>
        </w:rPr>
        <w:t>网址：</w:t>
      </w:r>
      <w:hyperlink r:id="rId8" w:history="1">
        <w:r w:rsidRPr="00A75044">
          <w:rPr>
            <w:rStyle w:val="a8"/>
            <w:rFonts w:ascii="Arial" w:hAnsi="Arial" w:cs="Arial" w:hint="eastAsia"/>
            <w:kern w:val="0"/>
            <w:szCs w:val="21"/>
          </w:rPr>
          <w:t>www.cmbc.com.cn</w:t>
        </w:r>
      </w:hyperlink>
    </w:p>
    <w:p w:rsidR="00CB0D74" w:rsidRPr="007249CF" w:rsidRDefault="00CB0D74" w:rsidP="00CB0D74">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0246A8">
        <w:rPr>
          <w:rFonts w:ascii="Arial" w:hAnsi="Arial" w:cs="Arial" w:hint="eastAsia"/>
          <w:kern w:val="0"/>
          <w:szCs w:val="21"/>
        </w:rPr>
        <w:t>二</w:t>
      </w:r>
      <w:r w:rsidR="00527CFF" w:rsidRPr="00FD5083">
        <w:rPr>
          <w:rFonts w:ascii="Arial" w:hAnsi="Arial" w:cs="Arial"/>
          <w:kern w:val="0"/>
          <w:szCs w:val="21"/>
        </w:rPr>
        <w:t>月</w:t>
      </w:r>
      <w:r w:rsidR="007249CF">
        <w:rPr>
          <w:rFonts w:ascii="Arial" w:hAnsi="Arial" w:cs="Arial" w:hint="eastAsia"/>
          <w:kern w:val="0"/>
          <w:szCs w:val="21"/>
        </w:rPr>
        <w:t>十</w:t>
      </w:r>
      <w:r w:rsidR="00CB0D74">
        <w:rPr>
          <w:rFonts w:ascii="Arial" w:hAnsi="Arial" w:cs="Arial" w:hint="eastAsia"/>
          <w:kern w:val="0"/>
          <w:szCs w:val="21"/>
        </w:rPr>
        <w:t>五</w:t>
      </w:r>
      <w:bookmarkStart w:id="0" w:name="_GoBack"/>
      <w:bookmarkEnd w:id="0"/>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18B" w:rsidRDefault="002B518B" w:rsidP="008E6554">
      <w:r>
        <w:separator/>
      </w:r>
    </w:p>
  </w:endnote>
  <w:endnote w:type="continuationSeparator" w:id="0">
    <w:p w:rsidR="002B518B" w:rsidRDefault="002B518B"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18B" w:rsidRDefault="002B518B" w:rsidP="008E6554">
      <w:r>
        <w:separator/>
      </w:r>
    </w:p>
  </w:footnote>
  <w:footnote w:type="continuationSeparator" w:id="0">
    <w:p w:rsidR="002B518B" w:rsidRDefault="002B518B"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246A8"/>
    <w:rsid w:val="00032518"/>
    <w:rsid w:val="00044302"/>
    <w:rsid w:val="00047E91"/>
    <w:rsid w:val="00050352"/>
    <w:rsid w:val="00050DD0"/>
    <w:rsid w:val="000528B7"/>
    <w:rsid w:val="0006655E"/>
    <w:rsid w:val="000711A8"/>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308"/>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518B"/>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06BF6"/>
    <w:rsid w:val="003202FA"/>
    <w:rsid w:val="0032048C"/>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2BEB"/>
    <w:rsid w:val="004D7080"/>
    <w:rsid w:val="004F0132"/>
    <w:rsid w:val="004F4BE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85BE8"/>
    <w:rsid w:val="00590695"/>
    <w:rsid w:val="00593312"/>
    <w:rsid w:val="0059480F"/>
    <w:rsid w:val="00596767"/>
    <w:rsid w:val="005A0838"/>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249CF"/>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AF9"/>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C6A6E"/>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AF2AB1"/>
    <w:rsid w:val="00AF7BF0"/>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57E4"/>
    <w:rsid w:val="00C06895"/>
    <w:rsid w:val="00C11517"/>
    <w:rsid w:val="00C11C82"/>
    <w:rsid w:val="00C22499"/>
    <w:rsid w:val="00C229F4"/>
    <w:rsid w:val="00C22DC9"/>
    <w:rsid w:val="00C35F6A"/>
    <w:rsid w:val="00C405EC"/>
    <w:rsid w:val="00C4350D"/>
    <w:rsid w:val="00C53026"/>
    <w:rsid w:val="00C62558"/>
    <w:rsid w:val="00C63875"/>
    <w:rsid w:val="00C7034F"/>
    <w:rsid w:val="00C71454"/>
    <w:rsid w:val="00C77876"/>
    <w:rsid w:val="00C80DB6"/>
    <w:rsid w:val="00C816E4"/>
    <w:rsid w:val="00C83A06"/>
    <w:rsid w:val="00C83B07"/>
    <w:rsid w:val="00C84AB3"/>
    <w:rsid w:val="00C87754"/>
    <w:rsid w:val="00C91010"/>
    <w:rsid w:val="00C930D5"/>
    <w:rsid w:val="00C94AEA"/>
    <w:rsid w:val="00C95E03"/>
    <w:rsid w:val="00C978D0"/>
    <w:rsid w:val="00CA0DBB"/>
    <w:rsid w:val="00CA7963"/>
    <w:rsid w:val="00CB095C"/>
    <w:rsid w:val="00CB0D74"/>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647"/>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232E"/>
    <w:rsid w:val="00E5401E"/>
    <w:rsid w:val="00E60F88"/>
    <w:rsid w:val="00E6250C"/>
    <w:rsid w:val="00E630AD"/>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3772"/>
    <w:rsid w:val="00F14B04"/>
    <w:rsid w:val="00F20F30"/>
    <w:rsid w:val="00F22AB3"/>
    <w:rsid w:val="00F2448B"/>
    <w:rsid w:val="00F32CBF"/>
    <w:rsid w:val="00F343D0"/>
    <w:rsid w:val="00F34693"/>
    <w:rsid w:val="00F401A7"/>
    <w:rsid w:val="00F41F6C"/>
    <w:rsid w:val="00F42F90"/>
    <w:rsid w:val="00F44FAE"/>
    <w:rsid w:val="00F476F3"/>
    <w:rsid w:val="00F5481C"/>
    <w:rsid w:val="00F61E79"/>
    <w:rsid w:val="00F646A8"/>
    <w:rsid w:val="00F73F6D"/>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9911069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521821308">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798598614">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880169618">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bc.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44C9C4-4674-45E7-9284-5A412826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223</Words>
  <Characters>1277</Characters>
  <Application>Microsoft Office Word</Application>
  <DocSecurity>4</DocSecurity>
  <Lines>10</Lines>
  <Paragraphs>2</Paragraphs>
  <ScaleCrop>false</ScaleCrop>
  <Company>JDJR</Company>
  <LinksUpToDate>false</LinksUpToDate>
  <CharactersWithSpaces>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2025-12-14T16:01:00Z</dcterms:created>
  <dcterms:modified xsi:type="dcterms:W3CDTF">2025-12-14T16:01:00Z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