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CE" w:rsidRDefault="006F7DCE">
      <w:pPr>
        <w:snapToGrid w:val="0"/>
        <w:spacing w:line="300" w:lineRule="auto"/>
        <w:jc w:val="center"/>
        <w:rPr>
          <w:rFonts w:ascii="宋体" w:hAnsi="宋体"/>
          <w:b/>
          <w:sz w:val="24"/>
          <w:szCs w:val="24"/>
        </w:rPr>
      </w:pPr>
      <w:r>
        <w:rPr>
          <w:rFonts w:ascii="宋体" w:hAnsi="宋体"/>
          <w:b/>
          <w:sz w:val="24"/>
          <w:szCs w:val="24"/>
        </w:rPr>
        <w:t>永赢邦利债券型证券投资基金恢复办理</w:t>
      </w:r>
      <w:r w:rsidR="00911115">
        <w:rPr>
          <w:rFonts w:ascii="宋体" w:hAnsi="宋体" w:hint="eastAsia"/>
          <w:b/>
          <w:sz w:val="24"/>
          <w:szCs w:val="24"/>
        </w:rPr>
        <w:t>个人投资者</w:t>
      </w:r>
      <w:r>
        <w:rPr>
          <w:rFonts w:ascii="宋体" w:hAnsi="宋体"/>
          <w:b/>
          <w:sz w:val="24"/>
          <w:szCs w:val="24"/>
        </w:rPr>
        <w:t>申购、转换转入及定期定额投资业务的公告</w:t>
      </w:r>
    </w:p>
    <w:p w:rsidR="006F7DCE" w:rsidRDefault="006F7DCE">
      <w:pPr>
        <w:spacing w:line="360" w:lineRule="auto"/>
        <w:ind w:firstLine="480"/>
        <w:jc w:val="center"/>
      </w:pPr>
      <w:r>
        <w:rPr>
          <w:rFonts w:ascii="宋体" w:hAnsi="宋体" w:hint="eastAsia"/>
          <w:sz w:val="24"/>
          <w:szCs w:val="24"/>
        </w:rPr>
        <w:t>公告送出日期：</w:t>
      </w:r>
      <w:r>
        <w:rPr>
          <w:rFonts w:ascii="宋体" w:hAnsi="宋体"/>
          <w:sz w:val="24"/>
          <w:szCs w:val="24"/>
        </w:rPr>
        <w:t>2025年12月15日</w:t>
      </w:r>
    </w:p>
    <w:p w:rsidR="006F7DCE" w:rsidRDefault="006F7DCE">
      <w:r>
        <w:rPr>
          <w:rFonts w:ascii="宋体" w:hAnsi="宋体" w:hint="eastAsia"/>
          <w:b/>
          <w:sz w:val="24"/>
          <w:szCs w:val="24"/>
        </w:rPr>
        <w:t>1 公告基本信息</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069"/>
        <w:gridCol w:w="3194"/>
        <w:gridCol w:w="3693"/>
      </w:tblGrid>
      <w:tr w:rsidR="006F7DCE">
        <w:trPr>
          <w:cnfStyle w:val="100000000000"/>
          <w:jc w:val="center"/>
        </w:trPr>
        <w:tc>
          <w:tcPr>
            <w:cnfStyle w:val="0010000001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基金名称</w:t>
            </w:r>
          </w:p>
        </w:tc>
        <w:tc>
          <w:tcPr>
            <w:tcW w:w="12390" w:type="dxa"/>
            <w:gridSpan w:val="2"/>
            <w:shd w:val="clear" w:color="auto" w:fill="auto"/>
            <w:vAlign w:val="center"/>
          </w:tcPr>
          <w:p w:rsidR="006F7DCE" w:rsidRDefault="006F7DCE">
            <w:pPr>
              <w:spacing w:before="29" w:line="288" w:lineRule="auto"/>
              <w:ind w:left="15"/>
              <w:jc w:val="left"/>
              <w:cnfStyle w:val="100000000000"/>
              <w:rPr>
                <w:rFonts w:ascii="宋体" w:cs="宋体"/>
                <w:color w:val="000000"/>
                <w:sz w:val="24"/>
                <w:szCs w:val="24"/>
              </w:rPr>
            </w:pPr>
            <w:r>
              <w:rPr>
                <w:rFonts w:ascii="宋体" w:hAnsi="宋体"/>
                <w:sz w:val="24"/>
                <w:szCs w:val="24"/>
              </w:rPr>
              <w:t>永赢邦利债券型证券投资基金</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基金简称</w:t>
            </w:r>
          </w:p>
        </w:tc>
        <w:tc>
          <w:tcPr>
            <w:tcW w:w="12390" w:type="dxa"/>
            <w:gridSpan w:val="2"/>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永赢邦利债券</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基金主代码</w:t>
            </w:r>
          </w:p>
        </w:tc>
        <w:tc>
          <w:tcPr>
            <w:tcW w:w="12390" w:type="dxa"/>
            <w:gridSpan w:val="2"/>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008558</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基金管理人名称</w:t>
            </w:r>
          </w:p>
        </w:tc>
        <w:tc>
          <w:tcPr>
            <w:tcW w:w="12390" w:type="dxa"/>
            <w:gridSpan w:val="2"/>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永赢基金管理有限公司</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公告依据</w:t>
            </w:r>
          </w:p>
        </w:tc>
        <w:tc>
          <w:tcPr>
            <w:tcW w:w="12390" w:type="dxa"/>
            <w:gridSpan w:val="2"/>
            <w:shd w:val="clear" w:color="auto" w:fill="auto"/>
            <w:vAlign w:val="center"/>
          </w:tcPr>
          <w:p w:rsidR="006F7DCE" w:rsidRDefault="006F7DCE">
            <w:pPr>
              <w:spacing w:before="29" w:line="288" w:lineRule="auto"/>
              <w:ind w:left="15"/>
              <w:jc w:val="left"/>
              <w:cnfStyle w:val="000000000000"/>
              <w:rPr>
                <w:rFonts w:ascii="宋体" w:cs="宋体"/>
                <w:color w:val="000000"/>
              </w:rPr>
            </w:pPr>
            <w:r>
              <w:rPr>
                <w:rFonts w:ascii="宋体" w:hAnsi="宋体"/>
                <w:sz w:val="24"/>
                <w:szCs w:val="24"/>
              </w:rPr>
              <w:t>《公开募集证券投资基金信息披露管理办法》、《永赢邦利债券型证券投资基金基金合同》、《永赢邦利债券型证券投资基金招募说明书》等相关文件的规定。</w:t>
            </w:r>
          </w:p>
        </w:tc>
      </w:tr>
      <w:tr w:rsidR="006F7DCE">
        <w:trPr>
          <w:jc w:val="center"/>
        </w:trPr>
        <w:tc>
          <w:tcPr>
            <w:cnfStyle w:val="001000000000"/>
            <w:tcW w:w="5670" w:type="dxa"/>
            <w:vMerge w:val="restart"/>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恢复相关业务的起始日及原因说明</w:t>
            </w: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hint="eastAsia"/>
                <w:sz w:val="24"/>
                <w:szCs w:val="24"/>
              </w:rPr>
              <w:t>恢复</w:t>
            </w:r>
            <w:r>
              <w:rPr>
                <w:rFonts w:ascii="宋体" w:hAnsi="宋体"/>
                <w:sz w:val="24"/>
                <w:szCs w:val="24"/>
              </w:rPr>
              <w:t>申购日</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2025年12月15日</w:t>
            </w:r>
          </w:p>
        </w:tc>
      </w:tr>
      <w:tr w:rsidR="006F7DCE">
        <w:trPr>
          <w:trHeight w:val="423"/>
          <w:jc w:val="center"/>
        </w:trPr>
        <w:tc>
          <w:tcPr>
            <w:cnfStyle w:val="001000000000"/>
            <w:tcW w:w="2835" w:type="dxa"/>
            <w:vMerge/>
            <w:shd w:val="clear" w:color="auto" w:fill="auto"/>
            <w:vAlign w:val="center"/>
          </w:tcPr>
          <w:p w:rsidR="006F7DCE" w:rsidRDefault="006F7DCE">
            <w:pPr>
              <w:spacing w:before="29" w:line="288" w:lineRule="auto"/>
              <w:ind w:left="15"/>
              <w:jc w:val="left"/>
              <w:rPr>
                <w:rFonts w:ascii="宋体" w:cs="宋体"/>
                <w:color w:val="000000"/>
                <w:sz w:val="24"/>
                <w:szCs w:val="24"/>
              </w:rPr>
            </w:pP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hint="eastAsia"/>
                <w:sz w:val="24"/>
                <w:szCs w:val="24"/>
              </w:rPr>
              <w:t>恢复</w:t>
            </w:r>
            <w:r>
              <w:rPr>
                <w:rFonts w:ascii="宋体" w:hAnsi="宋体"/>
                <w:sz w:val="24"/>
                <w:szCs w:val="24"/>
              </w:rPr>
              <w:t>转换转入日</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2025年12月15日</w:t>
            </w:r>
          </w:p>
        </w:tc>
      </w:tr>
      <w:tr w:rsidR="006F7DCE">
        <w:trPr>
          <w:jc w:val="center"/>
        </w:trPr>
        <w:tc>
          <w:tcPr>
            <w:cnfStyle w:val="001000000000"/>
            <w:tcW w:w="2835" w:type="dxa"/>
            <w:vMerge/>
            <w:shd w:val="clear" w:color="auto" w:fill="auto"/>
            <w:vAlign w:val="center"/>
          </w:tcPr>
          <w:p w:rsidR="006F7DCE" w:rsidRDefault="006F7DCE">
            <w:pPr>
              <w:spacing w:before="29" w:line="288" w:lineRule="auto"/>
              <w:ind w:left="15"/>
              <w:jc w:val="left"/>
              <w:rPr>
                <w:rFonts w:ascii="宋体" w:cs="宋体"/>
                <w:color w:val="000000"/>
                <w:sz w:val="24"/>
                <w:szCs w:val="24"/>
              </w:rPr>
            </w:pP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hint="eastAsia"/>
                <w:sz w:val="24"/>
                <w:szCs w:val="24"/>
              </w:rPr>
              <w:t>恢复</w:t>
            </w:r>
            <w:r>
              <w:rPr>
                <w:rFonts w:ascii="宋体" w:hAnsi="宋体"/>
                <w:sz w:val="24"/>
                <w:szCs w:val="24"/>
              </w:rPr>
              <w:t>定期定额投资日</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2025年12月15日</w:t>
            </w:r>
          </w:p>
        </w:tc>
      </w:tr>
      <w:tr w:rsidR="006F7DCE">
        <w:trPr>
          <w:jc w:val="center"/>
        </w:trPr>
        <w:tc>
          <w:tcPr>
            <w:cnfStyle w:val="001000000000"/>
            <w:tcW w:w="2835" w:type="dxa"/>
            <w:vMerge/>
            <w:shd w:val="clear" w:color="auto" w:fill="auto"/>
            <w:vAlign w:val="center"/>
          </w:tcPr>
          <w:p w:rsidR="006F7DCE" w:rsidRDefault="006F7DCE">
            <w:pPr>
              <w:spacing w:before="29" w:line="288" w:lineRule="auto"/>
              <w:ind w:left="15"/>
              <w:jc w:val="left"/>
              <w:rPr>
                <w:rFonts w:ascii="宋体" w:cs="宋体"/>
                <w:color w:val="000000"/>
                <w:sz w:val="24"/>
                <w:szCs w:val="24"/>
              </w:rPr>
            </w:pP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hint="eastAsia"/>
                <w:sz w:val="24"/>
                <w:szCs w:val="24"/>
              </w:rPr>
              <w:t>恢复</w:t>
            </w:r>
            <w:r>
              <w:rPr>
                <w:rFonts w:ascii="宋体" w:hAnsi="宋体"/>
                <w:sz w:val="24"/>
                <w:szCs w:val="24"/>
              </w:rPr>
              <w:t>申购、转换转入及定期定额投资的原因说明</w:t>
            </w:r>
          </w:p>
        </w:tc>
        <w:tc>
          <w:tcPr>
            <w:tcW w:w="6720" w:type="dxa"/>
            <w:shd w:val="clear" w:color="auto" w:fill="auto"/>
            <w:vAlign w:val="center"/>
          </w:tcPr>
          <w:p w:rsidR="006F7DCE" w:rsidRDefault="006F7DCE">
            <w:pPr>
              <w:cnfStyle w:val="000000000000"/>
              <w:rPr>
                <w:rFonts w:ascii="宋体" w:hAnsi="宋体"/>
                <w:sz w:val="24"/>
                <w:szCs w:val="24"/>
              </w:rPr>
            </w:pPr>
            <w:r>
              <w:rPr>
                <w:rFonts w:ascii="宋体" w:hAnsi="宋体"/>
                <w:sz w:val="24"/>
                <w:szCs w:val="24"/>
              </w:rPr>
              <w:t>为满足广大投资者的投资需求，根据《永赢邦利债券型证券投资基金基金合同》的有关规定。</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下属基金份额类别的基金简称</w:t>
            </w: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永赢邦利债券A</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永赢邦利债券C</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008558</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008559</w:t>
            </w:r>
          </w:p>
        </w:tc>
      </w:tr>
      <w:tr w:rsidR="006F7DCE">
        <w:trPr>
          <w:jc w:val="center"/>
        </w:trPr>
        <w:tc>
          <w:tcPr>
            <w:cnfStyle w:val="001000000000"/>
            <w:tcW w:w="5670" w:type="dxa"/>
            <w:shd w:val="clear" w:color="auto" w:fill="auto"/>
            <w:vAlign w:val="center"/>
          </w:tcPr>
          <w:p w:rsidR="006F7DCE" w:rsidRDefault="006F7DCE">
            <w:pPr>
              <w:spacing w:before="29" w:line="288" w:lineRule="auto"/>
              <w:ind w:left="15"/>
              <w:jc w:val="left"/>
              <w:rPr>
                <w:rFonts w:ascii="宋体" w:cs="宋体"/>
                <w:color w:val="000000"/>
                <w:sz w:val="24"/>
                <w:szCs w:val="24"/>
              </w:rPr>
            </w:pPr>
            <w:r>
              <w:rPr>
                <w:rFonts w:ascii="宋体" w:hAnsi="宋体"/>
                <w:sz w:val="24"/>
                <w:szCs w:val="24"/>
              </w:rPr>
              <w:t>该基金份额类别是否恢复申购、转换转入及定期定额投资</w:t>
            </w:r>
          </w:p>
        </w:tc>
        <w:tc>
          <w:tcPr>
            <w:tcW w:w="567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是</w:t>
            </w:r>
          </w:p>
        </w:tc>
        <w:tc>
          <w:tcPr>
            <w:tcW w:w="6720" w:type="dxa"/>
            <w:shd w:val="clear" w:color="auto" w:fill="auto"/>
            <w:vAlign w:val="center"/>
          </w:tcPr>
          <w:p w:rsidR="006F7DCE" w:rsidRDefault="006F7DCE">
            <w:pPr>
              <w:spacing w:before="29" w:line="288" w:lineRule="auto"/>
              <w:ind w:left="15"/>
              <w:jc w:val="left"/>
              <w:cnfStyle w:val="000000000000"/>
              <w:rPr>
                <w:rFonts w:ascii="宋体" w:cs="宋体"/>
                <w:color w:val="000000"/>
                <w:sz w:val="24"/>
                <w:szCs w:val="24"/>
              </w:rPr>
            </w:pPr>
            <w:r>
              <w:rPr>
                <w:rFonts w:ascii="宋体" w:hAnsi="宋体"/>
                <w:sz w:val="24"/>
                <w:szCs w:val="24"/>
              </w:rPr>
              <w:t>是</w:t>
            </w:r>
          </w:p>
        </w:tc>
      </w:tr>
    </w:tbl>
    <w:p w:rsidR="006F7DCE" w:rsidRDefault="006F7DCE">
      <w:pPr>
        <w:rPr>
          <w:rFonts w:ascii="宋体" w:hAnsi="宋体"/>
          <w:b/>
          <w:sz w:val="24"/>
          <w:szCs w:val="24"/>
        </w:rPr>
      </w:pPr>
      <w:r>
        <w:rPr>
          <w:rFonts w:ascii="宋体" w:hAnsi="宋体"/>
          <w:b/>
          <w:sz w:val="24"/>
          <w:szCs w:val="24"/>
        </w:rPr>
        <w:t>2 其他需要提示的事项</w:t>
      </w:r>
    </w:p>
    <w:p w:rsidR="006F7DCE" w:rsidRDefault="006F7DCE">
      <w:pPr>
        <w:spacing w:line="360" w:lineRule="auto"/>
        <w:ind w:firstLine="720"/>
      </w:pPr>
      <w:r>
        <w:rPr>
          <w:rFonts w:ascii="宋体" w:hAnsi="宋体" w:cs="宋体"/>
          <w:color w:val="000000"/>
          <w:sz w:val="24"/>
        </w:rPr>
        <w:t>为满足广大投资者的投资需求，永赢基金管理有限公司决定，自2025年12月15日（含）起恢复</w:t>
      </w:r>
      <w:r w:rsidR="00911115" w:rsidRPr="00911115">
        <w:rPr>
          <w:rFonts w:ascii="宋体" w:hAnsi="宋体" w:cs="宋体" w:hint="eastAsia"/>
          <w:color w:val="000000"/>
          <w:sz w:val="24"/>
        </w:rPr>
        <w:t>接受个人投资者对</w:t>
      </w:r>
      <w:r>
        <w:rPr>
          <w:rFonts w:ascii="宋体" w:hAnsi="宋体" w:cs="宋体"/>
          <w:color w:val="000000"/>
          <w:sz w:val="24"/>
        </w:rPr>
        <w:t>永赢邦利债券型证券投资基金的申购、转换转入及定期定额投资业务，并适用暂停相关业务之前的业务规则。</w:t>
      </w:r>
    </w:p>
    <w:p w:rsidR="006F7DCE" w:rsidRDefault="006F7DCE">
      <w:pPr>
        <w:spacing w:line="360" w:lineRule="auto"/>
        <w:ind w:firstLine="720"/>
      </w:pPr>
      <w:r>
        <w:rPr>
          <w:rFonts w:ascii="宋体" w:hAnsi="宋体" w:cs="宋体"/>
          <w:color w:val="000000"/>
          <w:sz w:val="24"/>
        </w:rPr>
        <w:t>如有疑问，请拨打本公司客户服务电话400-805-8888，或登录本公司网站www.maxwealthfund.com获取相关信息。</w:t>
      </w:r>
    </w:p>
    <w:p w:rsidR="006F7DCE" w:rsidRDefault="006F7DCE">
      <w:pPr>
        <w:spacing w:line="360" w:lineRule="auto"/>
        <w:ind w:firstLine="720"/>
      </w:pPr>
      <w:r>
        <w:rPr>
          <w:rFonts w:ascii="宋体" w:hAnsi="宋体" w:cs="宋体"/>
          <w:color w:val="000000"/>
          <w:sz w:val="24"/>
        </w:rPr>
        <w:t>风险揭示：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6F7DCE" w:rsidRDefault="006F7DCE">
      <w:pPr>
        <w:spacing w:line="360" w:lineRule="auto"/>
        <w:ind w:firstLine="720"/>
      </w:pPr>
      <w:r>
        <w:rPr>
          <w:rFonts w:ascii="宋体" w:hAnsi="宋体" w:cs="宋体"/>
          <w:color w:val="000000"/>
          <w:sz w:val="24"/>
        </w:rPr>
        <w:t>本基金管理人承诺以诚实信用、勤勉尽责的原则管理和运用基金资产，但不保证基金</w:t>
      </w:r>
      <w:r>
        <w:rPr>
          <w:rFonts w:ascii="宋体" w:hAnsi="宋体" w:cs="宋体"/>
          <w:color w:val="000000"/>
          <w:sz w:val="24"/>
        </w:rPr>
        <w:lastRenderedPageBreak/>
        <w:t>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6F7DCE" w:rsidRDefault="006F7DCE">
      <w:pPr>
        <w:spacing w:line="360" w:lineRule="auto"/>
        <w:ind w:firstLine="720"/>
      </w:pPr>
      <w:r>
        <w:rPr>
          <w:rFonts w:ascii="宋体" w:hAnsi="宋体" w:cs="宋体"/>
          <w:color w:val="000000"/>
          <w:sz w:val="24"/>
        </w:rPr>
        <w:t>特此公告。</w:t>
      </w:r>
    </w:p>
    <w:p w:rsidR="006F7DCE" w:rsidRDefault="006F7DCE">
      <w:pPr>
        <w:spacing w:line="360" w:lineRule="auto"/>
        <w:ind w:firstLine="480"/>
        <w:jc w:val="right"/>
      </w:pPr>
      <w:r>
        <w:rPr>
          <w:rFonts w:ascii="宋体" w:hAnsi="宋体" w:hint="eastAsia"/>
          <w:sz w:val="24"/>
          <w:szCs w:val="24"/>
        </w:rPr>
        <w:t>永赢基金管理有限公司</w:t>
      </w:r>
    </w:p>
    <w:p w:rsidR="006F7DCE" w:rsidRDefault="006F7DCE">
      <w:pPr>
        <w:spacing w:line="360" w:lineRule="auto"/>
        <w:ind w:firstLine="480"/>
        <w:jc w:val="right"/>
      </w:pPr>
      <w:r>
        <w:rPr>
          <w:rFonts w:ascii="宋体" w:hAnsi="宋体"/>
          <w:sz w:val="24"/>
          <w:szCs w:val="24"/>
        </w:rPr>
        <w:t>2025年12月15日</w:t>
      </w:r>
      <w:bookmarkStart w:id="0" w:name="_PictureBullets"/>
      <w:bookmarkEnd w:id="0"/>
    </w:p>
    <w:sectPr w:rsidR="006F7DCE">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DCE" w:rsidRDefault="006F7DCE">
      <w:r>
        <w:separator/>
      </w:r>
    </w:p>
  </w:endnote>
  <w:endnote w:type="continuationSeparator" w:id="0">
    <w:p w:rsidR="006F7DCE" w:rsidRDefault="006F7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DCE" w:rsidRDefault="006F7DCE">
    <w:pPr>
      <w:jc w:val="left"/>
      <w:rPr>
        <w:rFonts w:asci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DCE" w:rsidRDefault="006F7DCE">
      <w:r>
        <w:separator/>
      </w:r>
    </w:p>
  </w:footnote>
  <w:footnote w:type="continuationSeparator" w:id="0">
    <w:p w:rsidR="006F7DCE" w:rsidRDefault="006F7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DCE" w:rsidRDefault="006F7DCE">
    <w:pPr>
      <w:jc w:val="left"/>
      <w:rPr>
        <w:rFonts w:ascii="宋体"/>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SortMethod w:val="000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1115"/>
    <w:rsid w:val="00206FAE"/>
    <w:rsid w:val="006F7DCE"/>
    <w:rsid w:val="0091111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hint="default"/>
      <w:sz w:val="21"/>
      <w:szCs w:val="2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qFormat/>
    <w:pPr>
      <w:keepNext/>
      <w:keepLines/>
      <w:spacing w:before="320" w:after="200"/>
      <w:outlineLvl w:val="8"/>
    </w:pPr>
    <w:rPr>
      <w:rFonts w:ascii="Arial" w:eastAsia="Arial" w:hAnsi="Arial" w:cs="Arial"/>
      <w:i/>
      <w:iCs/>
      <w:szCs w:val="21"/>
    </w:rPr>
  </w:style>
  <w:style w:type="character" w:default="1" w:styleId="a0">
    <w:name w:val="Default Paragraph Font"/>
    <w:uiPriority w:val="1"/>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a3">
    <w:name w:val="caption"/>
    <w:basedOn w:val="a"/>
    <w:next w:val="a"/>
    <w:uiPriority w:val="35"/>
    <w:semiHidden/>
    <w:unhideWhenUsed/>
    <w:pPr>
      <w:spacing w:line="276" w:lineRule="auto"/>
    </w:pPr>
    <w:rPr>
      <w:b/>
      <w:bCs/>
      <w:color w:val="4F81BD"/>
      <w:sz w:val="18"/>
      <w:szCs w:val="18"/>
    </w:rPr>
  </w:style>
  <w:style w:type="paragraph" w:styleId="a4">
    <w:name w:val="caption"/>
    <w:basedOn w:val="a"/>
    <w:next w:val="a"/>
    <w:uiPriority w:val="35"/>
    <w:qFormat/>
    <w:pPr>
      <w:spacing w:line="276" w:lineRule="auto"/>
    </w:pPr>
    <w:rPr>
      <w:b/>
      <w:bCs/>
      <w:color w:val="4F81BD"/>
      <w:sz w:val="18"/>
      <w:szCs w:val="18"/>
    </w:rPr>
  </w:style>
  <w:style w:type="character" w:customStyle="1" w:styleId="CaptionChar">
    <w:name w:val="Caption Char"/>
    <w:link w:val="a5"/>
    <w:uiPriority w:val="99"/>
  </w:style>
  <w:style w:type="paragraph" w:styleId="a6">
    <w:name w:val="endnote text"/>
    <w:basedOn w:val="a"/>
    <w:link w:val="a7"/>
    <w:uiPriority w:val="99"/>
    <w:semiHidden/>
    <w:unhideWhenUsed/>
    <w:rPr>
      <w:sz w:val="20"/>
    </w:rPr>
  </w:style>
  <w:style w:type="character" w:customStyle="1" w:styleId="a7">
    <w:name w:val="尾注文本 字符"/>
    <w:link w:val="a6"/>
    <w:uiPriority w:val="99"/>
    <w:rPr>
      <w:sz w:val="20"/>
    </w:rPr>
  </w:style>
  <w:style w:type="character" w:styleId="a8">
    <w:name w:val="endnote reference"/>
    <w:uiPriority w:val="99"/>
    <w:semiHidden/>
    <w:unhideWhenUsed/>
    <w:rPr>
      <w:vertAlign w:val="superscript"/>
    </w:rPr>
  </w:style>
  <w:style w:type="paragraph" w:styleId="a9">
    <w:name w:val="table of figures"/>
    <w:basedOn w:val="a"/>
    <w:next w:val="a"/>
    <w:uiPriority w:val="99"/>
    <w:unhideWhenUsed/>
  </w:style>
  <w:style w:type="character" w:customStyle="1" w:styleId="10">
    <w:name w:val="标题 1 字符"/>
    <w:link w:val="1"/>
    <w:uiPriority w:val="9"/>
    <w:rPr>
      <w:rFonts w:ascii="Arial" w:eastAsia="Arial" w:hAnsi="Arial" w:cs="Arial"/>
      <w:sz w:val="40"/>
      <w:szCs w:val="40"/>
    </w:rPr>
  </w:style>
  <w:style w:type="character" w:customStyle="1" w:styleId="20">
    <w:name w:val="标题 2 字符"/>
    <w:link w:val="2"/>
    <w:uiPriority w:val="9"/>
    <w:rPr>
      <w:rFonts w:ascii="Arial" w:eastAsia="Arial" w:hAnsi="Arial" w:cs="Arial"/>
      <w:sz w:val="34"/>
    </w:rPr>
  </w:style>
  <w:style w:type="character" w:customStyle="1" w:styleId="30">
    <w:name w:val="标题 3 字符"/>
    <w:link w:val="3"/>
    <w:uiPriority w:val="9"/>
    <w:rPr>
      <w:rFonts w:ascii="Arial" w:eastAsia="Arial" w:hAnsi="Arial" w:cs="Arial"/>
      <w:sz w:val="30"/>
      <w:szCs w:val="30"/>
    </w:rPr>
  </w:style>
  <w:style w:type="character" w:customStyle="1" w:styleId="40">
    <w:name w:val="标题 4 字符"/>
    <w:link w:val="4"/>
    <w:uiPriority w:val="9"/>
    <w:rPr>
      <w:rFonts w:ascii="Arial" w:eastAsia="Arial" w:hAnsi="Arial" w:cs="Arial"/>
      <w:b/>
      <w:bCs/>
      <w:sz w:val="26"/>
      <w:szCs w:val="26"/>
    </w:rPr>
  </w:style>
  <w:style w:type="character" w:customStyle="1" w:styleId="50">
    <w:name w:val="标题 5 字符"/>
    <w:link w:val="5"/>
    <w:uiPriority w:val="9"/>
    <w:rPr>
      <w:rFonts w:ascii="Arial" w:eastAsia="Arial" w:hAnsi="Arial" w:cs="Arial"/>
      <w:b/>
      <w:bCs/>
      <w:sz w:val="24"/>
      <w:szCs w:val="24"/>
    </w:rPr>
  </w:style>
  <w:style w:type="character" w:customStyle="1" w:styleId="60">
    <w:name w:val="标题 6 字符"/>
    <w:link w:val="6"/>
    <w:uiPriority w:val="9"/>
    <w:rPr>
      <w:rFonts w:ascii="Arial" w:eastAsia="Arial" w:hAnsi="Arial" w:cs="Arial"/>
      <w:b/>
      <w:bCs/>
      <w:sz w:val="22"/>
      <w:szCs w:val="22"/>
    </w:rPr>
  </w:style>
  <w:style w:type="character" w:customStyle="1" w:styleId="70">
    <w:name w:val="标题 7 字符"/>
    <w:link w:val="7"/>
    <w:uiPriority w:val="9"/>
    <w:rPr>
      <w:rFonts w:ascii="Arial" w:eastAsia="Arial" w:hAnsi="Arial" w:cs="Arial"/>
      <w:b/>
      <w:bCs/>
      <w:i/>
      <w:iCs/>
      <w:sz w:val="22"/>
      <w:szCs w:val="22"/>
    </w:rPr>
  </w:style>
  <w:style w:type="character" w:customStyle="1" w:styleId="80">
    <w:name w:val="标题 8 字符"/>
    <w:link w:val="8"/>
    <w:uiPriority w:val="9"/>
    <w:rPr>
      <w:rFonts w:ascii="Arial" w:eastAsia="Arial" w:hAnsi="Arial" w:cs="Arial"/>
      <w:i/>
      <w:iCs/>
      <w:sz w:val="22"/>
      <w:szCs w:val="22"/>
    </w:rPr>
  </w:style>
  <w:style w:type="character" w:customStyle="1" w:styleId="90">
    <w:name w:val="标题 9 字符"/>
    <w:link w:val="9"/>
    <w:uiPriority w:val="9"/>
    <w:rPr>
      <w:rFonts w:ascii="Arial" w:eastAsia="Arial" w:hAnsi="Arial" w:cs="Arial"/>
      <w:i/>
      <w:iCs/>
      <w:sz w:val="21"/>
      <w:szCs w:val="21"/>
    </w:rPr>
  </w:style>
  <w:style w:type="paragraph" w:styleId="aa">
    <w:name w:val="List Paragraph"/>
    <w:basedOn w:val="a"/>
    <w:uiPriority w:val="34"/>
    <w:qFormat/>
    <w:pPr>
      <w:ind w:left="720"/>
      <w:contextualSpacing/>
    </w:pPr>
  </w:style>
  <w:style w:type="paragraph" w:styleId="ab">
    <w:name w:val="No Spacing"/>
    <w:uiPriority w:val="1"/>
    <w:qFormat/>
  </w:style>
  <w:style w:type="paragraph" w:styleId="ac">
    <w:name w:val="Title"/>
    <w:basedOn w:val="a"/>
    <w:next w:val="a"/>
    <w:link w:val="ad"/>
    <w:uiPriority w:val="10"/>
    <w:qFormat/>
    <w:pPr>
      <w:spacing w:before="300" w:after="200"/>
      <w:contextualSpacing/>
    </w:pPr>
    <w:rPr>
      <w:sz w:val="48"/>
      <w:szCs w:val="48"/>
    </w:rPr>
  </w:style>
  <w:style w:type="character" w:customStyle="1" w:styleId="ad">
    <w:name w:val="标题 字符"/>
    <w:link w:val="ac"/>
    <w:uiPriority w:val="10"/>
    <w:rPr>
      <w:sz w:val="48"/>
      <w:szCs w:val="48"/>
    </w:rPr>
  </w:style>
  <w:style w:type="paragraph" w:styleId="ae">
    <w:name w:val="Subtitle"/>
    <w:basedOn w:val="a"/>
    <w:next w:val="a"/>
    <w:link w:val="af"/>
    <w:uiPriority w:val="11"/>
    <w:qFormat/>
    <w:pPr>
      <w:spacing w:before="200" w:after="200"/>
    </w:pPr>
    <w:rPr>
      <w:sz w:val="24"/>
      <w:szCs w:val="24"/>
    </w:rPr>
  </w:style>
  <w:style w:type="character" w:customStyle="1" w:styleId="af">
    <w:name w:val="副标题 字符"/>
    <w:link w:val="ae"/>
    <w:uiPriority w:val="11"/>
    <w:rPr>
      <w:sz w:val="24"/>
      <w:szCs w:val="24"/>
    </w:rPr>
  </w:style>
  <w:style w:type="paragraph" w:styleId="af0">
    <w:name w:val="Quote"/>
    <w:basedOn w:val="a"/>
    <w:next w:val="a"/>
    <w:link w:val="af1"/>
    <w:uiPriority w:val="29"/>
    <w:qFormat/>
    <w:pPr>
      <w:ind w:left="720" w:right="720"/>
    </w:pPr>
    <w:rPr>
      <w:i/>
    </w:rPr>
  </w:style>
  <w:style w:type="character" w:customStyle="1" w:styleId="af1">
    <w:name w:val="引用 字符"/>
    <w:link w:val="af0"/>
    <w:uiPriority w:val="29"/>
    <w:rPr>
      <w:i/>
    </w:rPr>
  </w:style>
  <w:style w:type="paragraph" w:styleId="af2">
    <w:name w:val="Intense Quote"/>
    <w:basedOn w:val="a"/>
    <w:next w:val="a"/>
    <w:link w:val="af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3">
    <w:name w:val="明显引用 字符"/>
    <w:link w:val="af2"/>
    <w:uiPriority w:val="30"/>
    <w:rPr>
      <w:i/>
    </w:rPr>
  </w:style>
  <w:style w:type="character" w:customStyle="1" w:styleId="HeaderChar">
    <w:name w:val="Header Char"/>
    <w:basedOn w:val="a0"/>
    <w:link w:val="af4"/>
    <w:uiPriority w:val="99"/>
  </w:style>
  <w:style w:type="character" w:customStyle="1" w:styleId="FooterChar">
    <w:name w:val="Footer Char"/>
    <w:basedOn w:val="a0"/>
    <w:link w:val="a5"/>
    <w:uiPriority w:val="99"/>
  </w:style>
  <w:style w:type="table" w:styleId="a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Ind w:w="0" w:type="dxa"/>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Ind w:w="0" w:type="dxa"/>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Ind w:w="0" w:type="dxa"/>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snapToGrid/>
      </w:pPr>
      <w:rPr>
        <w:b/>
        <w:color w:val="404040"/>
      </w:rPr>
      <w:tblPr/>
      <w:tcPr>
        <w:tcBorders>
          <w:bottom w:val="single" w:sz="12" w:space="0" w:color="6B6B6B"/>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99999"/>
          <w:left w:val="single" w:sz="4" w:space="0" w:color="999999"/>
          <w:bottom w:val="single" w:sz="4" w:space="0" w:color="999999"/>
          <w:right w:val="single" w:sz="4" w:space="0" w:color="99999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b/>
        <w:color w:val="404040"/>
      </w:rPr>
      <w:tblPr/>
      <w:tcPr>
        <w:tcBorders>
          <w:bottom w:val="single" w:sz="12" w:space="0" w:color="99B6D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b/>
        <w:color w:val="404040"/>
      </w:rPr>
      <w:tblPr/>
      <w:tcPr>
        <w:tcBorders>
          <w:bottom w:val="single" w:sz="12" w:space="0" w:color="DA9A9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b/>
        <w:color w:val="404040"/>
      </w:rPr>
      <w:tblPr/>
      <w:tcPr>
        <w:tcBorders>
          <w:bottom w:val="single" w:sz="12" w:space="0" w:color="C5D89F"/>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b/>
        <w:color w:val="404040"/>
      </w:rPr>
      <w:tblPr/>
      <w:tcPr>
        <w:tcBorders>
          <w:bottom w:val="single" w:sz="12" w:space="0" w:color="B5A5C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b/>
        <w:color w:val="404040"/>
      </w:rPr>
      <w:tblPr/>
      <w:tcPr>
        <w:tcBorders>
          <w:bottom w:val="single" w:sz="12" w:space="0" w:color="97CFD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b/>
        <w:color w:val="404040"/>
      </w:rPr>
      <w:tblPr/>
      <w:tcPr>
        <w:tcBorders>
          <w:bottom w:val="single" w:sz="12" w:space="0" w:color="FAC294"/>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StyleRowBandSize w:val="1"/>
      <w:tblStyleColBandSize w:val="1"/>
      <w:tblInd w:w="0" w:type="dxa"/>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B6B6B"/>
          <w:right w:val="none" w:sz="0" w:space="0" w:color="000000"/>
        </w:tcBorders>
        <w:shd w:val="clear" w:color="FFFFFF" w:fill="FFFFFF"/>
      </w:tcPr>
    </w:tblStylePr>
    <w:tblStylePr w:type="lastRow">
      <w:pPr>
        <w:snapToGrid/>
      </w:pPr>
      <w:rPr>
        <w:b/>
        <w:color w:val="404040"/>
      </w:rPr>
      <w:tblPr/>
      <w:tcPr>
        <w:tcBorders>
          <w:top w:val="single" w:sz="4" w:space="0" w:color="6B6B6B"/>
          <w:left w:val="none" w:sz="0" w:space="0" w:color="000000"/>
          <w:bottom w:val="none" w:sz="0" w:space="0" w:color="000000"/>
          <w:right w:val="single" w:sz="4" w:space="0" w:color="6B6B6B"/>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Ind w:w="0" w:type="dxa"/>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BC2"/>
          <w:right w:val="none" w:sz="0" w:space="0" w:color="000000"/>
        </w:tcBorders>
        <w:shd w:val="clear" w:color="FFFFFF" w:fill="FFFFFF"/>
      </w:tcPr>
    </w:tblStylePr>
    <w:tblStylePr w:type="lastRow">
      <w:pPr>
        <w:snapToGrid/>
      </w:pPr>
      <w:rPr>
        <w:b/>
        <w:color w:val="404040"/>
      </w:rPr>
      <w:tblPr/>
      <w:tcPr>
        <w:tcBorders>
          <w:top w:val="single" w:sz="4" w:space="0" w:color="5D8BC2"/>
          <w:left w:val="none" w:sz="0" w:space="0" w:color="000000"/>
          <w:bottom w:val="none" w:sz="0" w:space="0" w:color="000000"/>
          <w:right w:val="single" w:sz="4" w:space="0" w:color="5D8B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Ind w:w="0" w:type="dxa"/>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A9896"/>
          <w:right w:val="none" w:sz="0" w:space="0" w:color="000000"/>
        </w:tcBorders>
        <w:shd w:val="clear" w:color="FFFFFF" w:fill="FFFFFF"/>
      </w:tcPr>
    </w:tblStylePr>
    <w:tblStylePr w:type="lastRow">
      <w:pPr>
        <w:snapToGrid/>
      </w:pPr>
      <w:rPr>
        <w:b/>
        <w:color w:val="404040"/>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Ind w:w="0" w:type="dxa"/>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BBB59"/>
          <w:right w:val="none" w:sz="0" w:space="0" w:color="000000"/>
        </w:tcBorders>
        <w:shd w:val="clear" w:color="FFFFFF" w:fill="FFFFFF"/>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Ind w:w="0" w:type="dxa"/>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3A2C7"/>
          <w:right w:val="none" w:sz="0" w:space="0" w:color="000000"/>
        </w:tcBorders>
        <w:shd w:val="clear" w:color="FFFFFF" w:fill="FFFFFF"/>
      </w:tcPr>
    </w:tblStylePr>
    <w:tblStylePr w:type="lastRow">
      <w:pPr>
        <w:snapToGrid/>
      </w:pPr>
      <w:rPr>
        <w:b/>
        <w:color w:val="404040"/>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Ind w:w="0" w:type="dxa"/>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Ind w:w="0" w:type="dxa"/>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StyleRowBandSize w:val="1"/>
      <w:tblStyleColBandSize w:val="1"/>
      <w:tblInd w:w="0" w:type="dxa"/>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Ind w:w="0" w:type="dxa"/>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Ind w:w="0" w:type="dxa"/>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Ind w:w="0" w:type="dxa"/>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Ind w:w="0" w:type="dxa"/>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Ind w:w="0" w:type="dxa"/>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Ind w:w="0" w:type="dxa"/>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StyleRowBandSize w:val="1"/>
      <w:tblStyleColBandSize w:val="1"/>
      <w:tblInd w:w="0" w:type="dxa"/>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Ind w:w="0" w:type="dxa"/>
      <w:tblBorders>
        <w:top w:val="single" w:sz="4" w:space="0" w:color="9CB8DA"/>
        <w:left w:val="single" w:sz="4" w:space="0" w:color="9CB8DA"/>
        <w:bottom w:val="single" w:sz="4" w:space="0" w:color="9CB8DA"/>
        <w:right w:val="single" w:sz="4" w:space="0" w:color="9CB8DA"/>
        <w:insideH w:val="single" w:sz="4" w:space="0" w:color="9CB8DA"/>
        <w:insideV w:val="single" w:sz="4" w:space="0" w:color="9CB8D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BC2"/>
          <w:left w:val="single" w:sz="4" w:space="0" w:color="5D8BC2"/>
          <w:bottom w:val="single" w:sz="4" w:space="0" w:color="5D8BC2"/>
          <w:right w:val="single" w:sz="4" w:space="0" w:color="5D8BC2"/>
        </w:tcBorders>
        <w:shd w:val="clear" w:color="FFFFFF" w:fill="FFFFFF"/>
      </w:tcPr>
    </w:tblStylePr>
    <w:tblStylePr w:type="lastRow">
      <w:pPr>
        <w:snapToGrid/>
      </w:pPr>
      <w:rPr>
        <w:b/>
        <w:color w:val="404040"/>
      </w:rPr>
      <w:tblPr/>
      <w:tcPr>
        <w:tcBorders>
          <w:top w:val="single" w:sz="4" w:space="0" w:color="5D8BC2"/>
          <w:right w:val="single" w:sz="4" w:space="0" w:color="5D8B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Ind w:w="0" w:type="dxa"/>
      <w:tblBorders>
        <w:top w:val="single" w:sz="4" w:space="0" w:color="DC9D9B"/>
        <w:left w:val="single" w:sz="4" w:space="0" w:color="DC9D9B"/>
        <w:bottom w:val="single" w:sz="4" w:space="0" w:color="DC9D9B"/>
        <w:right w:val="single" w:sz="4" w:space="0" w:color="DC9D9B"/>
        <w:insideH w:val="single" w:sz="4" w:space="0" w:color="DC9D9B"/>
        <w:insideV w:val="single" w:sz="4" w:space="0" w:color="DC9D9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A9896"/>
          <w:left w:val="single" w:sz="4" w:space="0" w:color="DA9896"/>
          <w:bottom w:val="single" w:sz="4" w:space="0" w:color="DA9896"/>
          <w:right w:val="single" w:sz="4" w:space="0" w:color="DA9896"/>
        </w:tcBorders>
        <w:shd w:val="clear" w:color="FFFFFF" w:fill="FFFFFF"/>
      </w:tcPr>
    </w:tblStylePr>
    <w:tblStylePr w:type="lastRow">
      <w:pPr>
        <w:snapToGrid/>
      </w:pPr>
      <w:rPr>
        <w:b/>
        <w:color w:val="404040"/>
      </w:rPr>
      <w:tblPr/>
      <w:tcPr>
        <w:tcBorders>
          <w:top w:val="single" w:sz="4" w:space="0" w:color="DA9896"/>
          <w:right w:val="single" w:sz="4" w:space="0" w:color="DA989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Ind w:w="0" w:type="dxa"/>
      <w:tblBorders>
        <w:top w:val="single" w:sz="4" w:space="0" w:color="C7D9A2"/>
        <w:left w:val="single" w:sz="4" w:space="0" w:color="C7D9A2"/>
        <w:bottom w:val="single" w:sz="4" w:space="0" w:color="C7D9A2"/>
        <w:right w:val="single" w:sz="4" w:space="0" w:color="C7D9A2"/>
        <w:insideH w:val="single" w:sz="4" w:space="0" w:color="C7D9A2"/>
        <w:insideV w:val="single" w:sz="4" w:space="0" w:color="C7D9A2"/>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BBB59"/>
          <w:left w:val="single" w:sz="4" w:space="0" w:color="9BBB59"/>
          <w:bottom w:val="single" w:sz="4" w:space="0" w:color="9BBB59"/>
          <w:right w:val="single" w:sz="4" w:space="0" w:color="9BBB59"/>
        </w:tcBorders>
        <w:shd w:val="clear" w:color="FFFFFF" w:fill="FFFFFF"/>
      </w:tcPr>
    </w:tblStylePr>
    <w:tblStylePr w:type="lastRow">
      <w:pPr>
        <w:snapToGrid/>
      </w:pPr>
      <w:rPr>
        <w:b/>
        <w:color w:val="404040"/>
      </w:rPr>
      <w:tblPr/>
      <w:tcPr>
        <w:tcBorders>
          <w:top w:val="single" w:sz="4" w:space="0" w:color="9BBB59"/>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Ind w:w="0" w:type="dxa"/>
      <w:tblBorders>
        <w:top w:val="single" w:sz="4" w:space="0" w:color="B8A8CB"/>
        <w:left w:val="single" w:sz="4" w:space="0" w:color="B8A8CB"/>
        <w:bottom w:val="single" w:sz="4" w:space="0" w:color="B8A8CB"/>
        <w:right w:val="single" w:sz="4" w:space="0" w:color="B8A8CB"/>
        <w:insideH w:val="single" w:sz="4" w:space="0" w:color="B8A8CB"/>
        <w:insideV w:val="single" w:sz="4" w:space="0" w:color="B8A8C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3A2C7"/>
          <w:left w:val="single" w:sz="4" w:space="0" w:color="B3A2C7"/>
          <w:bottom w:val="single" w:sz="4" w:space="0" w:color="B3A2C7"/>
          <w:right w:val="single" w:sz="4" w:space="0" w:color="B3A2C7"/>
        </w:tcBorders>
        <w:shd w:val="clear" w:color="FFFFFF" w:fill="FFFFFF"/>
      </w:tcPr>
    </w:tblStylePr>
    <w:tblStylePr w:type="lastRow">
      <w:pPr>
        <w:snapToGrid/>
      </w:pPr>
      <w:rPr>
        <w:b/>
        <w:color w:val="404040"/>
      </w:rPr>
      <w:tblPr/>
      <w:tcPr>
        <w:tcBorders>
          <w:top w:val="single" w:sz="4" w:space="0" w:color="B3A2C7"/>
          <w:right w:val="single" w:sz="4" w:space="0" w:color="B3A2C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Ind w:w="0" w:type="dxa"/>
      <w:tblBorders>
        <w:top w:val="single" w:sz="4" w:space="0" w:color="9AD1DF"/>
        <w:left w:val="single" w:sz="4" w:space="0" w:color="9AD1DF"/>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FFFFFF"/>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Ind w:w="0" w:type="dxa"/>
      <w:tblBorders>
        <w:top w:val="single" w:sz="4" w:space="0" w:color="FBC497"/>
        <w:left w:val="single" w:sz="4" w:space="0" w:color="FBC497"/>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FFFFF"/>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FFFF" w:fill="FFFFFF"/>
      </w:tcPr>
    </w:tblStylePr>
    <w:tblStylePr w:type="firstCol">
      <w:pPr>
        <w:snapToGrid/>
      </w:pPr>
      <w:rPr>
        <w:rFonts w:ascii="Arial" w:hAnsi="Arial"/>
        <w:b/>
        <w:color w:val="FFFFFF"/>
        <w:sz w:val="22"/>
      </w:rPr>
      <w:tblPr/>
      <w:tcPr>
        <w:shd w:val="clear" w:color="FFFFFF" w:fill="FFFFFF"/>
      </w:tcPr>
    </w:tblStylePr>
    <w:tblStylePr w:type="lastCol">
      <w:pPr>
        <w:snapToGrid/>
      </w:pPr>
      <w:rPr>
        <w:rFonts w:ascii="Arial" w:hAnsi="Arial"/>
        <w:b/>
        <w:color w:val="FFFFFF"/>
        <w:sz w:val="22"/>
      </w:rPr>
      <w:tblPr/>
      <w:tcPr>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StyleRowBandSize w:val="1"/>
      <w:tblStyleColBandSize w:val="1"/>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b/>
        <w:color w:val="000000"/>
      </w:rPr>
      <w:tblPr/>
      <w:tcPr>
        <w:tcBorders>
          <w:bottom w:val="single" w:sz="12" w:space="0" w:color="808080"/>
        </w:tcBorders>
      </w:tcPr>
    </w:tblStylePr>
    <w:tblStylePr w:type="lastRow">
      <w:pPr>
        <w:snapToGrid/>
      </w:pPr>
      <w:rPr>
        <w:b/>
        <w:color w:val="000000"/>
      </w:rPr>
    </w:tblStylePr>
    <w:tblStylePr w:type="firstCol">
      <w:pPr>
        <w:snapToGrid/>
      </w:pPr>
      <w:rPr>
        <w:b/>
        <w:color w:val="000000"/>
      </w:rPr>
    </w:tblStylePr>
    <w:tblStylePr w:type="lastCol">
      <w:pPr>
        <w:snapToGrid/>
      </w:pPr>
      <w:rPr>
        <w:b/>
        <w:color w:val="000000"/>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000000"/>
        <w:sz w:val="22"/>
      </w:rPr>
      <w:tblPr/>
      <w:tcPr>
        <w:shd w:val="clear" w:color="FFFFFF" w:fill="FFFFF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7C0DE"/>
        <w:left w:val="single" w:sz="4" w:space="0" w:color="A7C0DE"/>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b/>
        <w:color w:val="2E4B6E"/>
      </w:rPr>
      <w:tblPr/>
      <w:tcPr>
        <w:tcBorders>
          <w:bottom w:val="single" w:sz="12" w:space="0" w:color="A7C0DE"/>
        </w:tcBorders>
      </w:tcPr>
    </w:tblStylePr>
    <w:tblStylePr w:type="lastRow">
      <w:pPr>
        <w:snapToGrid/>
      </w:pPr>
      <w:rPr>
        <w:b/>
        <w:color w:val="2E4B6E"/>
      </w:rPr>
    </w:tblStylePr>
    <w:tblStylePr w:type="firstCol">
      <w:pPr>
        <w:snapToGrid/>
      </w:pPr>
      <w:rPr>
        <w:b/>
        <w:color w:val="2E4B6E"/>
      </w:rPr>
    </w:tblStylePr>
    <w:tblStylePr w:type="lastCol">
      <w:pPr>
        <w:snapToGrid/>
      </w:pPr>
      <w:rPr>
        <w:b/>
        <w:color w:val="2E4B6E"/>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E4B6E"/>
        <w:sz w:val="22"/>
      </w:rPr>
      <w:tblPr/>
      <w:tcPr>
        <w:shd w:val="clear" w:color="FFFFFF" w:fill="FFFFFF"/>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A9896"/>
        <w:left w:val="single" w:sz="4" w:space="0" w:color="DA9896"/>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702E2C"/>
      </w:rPr>
      <w:tblPr/>
      <w:tcPr>
        <w:tcBorders>
          <w:bottom w:val="single" w:sz="12" w:space="0" w:color="DA9896"/>
        </w:tcBorders>
      </w:tcPr>
    </w:tblStylePr>
    <w:tblStylePr w:type="lastRow">
      <w:pPr>
        <w:snapToGrid/>
      </w:pPr>
      <w:rPr>
        <w:b/>
        <w:color w:val="702E2C"/>
      </w:rPr>
    </w:tblStylePr>
    <w:tblStylePr w:type="firstCol">
      <w:pPr>
        <w:snapToGrid/>
      </w:pPr>
      <w:rPr>
        <w:b/>
        <w:color w:val="702E2C"/>
      </w:rPr>
    </w:tblStylePr>
    <w:tblStylePr w:type="lastCol">
      <w:pPr>
        <w:snapToGrid/>
      </w:pPr>
      <w:rPr>
        <w:b/>
        <w:color w:val="702E2C"/>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702E2C"/>
        <w:sz w:val="22"/>
      </w:rPr>
      <w:tblPr/>
      <w:tcPr>
        <w:shd w:val="clear" w:color="FFFFFF" w:fill="FFFFFF"/>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5A6D34"/>
      </w:rPr>
      <w:tblPr/>
      <w:tcPr>
        <w:tcBorders>
          <w:bottom w:val="single" w:sz="12" w:space="0" w:color="9BBB59"/>
        </w:tcBorders>
      </w:tcPr>
    </w:tblStylePr>
    <w:tblStylePr w:type="lastRow">
      <w:pPr>
        <w:snapToGrid/>
      </w:pPr>
      <w:rPr>
        <w:b/>
        <w:color w:val="5A6D34"/>
      </w:rPr>
    </w:tblStylePr>
    <w:tblStylePr w:type="firstCol">
      <w:pPr>
        <w:snapToGrid/>
      </w:pPr>
      <w:rPr>
        <w:b/>
        <w:color w:val="5A6D34"/>
      </w:rPr>
    </w:tblStylePr>
    <w:tblStylePr w:type="lastCol">
      <w:pPr>
        <w:snapToGrid/>
      </w:pPr>
      <w:rPr>
        <w:b/>
        <w:color w:val="5A6D34"/>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5A6D34"/>
        <w:sz w:val="22"/>
      </w:rPr>
      <w:tblPr/>
      <w:tcPr>
        <w:shd w:val="clear" w:color="FFFFFF" w:fill="FFFFFF"/>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3A2C7"/>
        <w:left w:val="single" w:sz="4" w:space="0" w:color="B3A2C7"/>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A3A5E"/>
      </w:rPr>
      <w:tblPr/>
      <w:tcPr>
        <w:tcBorders>
          <w:bottom w:val="single" w:sz="12" w:space="0" w:color="B3A2C7"/>
        </w:tcBorders>
      </w:tcPr>
    </w:tblStylePr>
    <w:tblStylePr w:type="lastRow">
      <w:pPr>
        <w:snapToGrid/>
      </w:pPr>
      <w:rPr>
        <w:b/>
        <w:color w:val="4A3A5E"/>
      </w:rPr>
    </w:tblStylePr>
    <w:tblStylePr w:type="firstCol">
      <w:pPr>
        <w:snapToGrid/>
      </w:pPr>
      <w:rPr>
        <w:b/>
        <w:color w:val="4A3A5E"/>
      </w:rPr>
    </w:tblStylePr>
    <w:tblStylePr w:type="lastCol">
      <w:pPr>
        <w:snapToGrid/>
      </w:pPr>
      <w:rPr>
        <w:b/>
        <w:color w:val="4A3A5E"/>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4A3A5E"/>
        <w:sz w:val="22"/>
      </w:rPr>
      <w:tblPr/>
      <w:tcPr>
        <w:shd w:val="clear" w:color="FFFFFF" w:fill="FFFFFF"/>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B6473"/>
      </w:rPr>
      <w:tblPr/>
      <w:tcPr>
        <w:tcBorders>
          <w:bottom w:val="single" w:sz="12" w:space="0" w:color="4BACC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B6473"/>
        <w:sz w:val="22"/>
      </w:rPr>
      <w:tblPr/>
      <w:tcPr>
        <w:shd w:val="clear" w:color="FFFFFF" w:fill="FFFFFF"/>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B6473"/>
      </w:rPr>
      <w:tblPr/>
      <w:tcPr>
        <w:tcBorders>
          <w:bottom w:val="single" w:sz="12" w:space="0" w:color="F7964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B6473"/>
        <w:sz w:val="22"/>
      </w:rPr>
      <w:tblPr/>
      <w:tcPr>
        <w:shd w:val="clear" w:color="FFFFFF" w:fill="FFFFFF"/>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StyleRowBandSize w:val="1"/>
      <w:tblStyleColBandSize w:val="1"/>
      <w:tblInd w:w="0" w:type="dxa"/>
      <w:tblBorders>
        <w:top w:val="nil"/>
        <w:left w:val="nil"/>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rFonts w:ascii="Arial" w:hAnsi="Arial"/>
        <w:b/>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b/>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000000"/>
        <w:sz w:val="22"/>
      </w:rPr>
      <w:tblPr/>
      <w:tcPr>
        <w:shd w:val="clear" w:color="FFFFFF" w:fill="FFFFF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Ind w:w="0" w:type="dxa"/>
      <w:tblBorders>
        <w:top w:val="nil"/>
        <w:left w:val="nil"/>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rFonts w:ascii="Arial" w:hAnsi="Arial"/>
        <w:b/>
        <w:color w:val="2E4B6E"/>
        <w:sz w:val="22"/>
      </w:rPr>
      <w:tblPr/>
      <w:tcPr>
        <w:tcBorders>
          <w:top w:val="none" w:sz="0" w:space="0" w:color="000000"/>
          <w:left w:val="none" w:sz="0" w:space="0" w:color="000000"/>
          <w:bottom w:val="single" w:sz="4" w:space="0" w:color="A7C0DE"/>
          <w:right w:val="none" w:sz="0" w:space="0" w:color="000000"/>
        </w:tcBorders>
        <w:shd w:val="clear" w:color="FFFFFF" w:fill="FFFFFF"/>
      </w:tcPr>
    </w:tblStylePr>
    <w:tblStylePr w:type="lastRow">
      <w:pPr>
        <w:snapToGrid/>
      </w:pPr>
      <w:rPr>
        <w:rFonts w:ascii="Arial" w:hAnsi="Arial"/>
        <w:b/>
        <w:color w:val="2E4B6E"/>
        <w:sz w:val="22"/>
      </w:rPr>
      <w:tblPr/>
      <w:tcPr>
        <w:tcBorders>
          <w:top w:val="single" w:sz="4" w:space="0" w:color="A7C0DE"/>
          <w:left w:val="none" w:sz="0" w:space="0" w:color="000000"/>
          <w:bottom w:val="none" w:sz="0" w:space="0" w:color="000000"/>
          <w:right w:val="single" w:sz="4" w:space="0" w:color="A7C0DE"/>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A7C0DE"/>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E4B6E"/>
        <w:sz w:val="22"/>
      </w:rPr>
      <w:tblPr/>
      <w:tcPr>
        <w:shd w:val="clear" w:color="FFFFFF" w:fill="FFFFFF"/>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Ind w:w="0" w:type="dxa"/>
      <w:tblBorders>
        <w:top w:val="nil"/>
        <w:left w:val="nil"/>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rFonts w:ascii="Arial" w:hAnsi="Arial"/>
        <w:b/>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b/>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702E2C"/>
        <w:sz w:val="22"/>
      </w:rPr>
      <w:tblPr/>
      <w:tcPr>
        <w:shd w:val="clear" w:color="FFFFFF" w:fill="FFFFFF"/>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Ind w:w="0" w:type="dxa"/>
      <w:tblBorders>
        <w:top w:val="nil"/>
        <w:left w:val="nil"/>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rFonts w:ascii="Arial" w:hAnsi="Arial"/>
        <w:b/>
        <w:color w:val="5A6D34"/>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pPr>
        <w:snapToGrid/>
      </w:pPr>
      <w:rPr>
        <w:rFonts w:ascii="Arial" w:hAnsi="Arial"/>
        <w:b/>
        <w:color w:val="5A6D34"/>
        <w:sz w:val="22"/>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9BBB59"/>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5A6D34"/>
        <w:sz w:val="22"/>
      </w:rPr>
      <w:tblPr/>
      <w:tcPr>
        <w:shd w:val="clear" w:color="FFFFFF" w:fill="FFFFFF"/>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Ind w:w="0" w:type="dxa"/>
      <w:tblBorders>
        <w:top w:val="nil"/>
        <w:left w:val="nil"/>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rFonts w:ascii="Arial" w:hAnsi="Arial"/>
        <w:b/>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b/>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4A3A5E"/>
        <w:sz w:val="22"/>
      </w:rPr>
      <w:tblPr/>
      <w:tcPr>
        <w:shd w:val="clear" w:color="FFFFFF" w:fill="FFFFFF"/>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Ind w:w="0" w:type="dxa"/>
      <w:tblBorders>
        <w:top w:val="nil"/>
        <w:left w:val="nil"/>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2B6473"/>
        <w:sz w:val="22"/>
      </w:rPr>
      <w:tblPr/>
      <w:tcPr>
        <w:tcBorders>
          <w:top w:val="none" w:sz="0" w:space="0" w:color="000000"/>
          <w:left w:val="none" w:sz="0" w:space="0" w:color="000000"/>
          <w:bottom w:val="single" w:sz="4" w:space="0" w:color="9AD1DF"/>
          <w:right w:val="none" w:sz="0" w:space="0" w:color="000000"/>
        </w:tcBorders>
        <w:shd w:val="clear" w:color="FFFFFF" w:fill="FFFFFF"/>
      </w:tcPr>
    </w:tblStylePr>
    <w:tblStylePr w:type="lastRow">
      <w:pPr>
        <w:snapToGrid/>
      </w:pPr>
      <w:rPr>
        <w:rFonts w:ascii="Arial" w:hAnsi="Arial"/>
        <w:b/>
        <w:color w:val="2B6473"/>
        <w:sz w:val="22"/>
      </w:rPr>
      <w:tblPr/>
      <w:tcPr>
        <w:tcBorders>
          <w:top w:val="single" w:sz="4" w:space="0" w:color="9AD1DF"/>
          <w:left w:val="none" w:sz="0" w:space="0" w:color="000000"/>
          <w:bottom w:val="none" w:sz="0" w:space="0" w:color="000000"/>
          <w:right w:val="single" w:sz="4" w:space="0" w:color="9AD1DF"/>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AD1DF"/>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B6473"/>
        <w:sz w:val="22"/>
      </w:rPr>
      <w:tblPr/>
      <w:tcPr>
        <w:shd w:val="clear" w:color="FFFFFF" w:fill="FFFFFF"/>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Ind w:w="0" w:type="dxa"/>
      <w:tblBorders>
        <w:top w:val="nil"/>
        <w:left w:val="nil"/>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905728"/>
        <w:sz w:val="22"/>
      </w:rPr>
      <w:tblPr/>
      <w:tcPr>
        <w:tcBorders>
          <w:top w:val="none" w:sz="0" w:space="0" w:color="000000"/>
          <w:left w:val="none" w:sz="0" w:space="0" w:color="000000"/>
          <w:bottom w:val="single" w:sz="4" w:space="0" w:color="FBC497"/>
          <w:right w:val="none" w:sz="0" w:space="0" w:color="000000"/>
        </w:tcBorders>
        <w:shd w:val="clear" w:color="FFFFFF" w:fill="FFFFFF"/>
      </w:tcPr>
    </w:tblStylePr>
    <w:tblStylePr w:type="lastRow">
      <w:pPr>
        <w:snapToGrid/>
      </w:pPr>
      <w:rPr>
        <w:rFonts w:ascii="Arial" w:hAnsi="Arial"/>
        <w:b/>
        <w:color w:val="905728"/>
        <w:sz w:val="22"/>
      </w:rPr>
      <w:tblPr/>
      <w:tcPr>
        <w:tcBorders>
          <w:top w:val="single" w:sz="4" w:space="0" w:color="FBC497"/>
          <w:left w:val="none" w:sz="0" w:space="0" w:color="000000"/>
          <w:bottom w:val="none" w:sz="0" w:space="0" w:color="000000"/>
          <w:right w:val="single" w:sz="4" w:space="0" w:color="FBC497"/>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BC497"/>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905728"/>
        <w:sz w:val="22"/>
      </w:rPr>
      <w:tblPr/>
      <w:tcPr>
        <w:shd w:val="clear" w:color="FFFFFF" w:fill="FFFFFF"/>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FFFF"/>
      </w:tcPr>
    </w:tblStylePr>
    <w:tblStylePr w:type="band2Vert">
      <w:pPr>
        <w:snapToGrid/>
      </w:pPr>
    </w:tblStylePr>
    <w:tblStylePr w:type="band1Horz">
      <w:pPr>
        <w:snapToGrid/>
      </w:p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StyleRowBandSize w:val="1"/>
      <w:tblStyleColBandSize w:val="1"/>
      <w:tblInd w:w="0" w:type="dxa"/>
      <w:tblBorders>
        <w:top w:val="single" w:sz="4" w:space="0" w:color="707070"/>
        <w:left w:val="nil"/>
        <w:bottom w:val="single" w:sz="4" w:space="0" w:color="707070"/>
        <w:right w:val="nil"/>
        <w:insideH w:val="single" w:sz="4" w:space="0" w:color="707070"/>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la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Ind w:w="0" w:type="dxa"/>
      <w:tblBorders>
        <w:top w:val="single" w:sz="4" w:space="0" w:color="9CB8DA"/>
        <w:left w:val="nil"/>
        <w:bottom w:val="single" w:sz="4" w:space="0" w:color="9CB8DA"/>
        <w:right w:val="nil"/>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la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Ind w:w="0" w:type="dxa"/>
      <w:tblBorders>
        <w:top w:val="single" w:sz="4" w:space="0" w:color="DC9D9B"/>
        <w:left w:val="nil"/>
        <w:bottom w:val="single" w:sz="4" w:space="0" w:color="DC9D9B"/>
        <w:right w:val="nil"/>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la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Ind w:w="0" w:type="dxa"/>
      <w:tblBorders>
        <w:top w:val="single" w:sz="4" w:space="0" w:color="C7D9A2"/>
        <w:left w:val="nil"/>
        <w:bottom w:val="single" w:sz="4" w:space="0" w:color="C7D9A2"/>
        <w:right w:val="nil"/>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la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Ind w:w="0" w:type="dxa"/>
      <w:tblBorders>
        <w:top w:val="single" w:sz="4" w:space="0" w:color="B8A8CB"/>
        <w:left w:val="nil"/>
        <w:bottom w:val="single" w:sz="4" w:space="0" w:color="B8A8CB"/>
        <w:right w:val="nil"/>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la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Ind w:w="0" w:type="dxa"/>
      <w:tblBorders>
        <w:top w:val="single" w:sz="4" w:space="0" w:color="9AD1DF"/>
        <w:left w:val="nil"/>
        <w:bottom w:val="single" w:sz="4" w:space="0" w:color="9AD1DF"/>
        <w:right w:val="nil"/>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la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Ind w:w="0" w:type="dxa"/>
      <w:tblBorders>
        <w:top w:val="single" w:sz="4" w:space="0" w:color="FBC497"/>
        <w:left w:val="nil"/>
        <w:bottom w:val="single" w:sz="4" w:space="0" w:color="FBC497"/>
        <w:right w:val="nil"/>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la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Ind w:w="0" w:type="dxa"/>
      <w:tblBorders>
        <w:top w:val="single" w:sz="4" w:space="0" w:color="DA9896"/>
        <w:left w:val="single" w:sz="4" w:space="0" w:color="DA9896"/>
        <w:bottom w:val="single" w:sz="4" w:space="0" w:color="DA9896"/>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A9896"/>
        </w:tcBorders>
      </w:tcPr>
    </w:tblStylePr>
    <w:tblStylePr w:type="band2Vert">
      <w:pPr>
        <w:snapToGrid/>
      </w:pPr>
    </w:tblStylePr>
    <w:tblStylePr w:type="band1Horz">
      <w:pPr>
        <w:snapToGrid/>
      </w:pPr>
      <w:rPr>
        <w:rFonts w:ascii="Arial" w:hAnsi="Arial"/>
        <w:color w:val="404040"/>
        <w:sz w:val="22"/>
      </w:rPr>
      <w:tblPr/>
      <w:tcPr>
        <w:tcBorders>
          <w:top w:val="single" w:sz="4" w:space="0" w:color="DA9896"/>
          <w:bottom w:val="single" w:sz="4" w:space="0" w:color="DA9896"/>
          <w:right w:val="single" w:sz="4" w:space="0" w:color="DA989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Ind w:w="0" w:type="dxa"/>
      <w:tblBorders>
        <w:top w:val="single" w:sz="4" w:space="0" w:color="B3A2C7"/>
        <w:left w:val="single" w:sz="4" w:space="0" w:color="B3A2C7"/>
        <w:bottom w:val="single" w:sz="4" w:space="0" w:color="B3A2C7"/>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3A2C7"/>
        </w:tcBorders>
      </w:tcPr>
    </w:tblStylePr>
    <w:tblStylePr w:type="band2Vert">
      <w:pPr>
        <w:snapToGrid/>
      </w:pPr>
    </w:tblStylePr>
    <w:tblStylePr w:type="band1Horz">
      <w:pPr>
        <w:snapToGrid/>
      </w:pPr>
      <w:rPr>
        <w:rFonts w:ascii="Arial" w:hAnsi="Arial"/>
        <w:color w:val="404040"/>
        <w:sz w:val="22"/>
      </w:rPr>
      <w:tblPr/>
      <w:tcPr>
        <w:tcBorders>
          <w:top w:val="single" w:sz="4" w:space="0" w:color="B3A2C7"/>
          <w:bottom w:val="single" w:sz="4" w:space="0" w:color="B3A2C7"/>
          <w:right w:val="single" w:sz="4" w:space="0" w:color="B3A2C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Ind w:w="0" w:type="dxa"/>
      <w:tblBorders>
        <w:top w:val="single" w:sz="4" w:space="0" w:color="93CDDD"/>
        <w:left w:val="single" w:sz="4" w:space="0" w:color="93CDDD"/>
        <w:bottom w:val="single" w:sz="4" w:space="0" w:color="93CDDD"/>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3CDDD"/>
        </w:tcBorders>
      </w:tcPr>
    </w:tblStylePr>
    <w:tblStylePr w:type="band2Vert">
      <w:pPr>
        <w:snapToGrid/>
      </w:pPr>
    </w:tblStylePr>
    <w:tblStylePr w:type="band1Horz">
      <w:pPr>
        <w:snapToGrid/>
      </w:pPr>
      <w:rPr>
        <w:rFonts w:ascii="Arial" w:hAnsi="Arial"/>
        <w:color w:val="404040"/>
        <w:sz w:val="22"/>
      </w:rPr>
      <w:tblPr/>
      <w:tcPr>
        <w:tcBorders>
          <w:top w:val="single" w:sz="4" w:space="0" w:color="93CDDD"/>
          <w:bottom w:val="single" w:sz="4" w:space="0" w:color="93CDDD"/>
          <w:right w:val="single" w:sz="4" w:space="0" w:color="93CDD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Ind w:w="0" w:type="dxa"/>
      <w:tblBorders>
        <w:top w:val="single" w:sz="4" w:space="0" w:color="9CB8DA"/>
        <w:left w:val="single" w:sz="4" w:space="0" w:color="9CB8DA"/>
        <w:bottom w:val="single" w:sz="4" w:space="0" w:color="9CB8DA"/>
        <w:right w:val="single" w:sz="4" w:space="0" w:color="9CB8DA"/>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Ind w:w="0" w:type="dxa"/>
      <w:tblBorders>
        <w:top w:val="single" w:sz="4" w:space="0" w:color="DC9D9B"/>
        <w:left w:val="single" w:sz="4" w:space="0" w:color="DC9D9B"/>
        <w:bottom w:val="single" w:sz="4" w:space="0" w:color="DC9D9B"/>
        <w:right w:val="single" w:sz="4" w:space="0" w:color="DC9D9B"/>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Ind w:w="0" w:type="dxa"/>
      <w:tblBorders>
        <w:top w:val="single" w:sz="4" w:space="0" w:color="C7D9A2"/>
        <w:left w:val="single" w:sz="4" w:space="0" w:color="C7D9A2"/>
        <w:bottom w:val="single" w:sz="4" w:space="0" w:color="C7D9A2"/>
        <w:right w:val="single" w:sz="4" w:space="0" w:color="C7D9A2"/>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Ind w:w="0" w:type="dxa"/>
      <w:tblBorders>
        <w:top w:val="single" w:sz="4" w:space="0" w:color="B8A8CB"/>
        <w:left w:val="single" w:sz="4" w:space="0" w:color="B8A8CB"/>
        <w:bottom w:val="single" w:sz="4" w:space="0" w:color="B8A8CB"/>
        <w:right w:val="single" w:sz="4" w:space="0" w:color="B8A8CB"/>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Ind w:w="0" w:type="dxa"/>
      <w:tblBorders>
        <w:top w:val="single" w:sz="4" w:space="0" w:color="9AD1DF"/>
        <w:left w:val="single" w:sz="4" w:space="0" w:color="9AD1DF"/>
        <w:bottom w:val="single" w:sz="4" w:space="0" w:color="9AD1DF"/>
        <w:right w:val="single" w:sz="4" w:space="0" w:color="9AD1DF"/>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Ind w:w="0" w:type="dxa"/>
      <w:tblBorders>
        <w:top w:val="single" w:sz="4" w:space="0" w:color="FBC497"/>
        <w:left w:val="single" w:sz="4" w:space="0" w:color="FBC497"/>
        <w:bottom w:val="single" w:sz="4" w:space="0" w:color="FBC497"/>
        <w:right w:val="single" w:sz="4" w:space="0" w:color="FBC497"/>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FFFF"/>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FFF"/>
      </w:tcPr>
    </w:tblStylePr>
    <w:tblStylePr w:type="band2Vert">
      <w:pPr>
        <w:snapToGrid/>
      </w:pPr>
    </w:tblStylePr>
    <w:tblStylePr w:type="band1Horz">
      <w:pPr>
        <w:snapToGrid/>
      </w:pPr>
      <w:rPr>
        <w:rFonts w:ascii="Arial" w:hAnsi="Arial"/>
        <w:color w:val="404040"/>
        <w:sz w:val="22"/>
      </w:rPr>
      <w:tblPr/>
      <w:tcPr>
        <w:shd w:val="clear" w:color="FFFFFF" w:fill="FFFFF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StyleRowBandSize w:val="1"/>
      <w:tblStyleColBandSize w:val="1"/>
      <w:tblInd w:w="0" w:type="dxa"/>
      <w:tblBorders>
        <w:top w:val="single" w:sz="32" w:space="0" w:color="808080"/>
        <w:left w:val="single" w:sz="32" w:space="0" w:color="808080"/>
        <w:bottom w:val="single" w:sz="32" w:space="0" w:color="808080"/>
        <w:right w:val="single" w:sz="32" w:space="0" w:color="80808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08080"/>
          <w:bottom w:val="single" w:sz="12" w:space="0" w:color="FFFFFF"/>
          <w:right w:val="single" w:sz="32" w:space="0" w:color="808080"/>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0808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A9896"/>
        <w:left w:val="single" w:sz="32" w:space="0" w:color="DA9896"/>
        <w:bottom w:val="single" w:sz="32" w:space="0" w:color="DA9896"/>
        <w:right w:val="single" w:sz="32"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A9896"/>
          <w:bottom w:val="single" w:sz="12" w:space="0" w:color="FFFFFF"/>
          <w:right w:val="single" w:sz="32" w:space="0" w:color="DA9896"/>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A989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3A2C7"/>
        <w:left w:val="single" w:sz="32" w:space="0" w:color="B3A2C7"/>
        <w:bottom w:val="single" w:sz="32" w:space="0" w:color="B3A2C7"/>
        <w:right w:val="single" w:sz="32"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3A2C7"/>
          <w:bottom w:val="single" w:sz="12" w:space="0" w:color="FFFFFF"/>
          <w:right w:val="single" w:sz="32" w:space="0" w:color="B3A2C7"/>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3A2C7"/>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3CDDD"/>
        <w:left w:val="single" w:sz="32" w:space="0" w:color="93CDDD"/>
        <w:bottom w:val="single" w:sz="32" w:space="0" w:color="93CDDD"/>
        <w:right w:val="single" w:sz="32"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3CDDD"/>
          <w:bottom w:val="single" w:sz="12" w:space="0" w:color="FFFFFF"/>
          <w:right w:val="single" w:sz="32" w:space="0" w:color="93CDDD"/>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3CDD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FFFFF" w:fill="FFFFF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FFFF" w:fill="FFFFF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FFFF" w:fill="FFFFFF"/>
      </w:tcPr>
    </w:tblStylePr>
    <w:tblStylePr w:type="band2Horz">
      <w:pPr>
        <w:snapToGrid/>
      </w:pPr>
      <w:tblPr/>
      <w:tcPr>
        <w:tcBorders>
          <w:top w:val="single" w:sz="4" w:space="0" w:color="FFFFFF"/>
          <w:bottom w:val="single" w:sz="4" w:space="0" w:color="FFFFFF"/>
          <w:right w:val="single" w:sz="4" w:space="0" w:color="FFFFFF"/>
        </w:tcBorders>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StyleRowBandSize w:val="1"/>
      <w:tblStyleColBandSize w:val="1"/>
      <w:tblInd w:w="0" w:type="dxa"/>
      <w:tblBorders>
        <w:top w:val="single" w:sz="4" w:space="0" w:color="808080"/>
        <w:left w:val="nil"/>
        <w:bottom w:val="single" w:sz="4" w:space="0" w:color="808080"/>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808080"/>
        </w:tcBorders>
      </w:tcPr>
    </w:tblStylePr>
    <w:tblStylePr w:type="lastRow">
      <w:pPr>
        <w:snapToGrid/>
      </w:pPr>
      <w:rPr>
        <w:b/>
        <w:color w:val="000000"/>
      </w:rPr>
      <w:tblPr/>
      <w:tcPr>
        <w:tcBorders>
          <w:top w:val="single" w:sz="4" w:space="0" w:color="808080"/>
          <w:right w:val="single" w:sz="4" w:space="0" w:color="808080"/>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000000"/>
        <w:sz w:val="22"/>
      </w:rPr>
      <w:tblPr/>
      <w:tcPr>
        <w:shd w:val="clear" w:color="FFFFFF" w:fill="FFFFF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E4B6E"/>
      </w:rPr>
      <w:tblPr/>
      <w:tcPr>
        <w:tcBorders>
          <w:bottom w:val="single" w:sz="4" w:space="0" w:color="4F81BD"/>
        </w:tcBorders>
      </w:tcPr>
    </w:tblStylePr>
    <w:tblStylePr w:type="lastRow">
      <w:pPr>
        <w:snapToGrid/>
      </w:pPr>
      <w:rPr>
        <w:b/>
        <w:color w:val="2E4B6E"/>
      </w:rPr>
      <w:tblPr/>
      <w:tcPr>
        <w:tcBorders>
          <w:top w:val="single" w:sz="4" w:space="0" w:color="4F81BD"/>
          <w:right w:val="single" w:sz="4" w:space="0" w:color="4F81BD"/>
        </w:tcBorders>
      </w:tcPr>
    </w:tblStylePr>
    <w:tblStylePr w:type="firstCol">
      <w:pPr>
        <w:snapToGrid/>
      </w:pPr>
      <w:rPr>
        <w:b/>
        <w:color w:val="2E4B6E"/>
      </w:rPr>
    </w:tblStylePr>
    <w:tblStylePr w:type="lastCol">
      <w:pPr>
        <w:snapToGrid/>
      </w:pPr>
      <w:rPr>
        <w:b/>
        <w:color w:val="2E4B6E"/>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E4B6E"/>
        <w:sz w:val="22"/>
      </w:rPr>
      <w:tblPr/>
      <w:tcPr>
        <w:shd w:val="clear" w:color="FFFFFF" w:fill="FFFFFF"/>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A9896"/>
        <w:left w:val="nil"/>
        <w:bottom w:val="single" w:sz="4" w:space="0" w:color="DA9896"/>
        <w:right w:val="nil"/>
        <w:insideH w:val="nil"/>
        <w:insideV w:val="nil"/>
      </w:tblBorders>
      <w:tblCellMar>
        <w:top w:w="0" w:type="dxa"/>
        <w:left w:w="108" w:type="dxa"/>
        <w:bottom w:w="0" w:type="dxa"/>
        <w:right w:w="108" w:type="dxa"/>
      </w:tblCellMar>
    </w:tblPr>
    <w:tblStylePr w:type="firstRow">
      <w:pPr>
        <w:snapToGrid/>
      </w:pPr>
      <w:rPr>
        <w:b/>
        <w:color w:val="702E2C"/>
      </w:rPr>
      <w:tblPr/>
      <w:tcPr>
        <w:tcBorders>
          <w:bottom w:val="single" w:sz="4" w:space="0" w:color="DA9896"/>
        </w:tcBorders>
      </w:tcPr>
    </w:tblStylePr>
    <w:tblStylePr w:type="lastRow">
      <w:pPr>
        <w:snapToGrid/>
      </w:pPr>
      <w:rPr>
        <w:b/>
        <w:color w:val="702E2C"/>
      </w:rPr>
      <w:tblPr/>
      <w:tcPr>
        <w:tcBorders>
          <w:top w:val="single" w:sz="4" w:space="0" w:color="DA9896"/>
          <w:right w:val="single" w:sz="4" w:space="0" w:color="DA9896"/>
        </w:tcBorders>
      </w:tcPr>
    </w:tblStylePr>
    <w:tblStylePr w:type="firstCol">
      <w:pPr>
        <w:snapToGrid/>
      </w:pPr>
      <w:rPr>
        <w:b/>
        <w:color w:val="702E2C"/>
      </w:rPr>
    </w:tblStylePr>
    <w:tblStylePr w:type="lastCol">
      <w:pPr>
        <w:snapToGrid/>
      </w:pPr>
      <w:rPr>
        <w:b/>
        <w:color w:val="702E2C"/>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702E2C"/>
        <w:sz w:val="22"/>
      </w:rPr>
      <w:tblPr/>
      <w:tcPr>
        <w:shd w:val="clear" w:color="FFFFFF" w:fill="FFFFFF"/>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5A6D34"/>
      </w:rPr>
      <w:tblPr/>
      <w:tcPr>
        <w:tcBorders>
          <w:bottom w:val="single" w:sz="4" w:space="0" w:color="C3D69B"/>
        </w:tcBorders>
      </w:tcPr>
    </w:tblStylePr>
    <w:tblStylePr w:type="lastRow">
      <w:pPr>
        <w:snapToGrid/>
      </w:pPr>
      <w:rPr>
        <w:b/>
        <w:color w:val="5A6D34"/>
      </w:rPr>
      <w:tblPr/>
      <w:tcPr>
        <w:tcBorders>
          <w:top w:val="single" w:sz="4" w:space="0" w:color="C3D69B"/>
          <w:right w:val="single" w:sz="4" w:space="0" w:color="C3D69B"/>
        </w:tcBorders>
      </w:tcPr>
    </w:tblStylePr>
    <w:tblStylePr w:type="firstCol">
      <w:pPr>
        <w:snapToGrid/>
      </w:pPr>
      <w:rPr>
        <w:b/>
        <w:color w:val="5A6D34"/>
      </w:rPr>
    </w:tblStylePr>
    <w:tblStylePr w:type="lastCol">
      <w:pPr>
        <w:snapToGrid/>
      </w:pPr>
      <w:rPr>
        <w:b/>
        <w:color w:val="5A6D34"/>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5A6D34"/>
        <w:sz w:val="22"/>
      </w:rPr>
      <w:tblPr/>
      <w:tcPr>
        <w:shd w:val="clear" w:color="FFFFFF" w:fill="FFFFFF"/>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3A2C7"/>
        <w:left w:val="nil"/>
        <w:bottom w:val="single" w:sz="4" w:space="0" w:color="B3A2C7"/>
        <w:right w:val="nil"/>
        <w:insideH w:val="nil"/>
        <w:insideV w:val="nil"/>
      </w:tblBorders>
      <w:tblCellMar>
        <w:top w:w="0" w:type="dxa"/>
        <w:left w:w="108" w:type="dxa"/>
        <w:bottom w:w="0" w:type="dxa"/>
        <w:right w:w="108" w:type="dxa"/>
      </w:tblCellMar>
    </w:tblPr>
    <w:tblStylePr w:type="firstRow">
      <w:pPr>
        <w:snapToGrid/>
      </w:pPr>
      <w:rPr>
        <w:b/>
        <w:color w:val="4A3A5E"/>
      </w:rPr>
      <w:tblPr/>
      <w:tcPr>
        <w:tcBorders>
          <w:bottom w:val="single" w:sz="4" w:space="0" w:color="B3A2C7"/>
        </w:tcBorders>
      </w:tcPr>
    </w:tblStylePr>
    <w:tblStylePr w:type="lastRow">
      <w:pPr>
        <w:snapToGrid/>
      </w:pPr>
      <w:rPr>
        <w:b/>
        <w:color w:val="4A3A5E"/>
      </w:rPr>
      <w:tblPr/>
      <w:tcPr>
        <w:tcBorders>
          <w:top w:val="single" w:sz="4" w:space="0" w:color="B3A2C7"/>
          <w:right w:val="single" w:sz="4" w:space="0" w:color="B3A2C7"/>
        </w:tcBorders>
      </w:tcPr>
    </w:tblStylePr>
    <w:tblStylePr w:type="firstCol">
      <w:pPr>
        <w:snapToGrid/>
      </w:pPr>
      <w:rPr>
        <w:b/>
        <w:color w:val="4A3A5E"/>
      </w:rPr>
    </w:tblStylePr>
    <w:tblStylePr w:type="lastCol">
      <w:pPr>
        <w:snapToGrid/>
      </w:pPr>
      <w:rPr>
        <w:b/>
        <w:color w:val="4A3A5E"/>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4A3A5E"/>
        <w:sz w:val="22"/>
      </w:rPr>
      <w:tblPr/>
      <w:tcPr>
        <w:shd w:val="clear" w:color="FFFFFF" w:fill="FFFFFF"/>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3CDDD"/>
        <w:left w:val="nil"/>
        <w:bottom w:val="single" w:sz="4" w:space="0" w:color="93CDDD"/>
        <w:right w:val="nil"/>
        <w:insideH w:val="nil"/>
        <w:insideV w:val="nil"/>
      </w:tblBorders>
      <w:tblCellMar>
        <w:top w:w="0" w:type="dxa"/>
        <w:left w:w="108" w:type="dxa"/>
        <w:bottom w:w="0" w:type="dxa"/>
        <w:right w:w="108" w:type="dxa"/>
      </w:tblCellMar>
    </w:tblPr>
    <w:tblStylePr w:type="firstRow">
      <w:pPr>
        <w:snapToGrid/>
      </w:pPr>
      <w:rPr>
        <w:b/>
        <w:color w:val="2B6473"/>
      </w:rPr>
      <w:tblPr/>
      <w:tcPr>
        <w:tcBorders>
          <w:bottom w:val="single" w:sz="4" w:space="0" w:color="93CDDD"/>
        </w:tcBorders>
      </w:tcPr>
    </w:tblStylePr>
    <w:tblStylePr w:type="lastRow">
      <w:pPr>
        <w:snapToGrid/>
      </w:pPr>
      <w:rPr>
        <w:b/>
        <w:color w:val="2B6473"/>
      </w:rPr>
      <w:tblPr/>
      <w:tcPr>
        <w:tcBorders>
          <w:top w:val="single" w:sz="4" w:space="0" w:color="93CDDD"/>
          <w:right w:val="single" w:sz="4" w:space="0" w:color="93CDDD"/>
        </w:tcBorders>
      </w:tc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B6473"/>
        <w:sz w:val="22"/>
      </w:rPr>
      <w:tblPr/>
      <w:tcPr>
        <w:shd w:val="clear" w:color="FFFFFF" w:fill="FFFFFF"/>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905728"/>
      </w:rPr>
      <w:tblPr/>
      <w:tcPr>
        <w:tcBorders>
          <w:bottom w:val="single" w:sz="4" w:space="0" w:color="FAC090"/>
        </w:tcBorders>
      </w:tcPr>
    </w:tblStylePr>
    <w:tblStylePr w:type="lastRow">
      <w:pPr>
        <w:snapToGrid/>
      </w:pPr>
      <w:rPr>
        <w:b/>
        <w:color w:val="905728"/>
      </w:rPr>
      <w:tblPr/>
      <w:tcPr>
        <w:tcBorders>
          <w:top w:val="single" w:sz="4" w:space="0" w:color="FAC090"/>
          <w:right w:val="single" w:sz="4" w:space="0" w:color="FAC090"/>
        </w:tcBorders>
      </w:tcPr>
    </w:tblStylePr>
    <w:tblStylePr w:type="firstCol">
      <w:pPr>
        <w:snapToGrid/>
      </w:pPr>
      <w:rPr>
        <w:b/>
        <w:color w:val="905728"/>
      </w:rPr>
    </w:tblStylePr>
    <w:tblStylePr w:type="lastCol">
      <w:pPr>
        <w:snapToGrid/>
      </w:pPr>
      <w:rPr>
        <w:b/>
        <w:color w:val="905728"/>
      </w:r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905728"/>
        <w:sz w:val="22"/>
      </w:rPr>
      <w:tblPr/>
      <w:tcPr>
        <w:shd w:val="clear" w:color="FFFFFF" w:fill="FFFFFF"/>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StyleRowBandSize w:val="1"/>
      <w:tblStyleColBandSize w:val="1"/>
      <w:tblInd w:w="0" w:type="dxa"/>
      <w:tblBorders>
        <w:top w:val="nil"/>
        <w:left w:val="nil"/>
        <w:bottom w:val="nil"/>
        <w:right w:val="single" w:sz="4" w:space="0" w:color="808080"/>
        <w:insideH w:val="nil"/>
        <w:insideV w:val="nil"/>
      </w:tblBorders>
      <w:tblCellMar>
        <w:top w:w="0" w:type="dxa"/>
        <w:left w:w="108" w:type="dxa"/>
        <w:bottom w:w="0" w:type="dxa"/>
        <w:right w:w="108" w:type="dxa"/>
      </w:tblCellMar>
    </w:tblPr>
    <w:tblStylePr w:type="firstRow">
      <w:pPr>
        <w:snapToGrid/>
      </w:pPr>
      <w:rPr>
        <w:rFonts w:ascii="Arial" w:hAnsi="Arial"/>
        <w:i/>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i/>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000000"/>
        <w:sz w:val="22"/>
      </w:rPr>
      <w:tblPr/>
      <w:tcPr>
        <w:shd w:val="clear" w:color="FFFFFF" w:fill="FFFFF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Ind w:w="0" w:type="dxa"/>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E4B6E"/>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E4B6E"/>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E4B6E"/>
        <w:sz w:val="22"/>
      </w:rPr>
      <w:tblPr/>
      <w:tcPr>
        <w:shd w:val="clear" w:color="FFFFFF" w:fill="FFFFFF"/>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Ind w:w="0" w:type="dxa"/>
      <w:tblBorders>
        <w:top w:val="nil"/>
        <w:left w:val="nil"/>
        <w:bottom w:val="nil"/>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i/>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i/>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702E2C"/>
        <w:sz w:val="22"/>
      </w:rPr>
      <w:tblPr/>
      <w:tcPr>
        <w:shd w:val="clear" w:color="FFFFFF" w:fill="FFFFFF"/>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Ind w:w="0" w:type="dxa"/>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5A6D34"/>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5A6D34"/>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5A6D34"/>
        <w:sz w:val="22"/>
      </w:rPr>
      <w:tblPr/>
      <w:tcPr>
        <w:shd w:val="clear" w:color="FFFFFF" w:fill="FFFFFF"/>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Ind w:w="0" w:type="dxa"/>
      <w:tblBorders>
        <w:top w:val="nil"/>
        <w:left w:val="nil"/>
        <w:bottom w:val="nil"/>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i/>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i/>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4A3A5E"/>
        <w:sz w:val="22"/>
      </w:rPr>
      <w:tblPr/>
      <w:tcPr>
        <w:shd w:val="clear" w:color="FFFFFF" w:fill="FFFFFF"/>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Ind w:w="0" w:type="dxa"/>
      <w:tblBorders>
        <w:top w:val="nil"/>
        <w:left w:val="nil"/>
        <w:bottom w:val="nil"/>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i/>
        <w:color w:val="2B6473"/>
        <w:sz w:val="22"/>
      </w:rPr>
      <w:tblPr/>
      <w:tcPr>
        <w:tcBorders>
          <w:top w:val="none" w:sz="0" w:space="0" w:color="000000"/>
          <w:left w:val="none" w:sz="0" w:space="0" w:color="000000"/>
          <w:bottom w:val="single" w:sz="4" w:space="0" w:color="93CDDD"/>
          <w:right w:val="none" w:sz="0" w:space="0" w:color="000000"/>
        </w:tcBorders>
        <w:shd w:val="clear" w:color="FFFFFF" w:fill="FFFFFF"/>
      </w:tcPr>
    </w:tblStylePr>
    <w:tblStylePr w:type="lastRow">
      <w:pPr>
        <w:snapToGrid/>
      </w:pPr>
      <w:rPr>
        <w:rFonts w:ascii="Arial" w:hAnsi="Arial"/>
        <w:i/>
        <w:color w:val="2B6473"/>
        <w:sz w:val="22"/>
      </w:rPr>
      <w:tblPr/>
      <w:tcPr>
        <w:tcBorders>
          <w:top w:val="single" w:sz="4" w:space="0" w:color="93CDDD"/>
          <w:left w:val="none" w:sz="0" w:space="0" w:color="000000"/>
          <w:bottom w:val="none" w:sz="0" w:space="0" w:color="000000"/>
          <w:right w:val="single" w:sz="4" w:space="0" w:color="93CDDD"/>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3CDDD"/>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2B6473"/>
        <w:sz w:val="22"/>
      </w:rPr>
      <w:tblPr/>
      <w:tcPr>
        <w:shd w:val="clear" w:color="FFFFFF" w:fill="FFFFFF"/>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Ind w:w="0" w:type="dxa"/>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905728"/>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905728"/>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FFFFF" w:fill="FFFFFF"/>
      </w:tcPr>
    </w:tblStylePr>
    <w:tblStylePr w:type="band2Vert">
      <w:pPr>
        <w:snapToGrid/>
      </w:pPr>
    </w:tblStylePr>
    <w:tblStylePr w:type="band1Horz">
      <w:pPr>
        <w:snapToGrid/>
      </w:pPr>
      <w:rPr>
        <w:rFonts w:ascii="Arial" w:hAnsi="Arial"/>
        <w:color w:val="905728"/>
        <w:sz w:val="22"/>
      </w:rPr>
      <w:tblPr/>
      <w:tcPr>
        <w:shd w:val="clear" w:color="FFFFFF" w:fill="FFFFFF"/>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B29"/>
        <w:left w:val="single" w:sz="4" w:space="0" w:color="732B29"/>
        <w:bottom w:val="single" w:sz="4" w:space="0" w:color="732B29"/>
        <w:right w:val="single" w:sz="4" w:space="0" w:color="732B29"/>
        <w:insideH w:val="single" w:sz="4" w:space="0" w:color="732B29"/>
        <w:insideV w:val="single" w:sz="4" w:space="0" w:color="732B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C722F"/>
        <w:left w:val="single" w:sz="4" w:space="0" w:color="5C722F"/>
        <w:bottom w:val="single" w:sz="4" w:space="0" w:color="5C722F"/>
        <w:right w:val="single" w:sz="4" w:space="0" w:color="5C722F"/>
        <w:insideH w:val="single" w:sz="4" w:space="0" w:color="5C722F"/>
        <w:insideV w:val="single" w:sz="4" w:space="0" w:color="5C722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8"/>
        <w:left w:val="single" w:sz="4" w:space="0" w:color="266778"/>
        <w:bottom w:val="single" w:sz="4" w:space="0" w:color="266778"/>
        <w:right w:val="single" w:sz="4" w:space="0" w:color="266778"/>
        <w:insideH w:val="single" w:sz="4" w:space="0" w:color="266778"/>
        <w:insideV w:val="single" w:sz="4" w:space="0" w:color="26677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05408"/>
        <w:left w:val="single" w:sz="4" w:space="0" w:color="B05408"/>
        <w:bottom w:val="single" w:sz="4" w:space="0" w:color="B05408"/>
        <w:right w:val="single" w:sz="4" w:space="0" w:color="B05408"/>
        <w:insideH w:val="single" w:sz="4" w:space="0" w:color="B05408"/>
        <w:insideV w:val="single" w:sz="4" w:space="0" w:color="B0540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FFFF"/>
      </w:tcPr>
    </w:tblStylePr>
    <w:tblStylePr w:type="lastRow">
      <w:pPr>
        <w:snapToGrid/>
      </w:pPr>
      <w:rPr>
        <w:rFonts w:ascii="Arial" w:hAnsi="Arial"/>
        <w:color w:val="F2F2F2"/>
        <w:sz w:val="22"/>
      </w:rPr>
      <w:tblPr/>
      <w:tcPr>
        <w:shd w:val="clear" w:color="FFFFFF" w:fill="FFFFFF"/>
      </w:tcPr>
    </w:tblStylePr>
    <w:tblStylePr w:type="firstCol">
      <w:pPr>
        <w:snapToGrid/>
      </w:pPr>
      <w:rPr>
        <w:rFonts w:ascii="Arial" w:hAnsi="Arial"/>
        <w:color w:val="F2F2F2"/>
        <w:sz w:val="22"/>
      </w:rPr>
      <w:tblPr/>
      <w:tcPr>
        <w:shd w:val="clear" w:color="FFFFFF" w:fill="FFFFFF"/>
      </w:tcPr>
    </w:tblStylePr>
    <w:tblStylePr w:type="lastCol">
      <w:pPr>
        <w:snapToGrid/>
      </w:pPr>
      <w:rPr>
        <w:rFonts w:ascii="Arial" w:hAnsi="Arial"/>
        <w:color w:val="F2F2F2"/>
        <w:sz w:val="22"/>
      </w:rPr>
      <w:tblPr/>
      <w:tcPr>
        <w:shd w:val="clear" w:color="FFFFFF" w:fill="FFFFF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FFF"/>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FF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08080"/>
        </w:tcBorders>
      </w:tcPr>
    </w:tblStylePr>
    <w:tblStylePr w:type="lastRow">
      <w:pPr>
        <w:snapToGrid/>
      </w:pPr>
      <w:rPr>
        <w:rFonts w:ascii="Arial" w:hAnsi="Arial"/>
        <w:color w:val="404040"/>
        <w:sz w:val="22"/>
      </w:rPr>
      <w:tblPr/>
      <w:tcPr>
        <w:tcBorders>
          <w:top w:val="single" w:sz="12" w:space="0" w:color="808080"/>
          <w:right w:val="single" w:sz="12" w:space="0" w:color="8080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080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Ind w:w="0" w:type="dxa"/>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Ind w:w="0" w:type="dxa"/>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A9896"/>
        </w:tcBorders>
      </w:tcPr>
    </w:tblStylePr>
    <w:tblStylePr w:type="lastRow">
      <w:pPr>
        <w:snapToGrid/>
      </w:pPr>
      <w:rPr>
        <w:rFonts w:ascii="Arial" w:hAnsi="Arial"/>
        <w:color w:val="404040"/>
        <w:sz w:val="22"/>
      </w:rPr>
      <w:tblPr/>
      <w:tcPr>
        <w:tcBorders>
          <w:top w:val="single" w:sz="12" w:space="0" w:color="DA9896"/>
          <w:right w:val="single" w:sz="12" w:space="0" w:color="DA989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A989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Ind w:w="0" w:type="dxa"/>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Ind w:w="0" w:type="dxa"/>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3A2C7"/>
        </w:tcBorders>
      </w:tcPr>
    </w:tblStylePr>
    <w:tblStylePr w:type="lastRow">
      <w:pPr>
        <w:snapToGrid/>
      </w:pPr>
      <w:rPr>
        <w:rFonts w:ascii="Arial" w:hAnsi="Arial"/>
        <w:color w:val="404040"/>
        <w:sz w:val="22"/>
      </w:rPr>
      <w:tblPr/>
      <w:tcPr>
        <w:tcBorders>
          <w:top w:val="single" w:sz="12" w:space="0" w:color="B3A2C7"/>
          <w:right w:val="single" w:sz="12" w:space="0" w:color="B3A2C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3A2C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Ind w:w="0" w:type="dxa"/>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3CDDD"/>
        </w:tcBorders>
      </w:tcPr>
    </w:tblStylePr>
    <w:tblStylePr w:type="lastRow">
      <w:pPr>
        <w:snapToGrid/>
      </w:pPr>
      <w:rPr>
        <w:rFonts w:ascii="Arial" w:hAnsi="Arial"/>
        <w:color w:val="404040"/>
        <w:sz w:val="22"/>
      </w:rPr>
      <w:tblPr/>
      <w:tcPr>
        <w:tcBorders>
          <w:top w:val="single" w:sz="12" w:space="0" w:color="93CDDD"/>
          <w:right w:val="single" w:sz="12" w:space="0" w:color="93CDD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3CDD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Ind w:w="0" w:type="dxa"/>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6">
    <w:name w:val="footnote text"/>
    <w:basedOn w:val="a"/>
    <w:link w:val="af7"/>
    <w:uiPriority w:val="99"/>
    <w:semiHidden/>
    <w:unhideWhenUsed/>
    <w:pPr>
      <w:spacing w:after="40"/>
    </w:pPr>
    <w:rPr>
      <w:sz w:val="18"/>
    </w:rPr>
  </w:style>
  <w:style w:type="character" w:customStyle="1" w:styleId="af7">
    <w:name w:val="脚注文本 字符"/>
    <w:link w:val="af6"/>
    <w:uiPriority w:val="99"/>
    <w:rPr>
      <w:sz w:val="18"/>
    </w:rPr>
  </w:style>
  <w:style w:type="character" w:styleId="af8">
    <w:name w:val="footnote reference"/>
    <w:uiPriority w:val="99"/>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basedOn w:val="a"/>
    <w:uiPriority w:val="39"/>
    <w:qFormat/>
  </w:style>
  <w:style w:type="paragraph" w:customStyle="1" w:styleId="annotationtext">
    <w:name w:val="annotation text"/>
    <w:basedOn w:val="a"/>
    <w:link w:val="Char"/>
    <w:uiPriority w:val="99"/>
    <w:semiHidden/>
    <w:unhideWhenUsed/>
    <w:pPr>
      <w:jc w:val="left"/>
    </w:pPr>
    <w:rPr>
      <w:sz w:val="20"/>
      <w:lang w:val="zh-CN"/>
    </w:rPr>
  </w:style>
  <w:style w:type="paragraph" w:styleId="af9">
    <w:name w:val="Balloon Text"/>
    <w:basedOn w:val="a"/>
    <w:link w:val="afa"/>
    <w:uiPriority w:val="99"/>
    <w:semiHidden/>
    <w:unhideWhenUsed/>
    <w:rPr>
      <w:sz w:val="18"/>
      <w:szCs w:val="18"/>
      <w:lang w:val="zh-CN"/>
    </w:rPr>
  </w:style>
  <w:style w:type="paragraph" w:styleId="a5">
    <w:name w:val="footer"/>
    <w:basedOn w:val="a"/>
    <w:link w:val="afb"/>
    <w:uiPriority w:val="99"/>
    <w:unhideWhenUsed/>
    <w:pPr>
      <w:tabs>
        <w:tab w:val="center" w:pos="4153"/>
        <w:tab w:val="right" w:pos="8306"/>
      </w:tabs>
      <w:snapToGrid w:val="0"/>
      <w:jc w:val="left"/>
    </w:pPr>
    <w:rPr>
      <w:sz w:val="18"/>
      <w:szCs w:val="18"/>
      <w:lang w:val="zh-CN"/>
    </w:rPr>
  </w:style>
  <w:style w:type="paragraph" w:styleId="af4">
    <w:name w:val="header"/>
    <w:basedOn w:val="a"/>
    <w:link w:val="afc"/>
    <w:uiPriority w:val="99"/>
    <w:unhideWhenUsed/>
    <w:pPr>
      <w:pBdr>
        <w:bottom w:val="single" w:sz="6" w:space="1" w:color="000000"/>
      </w:pBdr>
      <w:tabs>
        <w:tab w:val="center" w:pos="4153"/>
        <w:tab w:val="right" w:pos="8306"/>
      </w:tabs>
      <w:snapToGrid w:val="0"/>
      <w:jc w:val="center"/>
    </w:pPr>
    <w:rPr>
      <w:sz w:val="18"/>
      <w:szCs w:val="18"/>
      <w:lang w:val="zh-CN"/>
    </w:rPr>
  </w:style>
  <w:style w:type="paragraph" w:customStyle="1" w:styleId="annotationsubject">
    <w:name w:val="annotation subject"/>
    <w:basedOn w:val="annotationtext"/>
    <w:next w:val="annotationtext"/>
    <w:link w:val="Char0"/>
    <w:uiPriority w:val="99"/>
    <w:semiHidden/>
    <w:unhideWhenUsed/>
    <w:rPr>
      <w:b/>
      <w:bCs/>
    </w:rPr>
  </w:style>
  <w:style w:type="character" w:styleId="afd">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customStyle="1" w:styleId="afc">
    <w:name w:val="页眉 字符"/>
    <w:link w:val="af4"/>
    <w:uiPriority w:val="99"/>
    <w:rPr>
      <w:rFonts w:cs="Times New Roman"/>
      <w:sz w:val="18"/>
      <w:szCs w:val="18"/>
    </w:rPr>
  </w:style>
  <w:style w:type="character" w:customStyle="1" w:styleId="afb">
    <w:name w:val="页脚 字符"/>
    <w:link w:val="a5"/>
    <w:uiPriority w:val="99"/>
    <w:rPr>
      <w:rFonts w:cs="Times New Roman"/>
      <w:sz w:val="18"/>
      <w:szCs w:val="18"/>
    </w:rPr>
  </w:style>
  <w:style w:type="character" w:customStyle="1" w:styleId="afa">
    <w:name w:val="批注框文本 字符"/>
    <w:link w:val="af9"/>
    <w:uiPriority w:val="99"/>
    <w:semiHidden/>
    <w:rPr>
      <w:rFonts w:cs="Times New Roman"/>
      <w:sz w:val="18"/>
      <w:szCs w:val="18"/>
    </w:rPr>
  </w:style>
  <w:style w:type="character" w:customStyle="1" w:styleId="Char">
    <w:name w:val="批注文字 Char"/>
    <w:link w:val="annotationtext"/>
    <w:uiPriority w:val="99"/>
    <w:semiHidden/>
    <w:rPr>
      <w:rFonts w:cs="Times New Roman"/>
      <w:sz w:val="22"/>
      <w:szCs w:val="22"/>
    </w:rPr>
  </w:style>
  <w:style w:type="character" w:customStyle="1" w:styleId="Char0">
    <w:name w:val="批注主题 Char"/>
    <w:link w:val="annotationsubject"/>
    <w:uiPriority w:val="99"/>
    <w:semiHidden/>
    <w:rPr>
      <w:rFonts w:cs="Times New Roman"/>
      <w:b/>
      <w:bCs/>
      <w:sz w:val="22"/>
      <w:szCs w:val="22"/>
    </w:rPr>
  </w:style>
  <w:style w:type="paragraph" w:styleId="afe">
    <w:name w:val="Revision"/>
    <w:basedOn w:val="a"/>
    <w:hidden/>
    <w:uiPriority w:val="99"/>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2025-12-14T16:01:00Z</dcterms:created>
  <dcterms:modified xsi:type="dcterms:W3CDTF">2025-12-14T16:01:00Z</dcterms:modified>
</cp:coreProperties>
</file>