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A00" w:rsidRDefault="008B175C">
      <w:pPr>
        <w:jc w:val="center"/>
        <w:rPr>
          <w:b/>
          <w:bCs/>
          <w:sz w:val="28"/>
          <w:szCs w:val="28"/>
        </w:rPr>
      </w:pPr>
      <w:r>
        <w:rPr>
          <w:rFonts w:hint="eastAsia"/>
          <w:b/>
          <w:bCs/>
          <w:sz w:val="28"/>
          <w:szCs w:val="28"/>
        </w:rPr>
        <w:t>博时基金管理有限公司关于</w:t>
      </w:r>
      <w:r>
        <w:rPr>
          <w:rFonts w:hint="eastAsia"/>
          <w:b/>
          <w:bCs/>
          <w:sz w:val="28"/>
          <w:szCs w:val="28"/>
        </w:rPr>
        <w:t>博时中证医药</w:t>
      </w:r>
      <w:r>
        <w:rPr>
          <w:rFonts w:hint="eastAsia"/>
          <w:b/>
          <w:bCs/>
          <w:sz w:val="28"/>
          <w:szCs w:val="28"/>
        </w:rPr>
        <w:t>50</w:t>
      </w:r>
      <w:r>
        <w:rPr>
          <w:rFonts w:hint="eastAsia"/>
          <w:b/>
          <w:bCs/>
          <w:sz w:val="28"/>
          <w:szCs w:val="28"/>
        </w:rPr>
        <w:t>交易型开放式指数证券投资基金</w:t>
      </w:r>
      <w:r>
        <w:rPr>
          <w:rFonts w:hint="eastAsia"/>
          <w:b/>
          <w:bCs/>
          <w:sz w:val="28"/>
          <w:szCs w:val="28"/>
        </w:rPr>
        <w:t>修</w:t>
      </w:r>
      <w:bookmarkStart w:id="0" w:name="_GoBack"/>
      <w:bookmarkEnd w:id="0"/>
      <w:r>
        <w:rPr>
          <w:rFonts w:hint="eastAsia"/>
          <w:b/>
          <w:bCs/>
          <w:sz w:val="28"/>
          <w:szCs w:val="28"/>
        </w:rPr>
        <w:t>改招募说明书的公告</w:t>
      </w:r>
    </w:p>
    <w:p w:rsidR="00A76A00" w:rsidRDefault="00A76A00"/>
    <w:p w:rsidR="00A76A00" w:rsidRDefault="008B175C">
      <w:pPr>
        <w:spacing w:line="360" w:lineRule="auto"/>
        <w:ind w:firstLineChars="200" w:firstLine="480"/>
        <w:rPr>
          <w:sz w:val="24"/>
        </w:rPr>
      </w:pPr>
      <w:r>
        <w:rPr>
          <w:rFonts w:hint="eastAsia"/>
          <w:sz w:val="24"/>
        </w:rPr>
        <w:t>根据</w:t>
      </w:r>
      <w:r>
        <w:rPr>
          <w:rFonts w:hint="eastAsia"/>
          <w:sz w:val="24"/>
        </w:rPr>
        <w:t>博时中证医药</w:t>
      </w:r>
      <w:r>
        <w:rPr>
          <w:rFonts w:hint="eastAsia"/>
          <w:sz w:val="24"/>
        </w:rPr>
        <w:t>50</w:t>
      </w:r>
      <w:r>
        <w:rPr>
          <w:rFonts w:hint="eastAsia"/>
          <w:sz w:val="24"/>
        </w:rPr>
        <w:t>交易型开放式指数证券投资基金</w:t>
      </w:r>
      <w:r>
        <w:rPr>
          <w:rFonts w:hint="eastAsia"/>
          <w:sz w:val="24"/>
        </w:rPr>
        <w:t>（</w:t>
      </w:r>
      <w:r>
        <w:rPr>
          <w:rFonts w:hint="eastAsia"/>
          <w:sz w:val="24"/>
        </w:rPr>
        <w:t>场内</w:t>
      </w:r>
      <w:r>
        <w:rPr>
          <w:rFonts w:hint="eastAsia"/>
          <w:sz w:val="24"/>
        </w:rPr>
        <w:t>简称：</w:t>
      </w:r>
      <w:r>
        <w:rPr>
          <w:rFonts w:hint="eastAsia"/>
          <w:sz w:val="24"/>
        </w:rPr>
        <w:t>医药</w:t>
      </w:r>
      <w:r>
        <w:rPr>
          <w:rFonts w:hint="eastAsia"/>
          <w:sz w:val="24"/>
        </w:rPr>
        <w:t>50</w:t>
      </w:r>
      <w:r>
        <w:rPr>
          <w:rFonts w:hint="eastAsia"/>
          <w:sz w:val="24"/>
        </w:rPr>
        <w:t>ETF</w:t>
      </w:r>
      <w:r>
        <w:rPr>
          <w:rFonts w:hint="eastAsia"/>
          <w:sz w:val="24"/>
        </w:rPr>
        <w:t>；交易代码：</w:t>
      </w:r>
      <w:r>
        <w:rPr>
          <w:rFonts w:hint="eastAsia"/>
          <w:sz w:val="24"/>
        </w:rPr>
        <w:t>159838</w:t>
      </w:r>
      <w:r>
        <w:rPr>
          <w:rFonts w:hint="eastAsia"/>
          <w:sz w:val="24"/>
        </w:rPr>
        <w:t>）标的指数成份股的定期调整情况，为更好地满足投资者的投资需求，博时基金管理有限公司（以下简称</w:t>
      </w:r>
      <w:r>
        <w:rPr>
          <w:rFonts w:hint="eastAsia"/>
          <w:sz w:val="24"/>
        </w:rPr>
        <w:t>“</w:t>
      </w:r>
      <w:r>
        <w:rPr>
          <w:rFonts w:hint="eastAsia"/>
          <w:sz w:val="24"/>
        </w:rPr>
        <w:t>本公司</w:t>
      </w:r>
      <w:r>
        <w:rPr>
          <w:rFonts w:hint="eastAsia"/>
          <w:sz w:val="24"/>
        </w:rPr>
        <w:t>”</w:t>
      </w:r>
      <w:r>
        <w:rPr>
          <w:rFonts w:hint="eastAsia"/>
          <w:sz w:val="24"/>
        </w:rPr>
        <w:t>）</w:t>
      </w:r>
      <w:r>
        <w:rPr>
          <w:rFonts w:hint="eastAsia"/>
          <w:sz w:val="24"/>
        </w:rPr>
        <w:t>决定对本</w:t>
      </w:r>
      <w:r>
        <w:rPr>
          <w:rFonts w:hint="eastAsia"/>
          <w:sz w:val="24"/>
        </w:rPr>
        <w:t>基金招募说明书中涉及申购赎回现金替代的相关内容</w:t>
      </w:r>
      <w:bookmarkStart w:id="1" w:name="_Hlk170161402"/>
      <w:r>
        <w:rPr>
          <w:rFonts w:hint="eastAsia"/>
          <w:sz w:val="24"/>
        </w:rPr>
        <w:t>进行修订</w:t>
      </w:r>
      <w:r>
        <w:rPr>
          <w:rFonts w:hint="eastAsia"/>
          <w:sz w:val="24"/>
        </w:rPr>
        <w:t>，并相应补充</w:t>
      </w:r>
      <w:r>
        <w:rPr>
          <w:rFonts w:hint="eastAsia"/>
          <w:sz w:val="24"/>
        </w:rPr>
        <w:t>投资于</w:t>
      </w:r>
      <w:r>
        <w:rPr>
          <w:rFonts w:hint="eastAsia"/>
          <w:sz w:val="24"/>
        </w:rPr>
        <w:t>北京证券交易所股票的风险提示</w:t>
      </w:r>
      <w:bookmarkEnd w:id="1"/>
      <w:r>
        <w:rPr>
          <w:rFonts w:hint="eastAsia"/>
          <w:sz w:val="24"/>
        </w:rPr>
        <w:t>，本次修订自</w:t>
      </w:r>
      <w:r>
        <w:rPr>
          <w:rFonts w:hint="eastAsia"/>
          <w:sz w:val="24"/>
        </w:rPr>
        <w:t>2025</w:t>
      </w:r>
      <w:r>
        <w:rPr>
          <w:rFonts w:hint="eastAsia"/>
          <w:sz w:val="24"/>
        </w:rPr>
        <w:t>年</w:t>
      </w:r>
      <w:r>
        <w:rPr>
          <w:rFonts w:hint="eastAsia"/>
          <w:sz w:val="24"/>
        </w:rPr>
        <w:t>12</w:t>
      </w:r>
      <w:r>
        <w:rPr>
          <w:rFonts w:hint="eastAsia"/>
          <w:sz w:val="24"/>
        </w:rPr>
        <w:t>月</w:t>
      </w:r>
      <w:r>
        <w:rPr>
          <w:rFonts w:hint="eastAsia"/>
          <w:sz w:val="24"/>
        </w:rPr>
        <w:t>13</w:t>
      </w:r>
      <w:r>
        <w:rPr>
          <w:rFonts w:hint="eastAsia"/>
          <w:sz w:val="24"/>
        </w:rPr>
        <w:t>日</w:t>
      </w:r>
      <w:r>
        <w:rPr>
          <w:rFonts w:hint="eastAsia"/>
          <w:sz w:val="24"/>
        </w:rPr>
        <w:t>起生效。</w:t>
      </w:r>
      <w:r>
        <w:rPr>
          <w:rFonts w:hint="eastAsia"/>
          <w:sz w:val="24"/>
        </w:rPr>
        <w:t>现将具体情况公告如下：</w:t>
      </w:r>
    </w:p>
    <w:p w:rsidR="00A76A00" w:rsidRDefault="008B175C">
      <w:pPr>
        <w:numPr>
          <w:ilvl w:val="0"/>
          <w:numId w:val="1"/>
        </w:numPr>
        <w:spacing w:line="360" w:lineRule="auto"/>
        <w:ind w:firstLineChars="200" w:firstLine="480"/>
        <w:rPr>
          <w:sz w:val="24"/>
        </w:rPr>
      </w:pPr>
      <w:r>
        <w:rPr>
          <w:rFonts w:hint="eastAsia"/>
          <w:sz w:val="24"/>
        </w:rPr>
        <w:t>招募说明书修订</w:t>
      </w:r>
    </w:p>
    <w:p w:rsidR="00A76A00" w:rsidRDefault="008B175C">
      <w:pPr>
        <w:spacing w:line="360" w:lineRule="auto"/>
        <w:ind w:firstLineChars="175" w:firstLine="420"/>
        <w:rPr>
          <w:sz w:val="24"/>
        </w:rPr>
      </w:pPr>
      <w:r>
        <w:rPr>
          <w:rFonts w:hint="eastAsia"/>
          <w:sz w:val="24"/>
        </w:rPr>
        <w:t>本次招募说明书修订的主要内容包括：</w:t>
      </w:r>
    </w:p>
    <w:p w:rsidR="00A76A00" w:rsidRDefault="008B175C">
      <w:pPr>
        <w:spacing w:line="360" w:lineRule="auto"/>
        <w:ind w:firstLineChars="175" w:firstLine="420"/>
        <w:rPr>
          <w:sz w:val="24"/>
        </w:rPr>
      </w:pPr>
      <w:r>
        <w:rPr>
          <w:rFonts w:hint="eastAsia"/>
          <w:sz w:val="24"/>
        </w:rPr>
        <w:t>（一）</w:t>
      </w:r>
      <w:r>
        <w:rPr>
          <w:sz w:val="24"/>
        </w:rPr>
        <w:t>对</w:t>
      </w:r>
      <w:r>
        <w:rPr>
          <w:rFonts w:hint="eastAsia"/>
          <w:sz w:val="24"/>
        </w:rPr>
        <w:t>“基金份额的申购与赎回”</w:t>
      </w:r>
      <w:r>
        <w:rPr>
          <w:sz w:val="24"/>
        </w:rPr>
        <w:t>章节的修订</w:t>
      </w:r>
    </w:p>
    <w:p w:rsidR="00A76A00" w:rsidRDefault="008B175C">
      <w:pPr>
        <w:spacing w:line="360" w:lineRule="auto"/>
        <w:ind w:firstLineChars="175" w:firstLine="420"/>
        <w:rPr>
          <w:sz w:val="24"/>
        </w:rPr>
      </w:pPr>
      <w:r>
        <w:rPr>
          <w:sz w:val="24"/>
        </w:rPr>
        <w:t>将</w:t>
      </w:r>
      <w:r>
        <w:rPr>
          <w:rFonts w:hint="eastAsia"/>
          <w:sz w:val="24"/>
        </w:rPr>
        <w:t>“沪</w:t>
      </w:r>
      <w:r>
        <w:rPr>
          <w:sz w:val="24"/>
        </w:rPr>
        <w:t>市成份证券</w:t>
      </w:r>
      <w:r>
        <w:rPr>
          <w:rFonts w:hint="eastAsia"/>
          <w:sz w:val="24"/>
        </w:rPr>
        <w:t>”</w:t>
      </w:r>
      <w:r>
        <w:rPr>
          <w:sz w:val="24"/>
        </w:rPr>
        <w:t>修订为</w:t>
      </w:r>
      <w:r>
        <w:rPr>
          <w:rFonts w:hint="eastAsia"/>
          <w:sz w:val="24"/>
        </w:rPr>
        <w:t>“</w:t>
      </w:r>
      <w:r>
        <w:rPr>
          <w:sz w:val="24"/>
        </w:rPr>
        <w:t>非</w:t>
      </w:r>
      <w:r>
        <w:rPr>
          <w:rFonts w:hint="eastAsia"/>
          <w:sz w:val="24"/>
        </w:rPr>
        <w:t>深</w:t>
      </w:r>
      <w:r>
        <w:rPr>
          <w:sz w:val="24"/>
        </w:rPr>
        <w:t>市成份证券</w:t>
      </w:r>
      <w:r>
        <w:rPr>
          <w:rFonts w:hint="eastAsia"/>
          <w:sz w:val="24"/>
        </w:rPr>
        <w:t>”</w:t>
      </w:r>
      <w:r>
        <w:rPr>
          <w:sz w:val="24"/>
        </w:rPr>
        <w:t>，将</w:t>
      </w:r>
      <w:r>
        <w:rPr>
          <w:rFonts w:hint="eastAsia"/>
          <w:sz w:val="24"/>
        </w:rPr>
        <w:t>“上海证券交易所”</w:t>
      </w:r>
      <w:r>
        <w:rPr>
          <w:sz w:val="24"/>
        </w:rPr>
        <w:t>修订为</w:t>
      </w:r>
      <w:r>
        <w:rPr>
          <w:rFonts w:hint="eastAsia"/>
          <w:sz w:val="24"/>
        </w:rPr>
        <w:t>“上海</w:t>
      </w:r>
      <w:r>
        <w:rPr>
          <w:rFonts w:hint="eastAsia"/>
          <w:sz w:val="24"/>
        </w:rPr>
        <w:t>/</w:t>
      </w:r>
      <w:r>
        <w:rPr>
          <w:rFonts w:hint="eastAsia"/>
          <w:sz w:val="24"/>
        </w:rPr>
        <w:t>北京证券交易所”</w:t>
      </w:r>
      <w:r>
        <w:rPr>
          <w:sz w:val="24"/>
        </w:rPr>
        <w:t>。</w:t>
      </w:r>
    </w:p>
    <w:p w:rsidR="00A76A00" w:rsidRDefault="008B175C">
      <w:pPr>
        <w:spacing w:line="360" w:lineRule="auto"/>
        <w:ind w:firstLineChars="175" w:firstLine="420"/>
        <w:rPr>
          <w:sz w:val="24"/>
        </w:rPr>
      </w:pPr>
      <w:r>
        <w:rPr>
          <w:rFonts w:hint="eastAsia"/>
          <w:sz w:val="24"/>
        </w:rPr>
        <w:t>（二）对“风险揭示”章节的修订</w:t>
      </w:r>
    </w:p>
    <w:p w:rsidR="00A76A00" w:rsidRDefault="008B175C">
      <w:pPr>
        <w:spacing w:line="360" w:lineRule="auto"/>
        <w:ind w:firstLineChars="175" w:firstLine="420"/>
        <w:rPr>
          <w:sz w:val="24"/>
        </w:rPr>
      </w:pPr>
      <w:r>
        <w:rPr>
          <w:rFonts w:hint="eastAsia"/>
          <w:sz w:val="24"/>
        </w:rPr>
        <w:t>1</w:t>
      </w:r>
      <w:r>
        <w:rPr>
          <w:rFonts w:hint="eastAsia"/>
          <w:sz w:val="24"/>
        </w:rPr>
        <w:t>、</w:t>
      </w:r>
      <w:r>
        <w:rPr>
          <w:sz w:val="24"/>
        </w:rPr>
        <w:t>增加投资北交所股票的风险</w:t>
      </w:r>
    </w:p>
    <w:p w:rsidR="00A76A00" w:rsidRDefault="008B175C">
      <w:pPr>
        <w:spacing w:line="360" w:lineRule="auto"/>
        <w:ind w:firstLineChars="175" w:firstLine="420"/>
        <w:rPr>
          <w:sz w:val="24"/>
        </w:rPr>
      </w:pPr>
      <w:r>
        <w:rPr>
          <w:rFonts w:hint="eastAsia"/>
          <w:sz w:val="24"/>
        </w:rPr>
        <w:t>“本基金标的指数成份股可能包含北京证券交易所股票。北京证券交易所主要服务于创新型中小企业，在发行、上市、交易、退市等方面的规则与其他交易场所存在差异。本基金如投资北京证券交易所股票，可能面临的风险包括但不限于：</w:t>
      </w:r>
    </w:p>
    <w:p w:rsidR="00A76A00" w:rsidRDefault="008B175C">
      <w:pPr>
        <w:spacing w:line="360" w:lineRule="auto"/>
        <w:ind w:firstLineChars="175" w:firstLine="420"/>
        <w:rPr>
          <w:sz w:val="24"/>
        </w:rPr>
      </w:pPr>
      <w:r>
        <w:rPr>
          <w:rFonts w:hint="eastAsia"/>
          <w:sz w:val="24"/>
        </w:rPr>
        <w:t>（</w:t>
      </w:r>
      <w:r>
        <w:rPr>
          <w:rFonts w:hint="eastAsia"/>
          <w:sz w:val="24"/>
        </w:rPr>
        <w:t>1</w:t>
      </w:r>
      <w:r>
        <w:rPr>
          <w:rFonts w:hint="eastAsia"/>
          <w:sz w:val="24"/>
        </w:rPr>
        <w:t>）中小企业经营风险</w:t>
      </w:r>
    </w:p>
    <w:p w:rsidR="00A76A00" w:rsidRDefault="008B175C">
      <w:pPr>
        <w:spacing w:line="360" w:lineRule="auto"/>
        <w:ind w:firstLineChars="175" w:firstLine="420"/>
        <w:rPr>
          <w:sz w:val="24"/>
        </w:rPr>
      </w:pPr>
      <w:r>
        <w:rPr>
          <w:rFonts w:hint="eastAsia"/>
          <w:sz w:val="24"/>
        </w:rPr>
        <w:t>北京证券交易所上市企业为创新型中小企</w:t>
      </w:r>
      <w:r>
        <w:rPr>
          <w:rFonts w:hint="eastAsia"/>
          <w:sz w:val="24"/>
        </w:rPr>
        <w:t>业，该类企业往往具有规模小、对技术依赖高、迭代快、议价能力不强等特点，抗市场风险和行业风险能力较弱，存在因产品、经营模式、相关政策变化而出现经营失败的风险；另一方面，部分中小企业可能尚处于初步发展阶段，业务收入、现金流及盈利水平等具有较大不确定性，个股投资风险较大。因此，基金在追求北京证券交易所上市企业带来收益的同时，可能面临相关企业无法盈利甚至产生导致较大亏损的风险。</w:t>
      </w:r>
    </w:p>
    <w:p w:rsidR="00A76A00" w:rsidRDefault="008B175C">
      <w:pPr>
        <w:spacing w:line="360" w:lineRule="auto"/>
        <w:ind w:firstLineChars="175" w:firstLine="420"/>
        <w:rPr>
          <w:sz w:val="24"/>
        </w:rPr>
      </w:pPr>
      <w:r>
        <w:rPr>
          <w:rFonts w:hint="eastAsia"/>
          <w:sz w:val="24"/>
        </w:rPr>
        <w:t>（</w:t>
      </w:r>
      <w:r>
        <w:rPr>
          <w:rFonts w:hint="eastAsia"/>
          <w:sz w:val="24"/>
        </w:rPr>
        <w:t>2</w:t>
      </w:r>
      <w:r>
        <w:rPr>
          <w:rFonts w:hint="eastAsia"/>
          <w:sz w:val="24"/>
        </w:rPr>
        <w:t>）股价大幅波动风险</w:t>
      </w:r>
    </w:p>
    <w:p w:rsidR="00A76A00" w:rsidRDefault="008B175C">
      <w:pPr>
        <w:spacing w:line="360" w:lineRule="auto"/>
        <w:ind w:firstLineChars="175" w:firstLine="420"/>
        <w:rPr>
          <w:sz w:val="24"/>
        </w:rPr>
      </w:pPr>
      <w:r>
        <w:rPr>
          <w:rFonts w:hint="eastAsia"/>
          <w:sz w:val="24"/>
        </w:rPr>
        <w:t>北京证券交易所在证券发行、交易、投资者适当性等方面与沪深证券交易所</w:t>
      </w:r>
      <w:r>
        <w:rPr>
          <w:rFonts w:hint="eastAsia"/>
          <w:sz w:val="24"/>
        </w:rPr>
        <w:lastRenderedPageBreak/>
        <w:t>的制度规则存在一定差别，包括北京证券交易所竞价交</w:t>
      </w:r>
      <w:r>
        <w:rPr>
          <w:rFonts w:hint="eastAsia"/>
          <w:sz w:val="24"/>
        </w:rPr>
        <w:t>易较沪深证券交易所设置了更宽的涨跌幅限制（上市后的首日不设涨跌幅限制，其后涨跌幅限制为</w:t>
      </w:r>
      <w:r>
        <w:rPr>
          <w:rFonts w:hint="eastAsia"/>
          <w:sz w:val="24"/>
        </w:rPr>
        <w:t>30%</w:t>
      </w:r>
      <w:r>
        <w:rPr>
          <w:rFonts w:hint="eastAsia"/>
          <w:sz w:val="24"/>
        </w:rPr>
        <w:t>），可能导致较大的股票价格波动。</w:t>
      </w:r>
    </w:p>
    <w:p w:rsidR="00A76A00" w:rsidRDefault="008B175C">
      <w:pPr>
        <w:spacing w:line="360" w:lineRule="auto"/>
        <w:ind w:firstLineChars="175" w:firstLine="420"/>
        <w:rPr>
          <w:sz w:val="24"/>
        </w:rPr>
      </w:pPr>
      <w:r>
        <w:rPr>
          <w:rFonts w:hint="eastAsia"/>
          <w:sz w:val="24"/>
        </w:rPr>
        <w:t>（</w:t>
      </w:r>
      <w:r>
        <w:rPr>
          <w:rFonts w:hint="eastAsia"/>
          <w:sz w:val="24"/>
        </w:rPr>
        <w:t>3</w:t>
      </w:r>
      <w:r>
        <w:rPr>
          <w:rFonts w:hint="eastAsia"/>
          <w:sz w:val="24"/>
        </w:rPr>
        <w:t>）退市风险</w:t>
      </w:r>
    </w:p>
    <w:p w:rsidR="00A76A00" w:rsidRDefault="008B175C">
      <w:pPr>
        <w:spacing w:line="360" w:lineRule="auto"/>
        <w:ind w:firstLineChars="175" w:firstLine="420"/>
        <w:rPr>
          <w:sz w:val="24"/>
        </w:rPr>
      </w:pPr>
      <w:r>
        <w:rPr>
          <w:rFonts w:hint="eastAsia"/>
          <w:sz w:val="24"/>
        </w:rPr>
        <w:t>根据北京证券交易所退市制度，上市企业退市情形较多，一旦所投资的北京证券交易所上市企业进入退市流程，有可能退入新三板创新层或基础层挂牌交易，或转入退市公司板块，基金可能无法及时将该企业调出投资组合，从而面临退出难度较大、流动性变差、变现成本较高以及股价大幅波动的风险，可能对基金净值造成不利影响。</w:t>
      </w:r>
    </w:p>
    <w:p w:rsidR="00A76A00" w:rsidRDefault="008B175C">
      <w:pPr>
        <w:spacing w:line="360" w:lineRule="auto"/>
        <w:ind w:firstLineChars="175" w:firstLine="420"/>
        <w:rPr>
          <w:sz w:val="24"/>
        </w:rPr>
      </w:pPr>
      <w:r>
        <w:rPr>
          <w:rFonts w:hint="eastAsia"/>
          <w:sz w:val="24"/>
        </w:rPr>
        <w:t>（</w:t>
      </w:r>
      <w:r>
        <w:rPr>
          <w:rFonts w:hint="eastAsia"/>
          <w:sz w:val="24"/>
        </w:rPr>
        <w:t>4</w:t>
      </w:r>
      <w:r>
        <w:rPr>
          <w:rFonts w:hint="eastAsia"/>
          <w:sz w:val="24"/>
        </w:rPr>
        <w:t>）企业流动性风险</w:t>
      </w:r>
    </w:p>
    <w:p w:rsidR="00A76A00" w:rsidRDefault="008B175C">
      <w:pPr>
        <w:spacing w:line="360" w:lineRule="auto"/>
        <w:ind w:firstLineChars="175" w:firstLine="420"/>
        <w:rPr>
          <w:sz w:val="24"/>
        </w:rPr>
      </w:pPr>
      <w:r>
        <w:rPr>
          <w:rFonts w:hint="eastAsia"/>
          <w:sz w:val="24"/>
        </w:rPr>
        <w:t>北京证券交易所投资门槛较高，个人投资者参与度相对较低；此外，由于北京证券交易所上市企业规模小，部分企业股权较为集中，由此可能导致整体流动性相对较弱。若投资者在特定阶段对个券形成一致预期，基金可能面临无法及时变现及其他相关流动性风险。</w:t>
      </w:r>
    </w:p>
    <w:p w:rsidR="00A76A00" w:rsidRDefault="008B175C">
      <w:pPr>
        <w:spacing w:line="360" w:lineRule="auto"/>
        <w:ind w:firstLineChars="175" w:firstLine="420"/>
        <w:rPr>
          <w:sz w:val="24"/>
        </w:rPr>
      </w:pPr>
      <w:r>
        <w:rPr>
          <w:rFonts w:hint="eastAsia"/>
          <w:sz w:val="24"/>
        </w:rPr>
        <w:t>（</w:t>
      </w:r>
      <w:r>
        <w:rPr>
          <w:rFonts w:hint="eastAsia"/>
          <w:sz w:val="24"/>
        </w:rPr>
        <w:t>5</w:t>
      </w:r>
      <w:r>
        <w:rPr>
          <w:rFonts w:hint="eastAsia"/>
          <w:sz w:val="24"/>
        </w:rPr>
        <w:t>）监管规则变化的风险</w:t>
      </w:r>
    </w:p>
    <w:p w:rsidR="00A76A00" w:rsidRDefault="008B175C">
      <w:pPr>
        <w:spacing w:line="360" w:lineRule="auto"/>
        <w:ind w:firstLineChars="175" w:firstLine="420"/>
        <w:rPr>
          <w:sz w:val="24"/>
        </w:rPr>
      </w:pPr>
      <w:r>
        <w:rPr>
          <w:rFonts w:hint="eastAsia"/>
          <w:sz w:val="24"/>
        </w:rPr>
        <w:t>北京证券交易所相关法律、行政法规、部门规章、规范性文件和交易所业务规则，可能根据市场情况进行修改完善，或者补充制定新的法律法规和业务规则，可能对基金投资运作产生影响，或导致基金投资运作相应调整变化。”</w:t>
      </w:r>
    </w:p>
    <w:p w:rsidR="00A76A00" w:rsidRDefault="008B175C">
      <w:pPr>
        <w:spacing w:line="360" w:lineRule="auto"/>
        <w:ind w:firstLine="420"/>
        <w:rPr>
          <w:sz w:val="24"/>
        </w:rPr>
      </w:pPr>
      <w:r>
        <w:rPr>
          <w:rFonts w:hint="eastAsia"/>
          <w:sz w:val="24"/>
        </w:rPr>
        <w:t>2</w:t>
      </w:r>
      <w:r>
        <w:rPr>
          <w:rFonts w:hint="eastAsia"/>
          <w:sz w:val="24"/>
        </w:rPr>
        <w:t>、将“上海证券交易所上市的成份股可以现金替代方式</w:t>
      </w:r>
      <w:r>
        <w:rPr>
          <w:rFonts w:hint="eastAsia"/>
          <w:sz w:val="24"/>
        </w:rPr>
        <w:t>的风险”更新为“非深市上市的成份股可以现金替代方式的风险”，相关表述中的“上海证券交易所”更新为“上海</w:t>
      </w:r>
      <w:r>
        <w:rPr>
          <w:rFonts w:hint="eastAsia"/>
          <w:sz w:val="24"/>
        </w:rPr>
        <w:t>/</w:t>
      </w:r>
      <w:r>
        <w:rPr>
          <w:rFonts w:hint="eastAsia"/>
          <w:sz w:val="24"/>
        </w:rPr>
        <w:t>北京证券交易所”。</w:t>
      </w:r>
    </w:p>
    <w:p w:rsidR="00A76A00" w:rsidRDefault="008B175C" w:rsidP="008B175C">
      <w:pPr>
        <w:spacing w:line="360" w:lineRule="auto"/>
        <w:ind w:leftChars="175" w:left="368"/>
        <w:rPr>
          <w:sz w:val="24"/>
        </w:rPr>
      </w:pPr>
      <w:r>
        <w:rPr>
          <w:rFonts w:hint="eastAsia"/>
          <w:sz w:val="24"/>
        </w:rPr>
        <w:t>基金招募说明书中涉及到的其他相应内容一并调整。</w:t>
      </w:r>
    </w:p>
    <w:p w:rsidR="00A76A00" w:rsidRDefault="008B175C">
      <w:pPr>
        <w:spacing w:line="360" w:lineRule="auto"/>
        <w:ind w:firstLineChars="200" w:firstLine="480"/>
        <w:rPr>
          <w:sz w:val="24"/>
        </w:rPr>
      </w:pPr>
      <w:r>
        <w:rPr>
          <w:rFonts w:hint="eastAsia"/>
          <w:sz w:val="24"/>
        </w:rPr>
        <w:t>二、重要提示</w:t>
      </w:r>
    </w:p>
    <w:p w:rsidR="00A76A00" w:rsidRDefault="008B175C">
      <w:pPr>
        <w:spacing w:line="360" w:lineRule="auto"/>
        <w:ind w:firstLineChars="200" w:firstLine="480"/>
        <w:rPr>
          <w:sz w:val="24"/>
        </w:rPr>
      </w:pPr>
      <w:r>
        <w:rPr>
          <w:sz w:val="24"/>
        </w:rPr>
        <w:t>本公告仅对本基金修订招募说明书的事项予以说明。上述修改事项对原基金份额持有人的利益无实质性不利影响，无需召开基金份额持有人大会。本公司将按规定在相应更新的招募说明书中对上述内容进行修改。</w:t>
      </w:r>
    </w:p>
    <w:p w:rsidR="00A76A00" w:rsidRDefault="008B175C">
      <w:pPr>
        <w:spacing w:line="360" w:lineRule="auto"/>
        <w:ind w:firstLineChars="200" w:firstLine="480"/>
        <w:rPr>
          <w:sz w:val="24"/>
        </w:rPr>
      </w:pPr>
      <w:r>
        <w:rPr>
          <w:sz w:val="24"/>
        </w:rPr>
        <w:t>投资者欲了解</w:t>
      </w:r>
      <w:r>
        <w:rPr>
          <w:rFonts w:hint="eastAsia"/>
          <w:sz w:val="24"/>
        </w:rPr>
        <w:t>本</w:t>
      </w:r>
      <w:r>
        <w:rPr>
          <w:sz w:val="24"/>
        </w:rPr>
        <w:t>基金详细信息，</w:t>
      </w:r>
      <w:r>
        <w:rPr>
          <w:rFonts w:hint="eastAsia"/>
          <w:sz w:val="24"/>
        </w:rPr>
        <w:t>请致电博时一线通</w:t>
      </w:r>
      <w:r>
        <w:rPr>
          <w:rFonts w:hint="eastAsia"/>
          <w:sz w:val="24"/>
        </w:rPr>
        <w:t>95105568</w:t>
      </w:r>
      <w:r>
        <w:rPr>
          <w:rFonts w:hint="eastAsia"/>
          <w:sz w:val="24"/>
        </w:rPr>
        <w:t>（免长途话费）或登录本公司网站</w:t>
      </w:r>
      <w:r>
        <w:rPr>
          <w:rFonts w:hint="eastAsia"/>
          <w:sz w:val="24"/>
        </w:rPr>
        <w:t>www.bosera.com</w:t>
      </w:r>
      <w:r>
        <w:rPr>
          <w:rFonts w:hint="eastAsia"/>
          <w:sz w:val="24"/>
        </w:rPr>
        <w:t>查阅本基金</w:t>
      </w:r>
      <w:r>
        <w:rPr>
          <w:sz w:val="24"/>
        </w:rPr>
        <w:t>的基金合同、招募说明书</w:t>
      </w:r>
      <w:r>
        <w:rPr>
          <w:rFonts w:hint="eastAsia"/>
          <w:sz w:val="24"/>
        </w:rPr>
        <w:t>及</w:t>
      </w:r>
      <w:r>
        <w:rPr>
          <w:sz w:val="24"/>
        </w:rPr>
        <w:t>基金产品资料概要等文件</w:t>
      </w:r>
      <w:r>
        <w:rPr>
          <w:rFonts w:hint="eastAsia"/>
          <w:sz w:val="24"/>
        </w:rPr>
        <w:t>及其更新，以及相关业务公告</w:t>
      </w:r>
      <w:r>
        <w:rPr>
          <w:sz w:val="24"/>
        </w:rPr>
        <w:t>。</w:t>
      </w:r>
    </w:p>
    <w:p w:rsidR="00A76A00" w:rsidRDefault="008B175C">
      <w:pPr>
        <w:spacing w:line="360" w:lineRule="auto"/>
        <w:ind w:firstLineChars="200" w:firstLine="480"/>
        <w:rPr>
          <w:sz w:val="24"/>
        </w:rPr>
      </w:pPr>
      <w:r>
        <w:rPr>
          <w:rFonts w:hint="eastAsia"/>
          <w:sz w:val="24"/>
        </w:rPr>
        <w:lastRenderedPageBreak/>
        <w:t>风险提示：基金管理人承诺以恪尽职守、诚实信用、谨慎勤勉的原则管理和运用基金资产，但不保证本基金一定盈利，也不保证最低收益。基金管理人所管理的其他基金的业绩并不构成对本基金业绩表现的保证。投资人购买基金，既可能按其持有份额分享基金投资所产生的收益，也可能承担基金投资所带来的损失。本基金的过往业绩及其净值高低并不预示其未来业绩表现。投资有风险，敬请投资人认真阅读基金的相关法律文件，并选择适合自身风险承受能力的投资品种进行投资。</w:t>
      </w:r>
    </w:p>
    <w:p w:rsidR="00A76A00" w:rsidRDefault="00A76A00">
      <w:pPr>
        <w:spacing w:line="360" w:lineRule="auto"/>
        <w:ind w:firstLineChars="200" w:firstLine="480"/>
        <w:rPr>
          <w:sz w:val="24"/>
        </w:rPr>
      </w:pPr>
    </w:p>
    <w:p w:rsidR="00A76A00" w:rsidRDefault="00A76A00">
      <w:pPr>
        <w:spacing w:line="360" w:lineRule="auto"/>
        <w:ind w:firstLineChars="200" w:firstLine="480"/>
        <w:rPr>
          <w:sz w:val="24"/>
        </w:rPr>
      </w:pPr>
    </w:p>
    <w:p w:rsidR="00A76A00" w:rsidRDefault="008B175C">
      <w:pPr>
        <w:spacing w:line="360" w:lineRule="auto"/>
        <w:jc w:val="right"/>
        <w:rPr>
          <w:sz w:val="24"/>
        </w:rPr>
      </w:pPr>
      <w:r>
        <w:rPr>
          <w:rFonts w:hint="eastAsia"/>
          <w:sz w:val="24"/>
        </w:rPr>
        <w:t>博时</w:t>
      </w:r>
      <w:r>
        <w:rPr>
          <w:rFonts w:hint="eastAsia"/>
          <w:sz w:val="24"/>
        </w:rPr>
        <w:t>基金管理有限公司</w:t>
      </w:r>
      <w:r>
        <w:rPr>
          <w:rFonts w:hint="eastAsia"/>
          <w:sz w:val="24"/>
        </w:rPr>
        <w:t xml:space="preserve"> </w:t>
      </w:r>
    </w:p>
    <w:p w:rsidR="00A76A00" w:rsidRDefault="008B175C">
      <w:pPr>
        <w:spacing w:line="360" w:lineRule="auto"/>
        <w:jc w:val="right"/>
        <w:rPr>
          <w:sz w:val="24"/>
        </w:rPr>
      </w:pPr>
      <w:r>
        <w:rPr>
          <w:rFonts w:hint="eastAsia"/>
          <w:sz w:val="24"/>
        </w:rPr>
        <w:t>2025</w:t>
      </w:r>
      <w:r>
        <w:rPr>
          <w:rFonts w:hint="eastAsia"/>
          <w:sz w:val="24"/>
        </w:rPr>
        <w:t>年</w:t>
      </w:r>
      <w:r>
        <w:rPr>
          <w:rFonts w:hint="eastAsia"/>
          <w:sz w:val="24"/>
        </w:rPr>
        <w:t>12</w:t>
      </w:r>
      <w:r>
        <w:rPr>
          <w:rFonts w:hint="eastAsia"/>
          <w:sz w:val="24"/>
        </w:rPr>
        <w:t>月</w:t>
      </w:r>
      <w:r>
        <w:rPr>
          <w:rFonts w:hint="eastAsia"/>
          <w:sz w:val="24"/>
        </w:rPr>
        <w:t>13</w:t>
      </w:r>
      <w:r>
        <w:rPr>
          <w:rFonts w:hint="eastAsia"/>
          <w:sz w:val="24"/>
        </w:rPr>
        <w:t>日</w:t>
      </w:r>
    </w:p>
    <w:sectPr w:rsidR="00A76A00" w:rsidSect="00A76A0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
    <w:charset w:val="86"/>
    <w:family w:val="modern"/>
    <w:pitch w:val="default"/>
    <w:sig w:usb0="800002BF"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CB0223"/>
    <w:multiLevelType w:val="singleLevel"/>
    <w:tmpl w:val="79CB0223"/>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72A27"/>
    <w:rsid w:val="000A3CCD"/>
    <w:rsid w:val="00172A27"/>
    <w:rsid w:val="00746230"/>
    <w:rsid w:val="008B175C"/>
    <w:rsid w:val="00A76A00"/>
    <w:rsid w:val="00FF3F88"/>
    <w:rsid w:val="02EC3140"/>
    <w:rsid w:val="03811BA9"/>
    <w:rsid w:val="05D72B55"/>
    <w:rsid w:val="09E00043"/>
    <w:rsid w:val="0B5E2EB0"/>
    <w:rsid w:val="0D9A6C08"/>
    <w:rsid w:val="14DF76CF"/>
    <w:rsid w:val="202060FE"/>
    <w:rsid w:val="23C02EB1"/>
    <w:rsid w:val="2402708B"/>
    <w:rsid w:val="28201136"/>
    <w:rsid w:val="2C086E09"/>
    <w:rsid w:val="2EC967C9"/>
    <w:rsid w:val="307308B6"/>
    <w:rsid w:val="3424260D"/>
    <w:rsid w:val="3A145456"/>
    <w:rsid w:val="3C0D7EDD"/>
    <w:rsid w:val="3D5001A7"/>
    <w:rsid w:val="407676CF"/>
    <w:rsid w:val="448E3F47"/>
    <w:rsid w:val="44EA7076"/>
    <w:rsid w:val="45A602D1"/>
    <w:rsid w:val="4AA74E70"/>
    <w:rsid w:val="52E3023A"/>
    <w:rsid w:val="59E80436"/>
    <w:rsid w:val="5AAD1723"/>
    <w:rsid w:val="5B3C6463"/>
    <w:rsid w:val="5B6178FB"/>
    <w:rsid w:val="61EA1DA9"/>
    <w:rsid w:val="63E82DB0"/>
    <w:rsid w:val="6BD85C3E"/>
    <w:rsid w:val="79A458A0"/>
    <w:rsid w:val="7A1A3FB7"/>
    <w:rsid w:val="7F2619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unhideWhenUsed="1"/>
    <w:lsdException w:name="footer" w:uiPriority="99" w:unhideWhenUsed="1"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6A0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A76A00"/>
    <w:pPr>
      <w:jc w:val="left"/>
    </w:pPr>
  </w:style>
  <w:style w:type="paragraph" w:styleId="a4">
    <w:name w:val="Balloon Text"/>
    <w:basedOn w:val="a"/>
    <w:link w:val="Char0"/>
    <w:qFormat/>
    <w:rsid w:val="00A76A00"/>
    <w:rPr>
      <w:sz w:val="18"/>
      <w:szCs w:val="18"/>
    </w:rPr>
  </w:style>
  <w:style w:type="paragraph" w:styleId="a5">
    <w:name w:val="Normal (Web)"/>
    <w:basedOn w:val="a"/>
    <w:uiPriority w:val="99"/>
    <w:unhideWhenUsed/>
    <w:qFormat/>
    <w:rsid w:val="00A76A00"/>
    <w:pPr>
      <w:widowControl/>
      <w:spacing w:before="100" w:beforeAutospacing="1" w:after="100" w:afterAutospacing="1"/>
      <w:jc w:val="left"/>
    </w:pPr>
    <w:rPr>
      <w:rFonts w:ascii="宋体" w:eastAsia="宋体" w:hAnsi="宋体" w:cs="宋体"/>
      <w:kern w:val="0"/>
      <w:sz w:val="24"/>
    </w:rPr>
  </w:style>
  <w:style w:type="paragraph" w:styleId="a6">
    <w:name w:val="annotation subject"/>
    <w:basedOn w:val="a3"/>
    <w:next w:val="a3"/>
    <w:link w:val="Char1"/>
    <w:qFormat/>
    <w:rsid w:val="00A76A00"/>
    <w:rPr>
      <w:b/>
      <w:bCs/>
    </w:rPr>
  </w:style>
  <w:style w:type="character" w:styleId="a7">
    <w:name w:val="Strong"/>
    <w:basedOn w:val="a0"/>
    <w:uiPriority w:val="22"/>
    <w:qFormat/>
    <w:rsid w:val="00A76A00"/>
    <w:rPr>
      <w:b/>
      <w:bCs/>
    </w:rPr>
  </w:style>
  <w:style w:type="character" w:styleId="a8">
    <w:name w:val="annotation reference"/>
    <w:basedOn w:val="a0"/>
    <w:qFormat/>
    <w:rsid w:val="00A76A00"/>
    <w:rPr>
      <w:sz w:val="21"/>
      <w:szCs w:val="21"/>
    </w:rPr>
  </w:style>
  <w:style w:type="paragraph" w:customStyle="1" w:styleId="Default">
    <w:name w:val="Default"/>
    <w:uiPriority w:val="99"/>
    <w:unhideWhenUsed/>
    <w:qFormat/>
    <w:rsid w:val="00A76A00"/>
    <w:pPr>
      <w:widowControl w:val="0"/>
      <w:autoSpaceDE w:val="0"/>
      <w:autoSpaceDN w:val="0"/>
      <w:adjustRightInd w:val="0"/>
    </w:pPr>
    <w:rPr>
      <w:rFonts w:ascii="楷体" w:eastAsia="楷体" w:hAnsi="楷体" w:hint="eastAsia"/>
      <w:color w:val="000000"/>
      <w:sz w:val="24"/>
      <w:szCs w:val="24"/>
    </w:rPr>
  </w:style>
  <w:style w:type="character" w:customStyle="1" w:styleId="Char0">
    <w:name w:val="批注框文本 Char"/>
    <w:basedOn w:val="a0"/>
    <w:link w:val="a4"/>
    <w:qFormat/>
    <w:rsid w:val="00A76A00"/>
    <w:rPr>
      <w:kern w:val="2"/>
      <w:sz w:val="18"/>
      <w:szCs w:val="18"/>
    </w:rPr>
  </w:style>
  <w:style w:type="character" w:customStyle="1" w:styleId="Char">
    <w:name w:val="批注文字 Char"/>
    <w:basedOn w:val="a0"/>
    <w:link w:val="a3"/>
    <w:qFormat/>
    <w:rsid w:val="00A76A00"/>
    <w:rPr>
      <w:kern w:val="2"/>
      <w:sz w:val="21"/>
      <w:szCs w:val="24"/>
    </w:rPr>
  </w:style>
  <w:style w:type="character" w:customStyle="1" w:styleId="Char1">
    <w:name w:val="批注主题 Char"/>
    <w:basedOn w:val="Char"/>
    <w:link w:val="a6"/>
    <w:qFormat/>
    <w:rsid w:val="00A76A00"/>
    <w:rPr>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264</Words>
  <Characters>1505</Characters>
  <Application>Microsoft Office Word</Application>
  <DocSecurity>4</DocSecurity>
  <Lines>12</Lines>
  <Paragraphs>3</Paragraphs>
  <ScaleCrop>false</ScaleCrop>
  <Company>CNSTOCK</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zhouhy</dc:creator>
  <cp:lastModifiedBy>ZHONGM</cp:lastModifiedBy>
  <cp:revision>2</cp:revision>
  <dcterms:created xsi:type="dcterms:W3CDTF">2025-12-12T16:02:00Z</dcterms:created>
  <dcterms:modified xsi:type="dcterms:W3CDTF">2025-12-12T16:02:00Z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826CCC7F75A24C0A9BC3A5E8B298AC67</vt:lpwstr>
  </property>
</Properties>
</file>