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CA4" w:rsidRDefault="00574CA4">
      <w:pPr>
        <w:rPr>
          <w:rFonts w:eastAsia="仿宋_GB2312"/>
          <w:sz w:val="28"/>
          <w:szCs w:val="28"/>
        </w:rPr>
      </w:pPr>
    </w:p>
    <w:p w:rsidR="00574CA4" w:rsidRDefault="00574CA4">
      <w:pPr>
        <w:rPr>
          <w:rFonts w:eastAsia="仿宋_GB2312"/>
          <w:sz w:val="30"/>
        </w:rPr>
      </w:pPr>
    </w:p>
    <w:p w:rsidR="00574CA4" w:rsidRDefault="00574CA4">
      <w:pPr>
        <w:rPr>
          <w:rFonts w:eastAsia="仿宋_GB2312"/>
          <w:sz w:val="30"/>
        </w:rPr>
      </w:pPr>
    </w:p>
    <w:p w:rsidR="00574CA4" w:rsidRDefault="00574CA4">
      <w:pPr>
        <w:rPr>
          <w:rFonts w:eastAsia="仿宋_GB2312"/>
          <w:sz w:val="30"/>
        </w:rPr>
      </w:pPr>
    </w:p>
    <w:p w:rsidR="00574CA4" w:rsidRDefault="00574CA4">
      <w:pPr>
        <w:jc w:val="center"/>
        <w:rPr>
          <w:rFonts w:eastAsia="仿宋_GB2312"/>
          <w:sz w:val="30"/>
        </w:rPr>
      </w:pPr>
    </w:p>
    <w:p w:rsidR="00574CA4" w:rsidRDefault="00574CA4">
      <w:pPr>
        <w:spacing w:line="360" w:lineRule="auto"/>
        <w:jc w:val="center"/>
        <w:rPr>
          <w:rFonts w:eastAsia="仿宋_GB2312"/>
          <w:sz w:val="30"/>
        </w:rPr>
      </w:pPr>
    </w:p>
    <w:p w:rsidR="00574CA4" w:rsidRDefault="006E4BF4">
      <w:pPr>
        <w:adjustRightInd w:val="0"/>
        <w:snapToGrid w:val="0"/>
        <w:spacing w:line="360" w:lineRule="auto"/>
        <w:jc w:val="center"/>
        <w:rPr>
          <w:rFonts w:ascii="Arial" w:hAnsi="Arial" w:cs="Arial"/>
          <w:b/>
          <w:sz w:val="48"/>
          <w:szCs w:val="48"/>
        </w:rPr>
      </w:pPr>
      <w:r>
        <w:rPr>
          <w:rFonts w:ascii="Arial" w:hAnsi="Arial" w:cs="Arial" w:hint="eastAsia"/>
          <w:b/>
          <w:sz w:val="48"/>
          <w:szCs w:val="48"/>
        </w:rPr>
        <w:t>国寿安保</w:t>
      </w:r>
      <w:r>
        <w:rPr>
          <w:rFonts w:ascii="Arial" w:hAnsi="Arial" w:cs="Arial" w:hint="eastAsia"/>
          <w:b/>
          <w:sz w:val="48"/>
          <w:szCs w:val="48"/>
        </w:rPr>
        <w:t>中证</w:t>
      </w:r>
      <w:r>
        <w:rPr>
          <w:rFonts w:ascii="Arial" w:hAnsi="Arial" w:cs="Arial" w:hint="eastAsia"/>
          <w:b/>
          <w:sz w:val="48"/>
          <w:szCs w:val="48"/>
        </w:rPr>
        <w:t>800</w:t>
      </w:r>
      <w:r>
        <w:rPr>
          <w:rFonts w:ascii="Arial" w:hAnsi="Arial" w:cs="Arial" w:hint="eastAsia"/>
          <w:b/>
          <w:sz w:val="48"/>
          <w:szCs w:val="48"/>
        </w:rPr>
        <w:t>指数增强型</w:t>
      </w:r>
    </w:p>
    <w:p w:rsidR="00574CA4" w:rsidRDefault="006E4BF4">
      <w:pPr>
        <w:adjustRightInd w:val="0"/>
        <w:snapToGrid w:val="0"/>
        <w:spacing w:line="360" w:lineRule="auto"/>
        <w:jc w:val="center"/>
        <w:rPr>
          <w:rFonts w:ascii="Arial" w:hAnsi="Arial" w:cs="Arial"/>
          <w:b/>
          <w:sz w:val="48"/>
          <w:szCs w:val="48"/>
        </w:rPr>
      </w:pPr>
      <w:r>
        <w:rPr>
          <w:rFonts w:ascii="Arial" w:hAnsi="Arial" w:cs="Arial" w:hint="eastAsia"/>
          <w:b/>
          <w:sz w:val="48"/>
          <w:szCs w:val="48"/>
        </w:rPr>
        <w:t>证券投资基金</w:t>
      </w:r>
    </w:p>
    <w:p w:rsidR="00574CA4" w:rsidRDefault="006E4BF4">
      <w:pPr>
        <w:adjustRightInd w:val="0"/>
        <w:snapToGrid w:val="0"/>
        <w:spacing w:line="360" w:lineRule="auto"/>
        <w:jc w:val="center"/>
        <w:rPr>
          <w:rFonts w:ascii="Arial" w:hAnsi="Arial" w:cs="Arial"/>
          <w:b/>
          <w:sz w:val="48"/>
          <w:szCs w:val="48"/>
        </w:rPr>
      </w:pPr>
      <w:r>
        <w:rPr>
          <w:rFonts w:ascii="Arial" w:hAnsi="Arial" w:cs="Arial" w:hint="eastAsia"/>
          <w:b/>
          <w:sz w:val="48"/>
          <w:szCs w:val="48"/>
        </w:rPr>
        <w:t>基金份额发售公告</w:t>
      </w:r>
    </w:p>
    <w:p w:rsidR="00574CA4" w:rsidRDefault="00574CA4">
      <w:pPr>
        <w:spacing w:line="360" w:lineRule="auto"/>
        <w:jc w:val="center"/>
        <w:rPr>
          <w:rFonts w:ascii="Arial" w:hAnsi="Arial" w:cs="Arial"/>
          <w:b/>
          <w:sz w:val="48"/>
          <w:szCs w:val="48"/>
        </w:rPr>
      </w:pPr>
    </w:p>
    <w:p w:rsidR="00574CA4" w:rsidRDefault="00574CA4">
      <w:pPr>
        <w:jc w:val="center"/>
        <w:rPr>
          <w:rFonts w:eastAsia="仿宋_GB2312"/>
          <w:b/>
          <w:bCs/>
          <w:sz w:val="52"/>
        </w:rPr>
      </w:pPr>
    </w:p>
    <w:p w:rsidR="00574CA4" w:rsidRDefault="00574CA4">
      <w:pPr>
        <w:jc w:val="center"/>
        <w:rPr>
          <w:rFonts w:eastAsia="仿宋_GB2312"/>
          <w:b/>
          <w:bCs/>
          <w:sz w:val="52"/>
        </w:rPr>
      </w:pPr>
    </w:p>
    <w:p w:rsidR="00574CA4" w:rsidRDefault="00574CA4">
      <w:pPr>
        <w:jc w:val="center"/>
        <w:rPr>
          <w:rFonts w:eastAsia="仿宋_GB2312"/>
          <w:b/>
          <w:bCs/>
          <w:sz w:val="52"/>
        </w:rPr>
      </w:pPr>
    </w:p>
    <w:p w:rsidR="00574CA4" w:rsidRDefault="00574CA4">
      <w:pPr>
        <w:jc w:val="center"/>
        <w:rPr>
          <w:rFonts w:eastAsia="仿宋_GB2312"/>
          <w:b/>
          <w:bCs/>
          <w:sz w:val="52"/>
        </w:rPr>
      </w:pPr>
    </w:p>
    <w:p w:rsidR="00574CA4" w:rsidRDefault="00574CA4">
      <w:pPr>
        <w:jc w:val="center"/>
        <w:rPr>
          <w:rFonts w:eastAsia="仿宋_GB2312"/>
          <w:b/>
          <w:bCs/>
          <w:sz w:val="52"/>
        </w:rPr>
      </w:pPr>
    </w:p>
    <w:p w:rsidR="00574CA4" w:rsidRDefault="00574CA4">
      <w:pPr>
        <w:jc w:val="center"/>
        <w:rPr>
          <w:rFonts w:eastAsia="仿宋_GB2312"/>
          <w:b/>
          <w:bCs/>
          <w:sz w:val="52"/>
        </w:rPr>
      </w:pPr>
    </w:p>
    <w:p w:rsidR="00574CA4" w:rsidRDefault="00574CA4">
      <w:pPr>
        <w:jc w:val="center"/>
        <w:rPr>
          <w:rFonts w:eastAsia="仿宋_GB2312"/>
          <w:b/>
          <w:bCs/>
          <w:sz w:val="52"/>
        </w:rPr>
      </w:pPr>
    </w:p>
    <w:p w:rsidR="00574CA4" w:rsidRDefault="006E4BF4">
      <w:pPr>
        <w:jc w:val="center"/>
        <w:rPr>
          <w:rFonts w:ascii="Arial" w:hAnsi="Arial" w:cs="Arial"/>
          <w:b/>
          <w:sz w:val="32"/>
          <w:szCs w:val="32"/>
        </w:rPr>
      </w:pPr>
      <w:r>
        <w:rPr>
          <w:rFonts w:ascii="Arial" w:hAnsi="Arial" w:cs="Arial" w:hint="eastAsia"/>
          <w:b/>
          <w:sz w:val="32"/>
          <w:szCs w:val="32"/>
        </w:rPr>
        <w:t>基金管理人：国寿安保基金管理有限公司</w:t>
      </w:r>
    </w:p>
    <w:p w:rsidR="00574CA4" w:rsidRDefault="006E4BF4">
      <w:pPr>
        <w:jc w:val="center"/>
        <w:rPr>
          <w:rFonts w:ascii="Arial" w:hAnsi="Arial" w:cs="Arial"/>
          <w:b/>
          <w:sz w:val="32"/>
          <w:szCs w:val="32"/>
        </w:rPr>
      </w:pPr>
      <w:r>
        <w:rPr>
          <w:rFonts w:ascii="Arial" w:hAnsi="Arial" w:cs="Arial" w:hint="eastAsia"/>
          <w:b/>
          <w:sz w:val="32"/>
          <w:szCs w:val="32"/>
        </w:rPr>
        <w:t>基金</w:t>
      </w:r>
      <w:r>
        <w:rPr>
          <w:rFonts w:ascii="Arial" w:hAnsi="Arial" w:cs="Arial"/>
          <w:b/>
          <w:sz w:val="32"/>
          <w:szCs w:val="32"/>
        </w:rPr>
        <w:t>托管人：</w:t>
      </w:r>
      <w:r>
        <w:rPr>
          <w:rFonts w:ascii="Arial" w:hAnsi="Arial" w:cs="Arial" w:hint="eastAsia"/>
          <w:b/>
          <w:sz w:val="32"/>
          <w:szCs w:val="32"/>
        </w:rPr>
        <w:t>交通银行</w:t>
      </w:r>
      <w:r>
        <w:rPr>
          <w:rFonts w:ascii="Arial" w:hAnsi="Arial" w:cs="Arial" w:hint="eastAsia"/>
          <w:b/>
          <w:sz w:val="32"/>
          <w:szCs w:val="32"/>
        </w:rPr>
        <w:t>股份有限公司</w:t>
      </w:r>
    </w:p>
    <w:p w:rsidR="00574CA4" w:rsidRDefault="00574CA4">
      <w:pPr>
        <w:jc w:val="center"/>
        <w:rPr>
          <w:rFonts w:eastAsia="仿宋_GB2312"/>
          <w:sz w:val="24"/>
        </w:rPr>
        <w:sectPr w:rsidR="00574CA4">
          <w:headerReference w:type="default" r:id="rId8"/>
          <w:footerReference w:type="default" r:id="rId9"/>
          <w:pgSz w:w="11906" w:h="16838"/>
          <w:pgMar w:top="1134" w:right="991" w:bottom="851" w:left="1701" w:header="851" w:footer="992" w:gutter="0"/>
          <w:pgNumType w:start="1"/>
          <w:cols w:space="425"/>
          <w:titlePg/>
          <w:docGrid w:type="lines" w:linePitch="312"/>
        </w:sectPr>
      </w:pPr>
    </w:p>
    <w:p w:rsidR="00574CA4" w:rsidRDefault="006E4BF4">
      <w:pPr>
        <w:jc w:val="center"/>
        <w:rPr>
          <w:rFonts w:ascii="Arial" w:hAnsi="Arial" w:cs="Arial"/>
          <w:b/>
          <w:sz w:val="32"/>
          <w:szCs w:val="32"/>
        </w:rPr>
      </w:pPr>
      <w:r>
        <w:rPr>
          <w:rFonts w:ascii="Arial" w:hAnsi="Arial" w:cs="Arial" w:hint="eastAsia"/>
          <w:b/>
          <w:sz w:val="32"/>
          <w:szCs w:val="32"/>
        </w:rPr>
        <w:lastRenderedPageBreak/>
        <w:t>目</w:t>
      </w:r>
      <w:r>
        <w:rPr>
          <w:rFonts w:ascii="Arial" w:hAnsi="Arial" w:cs="Arial" w:hint="eastAsia"/>
          <w:b/>
          <w:sz w:val="32"/>
          <w:szCs w:val="32"/>
        </w:rPr>
        <w:t xml:space="preserve">    </w:t>
      </w:r>
      <w:r>
        <w:rPr>
          <w:rFonts w:ascii="Arial" w:hAnsi="Arial" w:cs="Arial" w:hint="eastAsia"/>
          <w:b/>
          <w:sz w:val="32"/>
          <w:szCs w:val="32"/>
        </w:rPr>
        <w:t>录</w:t>
      </w:r>
    </w:p>
    <w:p w:rsidR="00574CA4" w:rsidRDefault="00574CA4">
      <w:pPr>
        <w:jc w:val="center"/>
        <w:rPr>
          <w:rFonts w:eastAsia="仿宋_GB2312"/>
        </w:rPr>
      </w:pPr>
    </w:p>
    <w:p w:rsidR="00574CA4" w:rsidRDefault="00574CA4">
      <w:pPr>
        <w:spacing w:line="360" w:lineRule="auto"/>
        <w:rPr>
          <w:rFonts w:eastAsia="仿宋_GB2312"/>
          <w:sz w:val="24"/>
        </w:rPr>
      </w:pPr>
    </w:p>
    <w:p w:rsidR="00574CA4" w:rsidRDefault="00574CA4">
      <w:pPr>
        <w:pStyle w:val="30"/>
        <w:tabs>
          <w:tab w:val="left" w:pos="1260"/>
          <w:tab w:val="right" w:leader="dot" w:pos="8777"/>
        </w:tabs>
        <w:spacing w:line="480" w:lineRule="auto"/>
        <w:rPr>
          <w:rFonts w:ascii="Arial" w:hAnsi="Arial" w:cs="Arial"/>
          <w:i w:val="0"/>
          <w:iCs w:val="0"/>
          <w:caps/>
          <w:sz w:val="24"/>
        </w:rPr>
      </w:pPr>
      <w:r>
        <w:rPr>
          <w:rFonts w:ascii="宋体" w:hAnsi="宋体"/>
          <w:b/>
          <w:i w:val="0"/>
          <w:iCs w:val="0"/>
          <w:caps/>
          <w:sz w:val="24"/>
        </w:rPr>
        <w:fldChar w:fldCharType="begin"/>
      </w:r>
      <w:r w:rsidR="006E4BF4">
        <w:rPr>
          <w:rFonts w:ascii="宋体" w:hAnsi="宋体"/>
          <w:b/>
          <w:i w:val="0"/>
          <w:iCs w:val="0"/>
          <w:caps/>
          <w:sz w:val="24"/>
        </w:rPr>
        <w:instrText xml:space="preserve"> TOC \o "1-3" \h \z </w:instrText>
      </w:r>
      <w:r>
        <w:rPr>
          <w:rFonts w:ascii="宋体" w:hAnsi="宋体"/>
          <w:b/>
          <w:i w:val="0"/>
          <w:iCs w:val="0"/>
          <w:caps/>
          <w:sz w:val="24"/>
        </w:rPr>
        <w:fldChar w:fldCharType="separate"/>
      </w:r>
      <w:hyperlink w:anchor="_Toc382228385" w:history="1">
        <w:r w:rsidR="006E4BF4">
          <w:rPr>
            <w:rFonts w:ascii="Arial" w:hAnsi="Arial" w:cs="Arial"/>
            <w:i w:val="0"/>
            <w:iCs w:val="0"/>
            <w:caps/>
            <w:sz w:val="24"/>
          </w:rPr>
          <w:t>一、本次发售基本情况</w:t>
        </w:r>
        <w:r w:rsidR="006E4BF4">
          <w:rPr>
            <w:rFonts w:ascii="Arial" w:hAnsi="Arial" w:cs="Arial"/>
            <w:i w:val="0"/>
            <w:iCs w:val="0"/>
            <w:caps/>
            <w:sz w:val="24"/>
          </w:rPr>
          <w:tab/>
        </w:r>
        <w:r>
          <w:rPr>
            <w:rFonts w:ascii="Arial" w:hAnsi="Arial" w:cs="Arial"/>
            <w:i w:val="0"/>
            <w:iCs w:val="0"/>
            <w:caps/>
            <w:sz w:val="24"/>
          </w:rPr>
          <w:fldChar w:fldCharType="begin"/>
        </w:r>
        <w:r w:rsidR="006E4BF4">
          <w:rPr>
            <w:rFonts w:ascii="Arial" w:hAnsi="Arial" w:cs="Arial"/>
            <w:i w:val="0"/>
            <w:iCs w:val="0"/>
            <w:caps/>
            <w:sz w:val="24"/>
          </w:rPr>
          <w:instrText xml:space="preserve"> PAGEREF _Toc382228385 \h </w:instrText>
        </w:r>
        <w:r>
          <w:rPr>
            <w:rFonts w:ascii="Arial" w:hAnsi="Arial" w:cs="Arial"/>
            <w:i w:val="0"/>
            <w:iCs w:val="0"/>
            <w:caps/>
            <w:sz w:val="24"/>
          </w:rPr>
        </w:r>
        <w:r>
          <w:rPr>
            <w:rFonts w:ascii="Arial" w:hAnsi="Arial" w:cs="Arial"/>
            <w:i w:val="0"/>
            <w:iCs w:val="0"/>
            <w:caps/>
            <w:sz w:val="24"/>
          </w:rPr>
          <w:fldChar w:fldCharType="separate"/>
        </w:r>
        <w:r w:rsidR="006E4BF4">
          <w:rPr>
            <w:rFonts w:ascii="Arial" w:hAnsi="Arial" w:cs="Arial"/>
            <w:i w:val="0"/>
            <w:iCs w:val="0"/>
            <w:caps/>
            <w:sz w:val="24"/>
          </w:rPr>
          <w:t>10</w:t>
        </w:r>
        <w:r>
          <w:rPr>
            <w:rFonts w:ascii="Arial" w:hAnsi="Arial" w:cs="Arial"/>
            <w:i w:val="0"/>
            <w:iCs w:val="0"/>
            <w:caps/>
            <w:sz w:val="24"/>
          </w:rPr>
          <w:fldChar w:fldCharType="end"/>
        </w:r>
      </w:hyperlink>
    </w:p>
    <w:p w:rsidR="00574CA4" w:rsidRDefault="00574CA4">
      <w:pPr>
        <w:pStyle w:val="30"/>
        <w:tabs>
          <w:tab w:val="left" w:pos="1260"/>
          <w:tab w:val="right" w:leader="dot" w:pos="8777"/>
        </w:tabs>
        <w:spacing w:line="480" w:lineRule="auto"/>
        <w:rPr>
          <w:rFonts w:ascii="Arial" w:hAnsi="Arial" w:cs="Arial"/>
          <w:i w:val="0"/>
          <w:iCs w:val="0"/>
          <w:caps/>
          <w:sz w:val="24"/>
        </w:rPr>
      </w:pPr>
      <w:hyperlink w:anchor="_Toc382228386" w:history="1">
        <w:r w:rsidR="006E4BF4">
          <w:rPr>
            <w:rFonts w:ascii="Arial" w:hAnsi="Arial" w:cs="Arial"/>
            <w:i w:val="0"/>
            <w:iCs w:val="0"/>
            <w:caps/>
            <w:sz w:val="24"/>
          </w:rPr>
          <w:t>二、个人投资者的开户与认购程序</w:t>
        </w:r>
        <w:r w:rsidR="006E4BF4">
          <w:rPr>
            <w:rFonts w:ascii="Arial" w:hAnsi="Arial" w:cs="Arial"/>
            <w:i w:val="0"/>
            <w:iCs w:val="0"/>
            <w:caps/>
            <w:sz w:val="24"/>
          </w:rPr>
          <w:tab/>
        </w:r>
        <w:r>
          <w:rPr>
            <w:rFonts w:ascii="Arial" w:hAnsi="Arial" w:cs="Arial"/>
            <w:i w:val="0"/>
            <w:iCs w:val="0"/>
            <w:caps/>
            <w:sz w:val="24"/>
          </w:rPr>
          <w:fldChar w:fldCharType="begin"/>
        </w:r>
        <w:r w:rsidR="006E4BF4">
          <w:rPr>
            <w:rFonts w:ascii="Arial" w:hAnsi="Arial" w:cs="Arial"/>
            <w:i w:val="0"/>
            <w:iCs w:val="0"/>
            <w:caps/>
            <w:sz w:val="24"/>
          </w:rPr>
          <w:instrText xml:space="preserve"> PAGEREF _Toc382228386 \h </w:instrText>
        </w:r>
        <w:r>
          <w:rPr>
            <w:rFonts w:ascii="Arial" w:hAnsi="Arial" w:cs="Arial"/>
            <w:i w:val="0"/>
            <w:iCs w:val="0"/>
            <w:caps/>
            <w:sz w:val="24"/>
          </w:rPr>
        </w:r>
        <w:r>
          <w:rPr>
            <w:rFonts w:ascii="Arial" w:hAnsi="Arial" w:cs="Arial"/>
            <w:i w:val="0"/>
            <w:iCs w:val="0"/>
            <w:caps/>
            <w:sz w:val="24"/>
          </w:rPr>
          <w:fldChar w:fldCharType="separate"/>
        </w:r>
        <w:r w:rsidR="006E4BF4">
          <w:rPr>
            <w:rFonts w:ascii="Arial" w:hAnsi="Arial" w:cs="Arial"/>
            <w:i w:val="0"/>
            <w:iCs w:val="0"/>
            <w:caps/>
            <w:sz w:val="24"/>
          </w:rPr>
          <w:t>12</w:t>
        </w:r>
        <w:r>
          <w:rPr>
            <w:rFonts w:ascii="Arial" w:hAnsi="Arial" w:cs="Arial"/>
            <w:i w:val="0"/>
            <w:iCs w:val="0"/>
            <w:caps/>
            <w:sz w:val="24"/>
          </w:rPr>
          <w:fldChar w:fldCharType="end"/>
        </w:r>
      </w:hyperlink>
    </w:p>
    <w:p w:rsidR="00574CA4" w:rsidRDefault="00574CA4">
      <w:pPr>
        <w:pStyle w:val="30"/>
        <w:tabs>
          <w:tab w:val="right" w:leader="dot" w:pos="8777"/>
        </w:tabs>
        <w:spacing w:line="480" w:lineRule="auto"/>
        <w:rPr>
          <w:rFonts w:ascii="Arial" w:hAnsi="Arial" w:cs="Arial"/>
          <w:i w:val="0"/>
          <w:iCs w:val="0"/>
          <w:caps/>
          <w:sz w:val="24"/>
        </w:rPr>
      </w:pPr>
      <w:hyperlink w:anchor="_Toc382228387" w:history="1">
        <w:r w:rsidR="006E4BF4">
          <w:rPr>
            <w:rFonts w:ascii="Arial" w:hAnsi="Arial" w:cs="Arial"/>
            <w:i w:val="0"/>
            <w:iCs w:val="0"/>
            <w:caps/>
            <w:sz w:val="24"/>
          </w:rPr>
          <w:t>三、机构投资者的开户与认购程序</w:t>
        </w:r>
        <w:r w:rsidR="006E4BF4">
          <w:rPr>
            <w:rFonts w:ascii="Arial" w:hAnsi="Arial" w:cs="Arial"/>
            <w:i w:val="0"/>
            <w:iCs w:val="0"/>
            <w:caps/>
            <w:sz w:val="24"/>
          </w:rPr>
          <w:tab/>
        </w:r>
        <w:r>
          <w:rPr>
            <w:rFonts w:ascii="Arial" w:hAnsi="Arial" w:cs="Arial"/>
            <w:i w:val="0"/>
            <w:iCs w:val="0"/>
            <w:caps/>
            <w:sz w:val="24"/>
          </w:rPr>
          <w:fldChar w:fldCharType="begin"/>
        </w:r>
        <w:r w:rsidR="006E4BF4">
          <w:rPr>
            <w:rFonts w:ascii="Arial" w:hAnsi="Arial" w:cs="Arial"/>
            <w:i w:val="0"/>
            <w:iCs w:val="0"/>
            <w:caps/>
            <w:sz w:val="24"/>
          </w:rPr>
          <w:instrText xml:space="preserve"> PAGEREF _Toc382228387 \h </w:instrText>
        </w:r>
        <w:r>
          <w:rPr>
            <w:rFonts w:ascii="Arial" w:hAnsi="Arial" w:cs="Arial"/>
            <w:i w:val="0"/>
            <w:iCs w:val="0"/>
            <w:caps/>
            <w:sz w:val="24"/>
          </w:rPr>
        </w:r>
        <w:r>
          <w:rPr>
            <w:rFonts w:ascii="Arial" w:hAnsi="Arial" w:cs="Arial"/>
            <w:i w:val="0"/>
            <w:iCs w:val="0"/>
            <w:caps/>
            <w:sz w:val="24"/>
          </w:rPr>
          <w:fldChar w:fldCharType="separate"/>
        </w:r>
        <w:r w:rsidR="006E4BF4">
          <w:rPr>
            <w:rFonts w:ascii="Arial" w:hAnsi="Arial" w:cs="Arial"/>
            <w:i w:val="0"/>
            <w:iCs w:val="0"/>
            <w:caps/>
            <w:sz w:val="24"/>
          </w:rPr>
          <w:t>16</w:t>
        </w:r>
        <w:r>
          <w:rPr>
            <w:rFonts w:ascii="Arial" w:hAnsi="Arial" w:cs="Arial"/>
            <w:i w:val="0"/>
            <w:iCs w:val="0"/>
            <w:caps/>
            <w:sz w:val="24"/>
          </w:rPr>
          <w:fldChar w:fldCharType="end"/>
        </w:r>
      </w:hyperlink>
    </w:p>
    <w:p w:rsidR="00574CA4" w:rsidRDefault="00574CA4">
      <w:pPr>
        <w:pStyle w:val="30"/>
        <w:tabs>
          <w:tab w:val="right" w:leader="dot" w:pos="8777"/>
        </w:tabs>
        <w:spacing w:line="480" w:lineRule="auto"/>
        <w:rPr>
          <w:rFonts w:ascii="Arial" w:hAnsi="Arial" w:cs="Arial"/>
          <w:i w:val="0"/>
          <w:iCs w:val="0"/>
          <w:caps/>
          <w:sz w:val="24"/>
        </w:rPr>
      </w:pPr>
      <w:hyperlink w:anchor="_Toc382228388" w:history="1">
        <w:r w:rsidR="006E4BF4">
          <w:rPr>
            <w:rFonts w:ascii="Arial" w:hAnsi="Arial" w:cs="Arial"/>
            <w:i w:val="0"/>
            <w:iCs w:val="0"/>
            <w:caps/>
            <w:sz w:val="24"/>
          </w:rPr>
          <w:t>四、清算与交割</w:t>
        </w:r>
        <w:r w:rsidR="006E4BF4">
          <w:rPr>
            <w:rFonts w:ascii="Arial" w:hAnsi="Arial" w:cs="Arial"/>
            <w:i w:val="0"/>
            <w:iCs w:val="0"/>
            <w:caps/>
            <w:sz w:val="24"/>
          </w:rPr>
          <w:tab/>
        </w:r>
        <w:r>
          <w:rPr>
            <w:rFonts w:ascii="Arial" w:hAnsi="Arial" w:cs="Arial"/>
            <w:i w:val="0"/>
            <w:iCs w:val="0"/>
            <w:caps/>
            <w:sz w:val="24"/>
          </w:rPr>
          <w:fldChar w:fldCharType="begin"/>
        </w:r>
        <w:r w:rsidR="006E4BF4">
          <w:rPr>
            <w:rFonts w:ascii="Arial" w:hAnsi="Arial" w:cs="Arial"/>
            <w:i w:val="0"/>
            <w:iCs w:val="0"/>
            <w:caps/>
            <w:sz w:val="24"/>
          </w:rPr>
          <w:instrText xml:space="preserve"> PAGEREF _Toc382228388</w:instrText>
        </w:r>
        <w:r w:rsidR="006E4BF4">
          <w:rPr>
            <w:rFonts w:ascii="Arial" w:hAnsi="Arial" w:cs="Arial"/>
            <w:i w:val="0"/>
            <w:iCs w:val="0"/>
            <w:caps/>
            <w:sz w:val="24"/>
          </w:rPr>
          <w:instrText xml:space="preserve"> \h </w:instrText>
        </w:r>
        <w:r>
          <w:rPr>
            <w:rFonts w:ascii="Arial" w:hAnsi="Arial" w:cs="Arial"/>
            <w:i w:val="0"/>
            <w:iCs w:val="0"/>
            <w:caps/>
            <w:sz w:val="24"/>
          </w:rPr>
        </w:r>
        <w:r>
          <w:rPr>
            <w:rFonts w:ascii="Arial" w:hAnsi="Arial" w:cs="Arial"/>
            <w:i w:val="0"/>
            <w:iCs w:val="0"/>
            <w:caps/>
            <w:sz w:val="24"/>
          </w:rPr>
          <w:fldChar w:fldCharType="separate"/>
        </w:r>
        <w:r w:rsidR="006E4BF4">
          <w:rPr>
            <w:rFonts w:ascii="Arial" w:hAnsi="Arial" w:cs="Arial"/>
            <w:i w:val="0"/>
            <w:iCs w:val="0"/>
            <w:caps/>
            <w:sz w:val="24"/>
          </w:rPr>
          <w:t>20</w:t>
        </w:r>
        <w:r>
          <w:rPr>
            <w:rFonts w:ascii="Arial" w:hAnsi="Arial" w:cs="Arial"/>
            <w:i w:val="0"/>
            <w:iCs w:val="0"/>
            <w:caps/>
            <w:sz w:val="24"/>
          </w:rPr>
          <w:fldChar w:fldCharType="end"/>
        </w:r>
      </w:hyperlink>
    </w:p>
    <w:p w:rsidR="00574CA4" w:rsidRDefault="00574CA4">
      <w:pPr>
        <w:pStyle w:val="30"/>
        <w:tabs>
          <w:tab w:val="left" w:pos="1260"/>
          <w:tab w:val="right" w:leader="dot" w:pos="8777"/>
        </w:tabs>
        <w:spacing w:line="480" w:lineRule="auto"/>
        <w:rPr>
          <w:rFonts w:ascii="Arial" w:hAnsi="Arial" w:cs="Arial"/>
          <w:i w:val="0"/>
          <w:iCs w:val="0"/>
          <w:caps/>
          <w:sz w:val="24"/>
        </w:rPr>
      </w:pPr>
      <w:hyperlink w:anchor="_Toc382228389" w:history="1">
        <w:r w:rsidR="006E4BF4">
          <w:rPr>
            <w:rFonts w:ascii="Arial" w:hAnsi="Arial" w:cs="Arial"/>
            <w:i w:val="0"/>
            <w:iCs w:val="0"/>
            <w:caps/>
            <w:sz w:val="24"/>
          </w:rPr>
          <w:t>五、基金的验资与基金合同的生效</w:t>
        </w:r>
        <w:r w:rsidR="006E4BF4">
          <w:rPr>
            <w:rFonts w:ascii="Arial" w:hAnsi="Arial" w:cs="Arial"/>
            <w:i w:val="0"/>
            <w:iCs w:val="0"/>
            <w:caps/>
            <w:sz w:val="24"/>
          </w:rPr>
          <w:tab/>
        </w:r>
        <w:r>
          <w:rPr>
            <w:rFonts w:ascii="Arial" w:hAnsi="Arial" w:cs="Arial"/>
            <w:i w:val="0"/>
            <w:iCs w:val="0"/>
            <w:caps/>
            <w:sz w:val="24"/>
          </w:rPr>
          <w:fldChar w:fldCharType="begin"/>
        </w:r>
        <w:r w:rsidR="006E4BF4">
          <w:rPr>
            <w:rFonts w:ascii="Arial" w:hAnsi="Arial" w:cs="Arial"/>
            <w:i w:val="0"/>
            <w:iCs w:val="0"/>
            <w:caps/>
            <w:sz w:val="24"/>
          </w:rPr>
          <w:instrText xml:space="preserve"> PAGEREF _Toc382228389 \h </w:instrText>
        </w:r>
        <w:r>
          <w:rPr>
            <w:rFonts w:ascii="Arial" w:hAnsi="Arial" w:cs="Arial"/>
            <w:i w:val="0"/>
            <w:iCs w:val="0"/>
            <w:caps/>
            <w:sz w:val="24"/>
          </w:rPr>
        </w:r>
        <w:r>
          <w:rPr>
            <w:rFonts w:ascii="Arial" w:hAnsi="Arial" w:cs="Arial"/>
            <w:i w:val="0"/>
            <w:iCs w:val="0"/>
            <w:caps/>
            <w:sz w:val="24"/>
          </w:rPr>
          <w:fldChar w:fldCharType="separate"/>
        </w:r>
        <w:r w:rsidR="006E4BF4">
          <w:rPr>
            <w:rFonts w:ascii="Arial" w:hAnsi="Arial" w:cs="Arial"/>
            <w:i w:val="0"/>
            <w:iCs w:val="0"/>
            <w:caps/>
            <w:sz w:val="24"/>
          </w:rPr>
          <w:t>21</w:t>
        </w:r>
        <w:r>
          <w:rPr>
            <w:rFonts w:ascii="Arial" w:hAnsi="Arial" w:cs="Arial"/>
            <w:i w:val="0"/>
            <w:iCs w:val="0"/>
            <w:caps/>
            <w:sz w:val="24"/>
          </w:rPr>
          <w:fldChar w:fldCharType="end"/>
        </w:r>
      </w:hyperlink>
    </w:p>
    <w:p w:rsidR="00574CA4" w:rsidRDefault="00574CA4">
      <w:pPr>
        <w:pStyle w:val="30"/>
        <w:tabs>
          <w:tab w:val="right" w:leader="dot" w:pos="8777"/>
        </w:tabs>
        <w:spacing w:line="480" w:lineRule="auto"/>
        <w:rPr>
          <w:rFonts w:ascii="Arial" w:hAnsi="Arial" w:cs="Arial"/>
          <w:i w:val="0"/>
          <w:iCs w:val="0"/>
          <w:caps/>
          <w:sz w:val="24"/>
        </w:rPr>
      </w:pPr>
      <w:hyperlink w:anchor="_Toc382228390" w:history="1">
        <w:r w:rsidR="006E4BF4">
          <w:rPr>
            <w:rFonts w:ascii="Arial" w:hAnsi="Arial" w:cs="Arial"/>
            <w:i w:val="0"/>
            <w:iCs w:val="0"/>
            <w:caps/>
            <w:sz w:val="24"/>
          </w:rPr>
          <w:t>六、发售费用</w:t>
        </w:r>
        <w:r w:rsidR="006E4BF4">
          <w:rPr>
            <w:rFonts w:ascii="Arial" w:hAnsi="Arial" w:cs="Arial"/>
            <w:i w:val="0"/>
            <w:iCs w:val="0"/>
            <w:caps/>
            <w:sz w:val="24"/>
          </w:rPr>
          <w:tab/>
        </w:r>
        <w:r>
          <w:rPr>
            <w:rFonts w:ascii="Arial" w:hAnsi="Arial" w:cs="Arial"/>
            <w:i w:val="0"/>
            <w:iCs w:val="0"/>
            <w:caps/>
            <w:sz w:val="24"/>
          </w:rPr>
          <w:fldChar w:fldCharType="begin"/>
        </w:r>
        <w:r w:rsidR="006E4BF4">
          <w:rPr>
            <w:rFonts w:ascii="Arial" w:hAnsi="Arial" w:cs="Arial"/>
            <w:i w:val="0"/>
            <w:iCs w:val="0"/>
            <w:caps/>
            <w:sz w:val="24"/>
          </w:rPr>
          <w:instrText xml:space="preserve"> PAGEREF _Toc382228390 \h </w:instrText>
        </w:r>
        <w:r>
          <w:rPr>
            <w:rFonts w:ascii="Arial" w:hAnsi="Arial" w:cs="Arial"/>
            <w:i w:val="0"/>
            <w:iCs w:val="0"/>
            <w:caps/>
            <w:sz w:val="24"/>
          </w:rPr>
        </w:r>
        <w:r>
          <w:rPr>
            <w:rFonts w:ascii="Arial" w:hAnsi="Arial" w:cs="Arial"/>
            <w:i w:val="0"/>
            <w:iCs w:val="0"/>
            <w:caps/>
            <w:sz w:val="24"/>
          </w:rPr>
          <w:fldChar w:fldCharType="separate"/>
        </w:r>
        <w:r w:rsidR="006E4BF4">
          <w:rPr>
            <w:rFonts w:ascii="Arial" w:hAnsi="Arial" w:cs="Arial"/>
            <w:i w:val="0"/>
            <w:iCs w:val="0"/>
            <w:caps/>
            <w:sz w:val="24"/>
          </w:rPr>
          <w:t>22</w:t>
        </w:r>
        <w:r>
          <w:rPr>
            <w:rFonts w:ascii="Arial" w:hAnsi="Arial" w:cs="Arial"/>
            <w:i w:val="0"/>
            <w:iCs w:val="0"/>
            <w:caps/>
            <w:sz w:val="24"/>
          </w:rPr>
          <w:fldChar w:fldCharType="end"/>
        </w:r>
      </w:hyperlink>
    </w:p>
    <w:p w:rsidR="00574CA4" w:rsidRDefault="00574CA4">
      <w:pPr>
        <w:pStyle w:val="30"/>
        <w:tabs>
          <w:tab w:val="right" w:leader="dot" w:pos="8777"/>
        </w:tabs>
        <w:spacing w:line="480" w:lineRule="auto"/>
        <w:rPr>
          <w:rFonts w:ascii="宋体" w:hAnsi="宋体"/>
          <w:b/>
          <w:i w:val="0"/>
          <w:iCs w:val="0"/>
          <w:caps/>
          <w:sz w:val="24"/>
        </w:rPr>
      </w:pPr>
      <w:hyperlink w:anchor="_Toc382228391" w:history="1">
        <w:r w:rsidR="006E4BF4">
          <w:rPr>
            <w:rFonts w:ascii="Arial" w:hAnsi="Arial" w:cs="Arial"/>
            <w:i w:val="0"/>
            <w:iCs w:val="0"/>
            <w:caps/>
            <w:sz w:val="24"/>
          </w:rPr>
          <w:t>七、本次发售当事人或中介机构</w:t>
        </w:r>
        <w:r w:rsidR="006E4BF4">
          <w:rPr>
            <w:rFonts w:ascii="Arial" w:hAnsi="Arial" w:cs="Arial"/>
            <w:i w:val="0"/>
            <w:iCs w:val="0"/>
            <w:caps/>
            <w:sz w:val="24"/>
          </w:rPr>
          <w:tab/>
        </w:r>
        <w:r>
          <w:rPr>
            <w:rFonts w:ascii="Arial" w:hAnsi="Arial" w:cs="Arial"/>
            <w:i w:val="0"/>
            <w:iCs w:val="0"/>
            <w:caps/>
            <w:sz w:val="24"/>
          </w:rPr>
          <w:fldChar w:fldCharType="begin"/>
        </w:r>
        <w:r w:rsidR="006E4BF4">
          <w:rPr>
            <w:rFonts w:ascii="Arial" w:hAnsi="Arial" w:cs="Arial"/>
            <w:i w:val="0"/>
            <w:iCs w:val="0"/>
            <w:caps/>
            <w:sz w:val="24"/>
          </w:rPr>
          <w:instrText xml:space="preserve"> PAGERE</w:instrText>
        </w:r>
        <w:r w:rsidR="006E4BF4">
          <w:rPr>
            <w:rFonts w:ascii="Arial" w:hAnsi="Arial" w:cs="Arial"/>
            <w:i w:val="0"/>
            <w:iCs w:val="0"/>
            <w:caps/>
            <w:sz w:val="24"/>
          </w:rPr>
          <w:instrText xml:space="preserve">F _Toc382228391 \h </w:instrText>
        </w:r>
        <w:r>
          <w:rPr>
            <w:rFonts w:ascii="Arial" w:hAnsi="Arial" w:cs="Arial"/>
            <w:i w:val="0"/>
            <w:iCs w:val="0"/>
            <w:caps/>
            <w:sz w:val="24"/>
          </w:rPr>
        </w:r>
        <w:r>
          <w:rPr>
            <w:rFonts w:ascii="Arial" w:hAnsi="Arial" w:cs="Arial"/>
            <w:i w:val="0"/>
            <w:iCs w:val="0"/>
            <w:caps/>
            <w:sz w:val="24"/>
          </w:rPr>
          <w:fldChar w:fldCharType="separate"/>
        </w:r>
        <w:r w:rsidR="006E4BF4">
          <w:rPr>
            <w:rFonts w:ascii="Arial" w:hAnsi="Arial" w:cs="Arial"/>
            <w:i w:val="0"/>
            <w:iCs w:val="0"/>
            <w:caps/>
            <w:sz w:val="24"/>
          </w:rPr>
          <w:t>23</w:t>
        </w:r>
        <w:r>
          <w:rPr>
            <w:rFonts w:ascii="Arial" w:hAnsi="Arial" w:cs="Arial"/>
            <w:i w:val="0"/>
            <w:iCs w:val="0"/>
            <w:caps/>
            <w:sz w:val="24"/>
          </w:rPr>
          <w:fldChar w:fldCharType="end"/>
        </w:r>
      </w:hyperlink>
    </w:p>
    <w:p w:rsidR="00574CA4" w:rsidRDefault="00574CA4">
      <w:pPr>
        <w:spacing w:line="480" w:lineRule="auto"/>
        <w:rPr>
          <w:rFonts w:eastAsia="仿宋_GB2312"/>
          <w:kern w:val="0"/>
          <w:sz w:val="24"/>
        </w:rPr>
        <w:sectPr w:rsidR="00574CA4">
          <w:pgSz w:w="11906" w:h="16838"/>
          <w:pgMar w:top="1134" w:right="1418" w:bottom="851" w:left="1701" w:header="851" w:footer="992" w:gutter="0"/>
          <w:pgNumType w:start="1"/>
          <w:cols w:space="425"/>
          <w:titlePg/>
          <w:docGrid w:type="lines" w:linePitch="312"/>
        </w:sectPr>
      </w:pPr>
      <w:r>
        <w:rPr>
          <w:rFonts w:ascii="宋体" w:hAnsi="宋体"/>
          <w:b/>
          <w:caps/>
          <w:sz w:val="24"/>
        </w:rPr>
        <w:fldChar w:fldCharType="end"/>
      </w:r>
    </w:p>
    <w:p w:rsidR="00574CA4" w:rsidRDefault="006E4BF4">
      <w:pPr>
        <w:jc w:val="center"/>
        <w:rPr>
          <w:rFonts w:ascii="Arial" w:hAnsi="Arial" w:cs="Arial"/>
          <w:b/>
          <w:sz w:val="32"/>
          <w:szCs w:val="32"/>
        </w:rPr>
      </w:pPr>
      <w:bookmarkStart w:id="0" w:name="_Toc86752329"/>
      <w:bookmarkStart w:id="1" w:name="_Toc42009771"/>
      <w:bookmarkStart w:id="2" w:name="_Toc38286151"/>
      <w:bookmarkStart w:id="3" w:name="_Toc42009791"/>
      <w:r>
        <w:rPr>
          <w:rFonts w:ascii="Arial" w:hAnsi="Arial" w:cs="Arial" w:hint="eastAsia"/>
          <w:b/>
          <w:sz w:val="32"/>
          <w:szCs w:val="32"/>
        </w:rPr>
        <w:lastRenderedPageBreak/>
        <w:t>重要提示</w:t>
      </w:r>
      <w:bookmarkEnd w:id="0"/>
    </w:p>
    <w:p w:rsidR="00574CA4" w:rsidRDefault="00574CA4">
      <w:pPr>
        <w:spacing w:line="360" w:lineRule="auto"/>
        <w:jc w:val="center"/>
        <w:rPr>
          <w:rFonts w:eastAsia="仿宋_GB2312"/>
        </w:rPr>
      </w:pP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1</w:t>
      </w:r>
      <w:r>
        <w:rPr>
          <w:rFonts w:ascii="Arial" w:eastAsiaTheme="minorEastAsia" w:hAnsi="Arial" w:cs="Arial"/>
          <w:bCs/>
          <w:szCs w:val="21"/>
        </w:rPr>
        <w:t>、</w:t>
      </w:r>
      <w:r>
        <w:rPr>
          <w:rFonts w:ascii="Arial" w:eastAsiaTheme="minorEastAsia" w:hAnsi="Arial" w:cs="Arial" w:hint="eastAsia"/>
          <w:bCs/>
          <w:szCs w:val="21"/>
        </w:rPr>
        <w:t>国寿安保</w:t>
      </w:r>
      <w:r>
        <w:rPr>
          <w:rFonts w:ascii="Arial" w:eastAsiaTheme="minorEastAsia" w:hAnsi="Arial" w:cs="Arial" w:hint="eastAsia"/>
          <w:bCs/>
          <w:szCs w:val="21"/>
        </w:rPr>
        <w:t>中证</w:t>
      </w:r>
      <w:r>
        <w:rPr>
          <w:rFonts w:ascii="Arial" w:eastAsiaTheme="minorEastAsia" w:hAnsi="Arial" w:cs="Arial" w:hint="eastAsia"/>
          <w:bCs/>
          <w:szCs w:val="21"/>
        </w:rPr>
        <w:t>800</w:t>
      </w:r>
      <w:r>
        <w:rPr>
          <w:rFonts w:ascii="Arial" w:eastAsiaTheme="minorEastAsia" w:hAnsi="Arial" w:cs="Arial" w:hint="eastAsia"/>
          <w:bCs/>
          <w:szCs w:val="21"/>
        </w:rPr>
        <w:t>指数增强型</w:t>
      </w:r>
      <w:r>
        <w:rPr>
          <w:rFonts w:ascii="Arial" w:eastAsiaTheme="minorEastAsia" w:hAnsi="Arial" w:cs="Arial" w:hint="eastAsia"/>
          <w:bCs/>
          <w:szCs w:val="21"/>
        </w:rPr>
        <w:t>证券投资基金</w:t>
      </w:r>
      <w:r>
        <w:rPr>
          <w:rFonts w:ascii="Arial" w:eastAsiaTheme="minorEastAsia" w:hAnsi="Arial" w:cs="Arial"/>
          <w:bCs/>
          <w:szCs w:val="21"/>
        </w:rPr>
        <w:t>（以下简称</w:t>
      </w:r>
      <w:r>
        <w:rPr>
          <w:rFonts w:ascii="Arial" w:eastAsiaTheme="minorEastAsia" w:hAnsi="Arial" w:cs="Arial"/>
          <w:bCs/>
          <w:szCs w:val="21"/>
        </w:rPr>
        <w:t>“</w:t>
      </w:r>
      <w:r>
        <w:rPr>
          <w:rFonts w:ascii="Arial" w:eastAsiaTheme="minorEastAsia" w:hAnsi="Arial" w:cs="Arial"/>
          <w:bCs/>
          <w:szCs w:val="21"/>
        </w:rPr>
        <w:t>本基金</w:t>
      </w:r>
      <w:r>
        <w:rPr>
          <w:rFonts w:ascii="Arial" w:eastAsiaTheme="minorEastAsia" w:hAnsi="Arial" w:cs="Arial"/>
          <w:bCs/>
          <w:szCs w:val="21"/>
        </w:rPr>
        <w:t>”</w:t>
      </w:r>
      <w:r>
        <w:rPr>
          <w:rFonts w:ascii="Arial" w:eastAsiaTheme="minorEastAsia" w:hAnsi="Arial" w:cs="Arial"/>
          <w:bCs/>
          <w:szCs w:val="21"/>
        </w:rPr>
        <w:t>）的募集已获中国证券监督管理委员会证监许可</w:t>
      </w:r>
      <w:r>
        <w:rPr>
          <w:rFonts w:ascii="Arial" w:eastAsiaTheme="minorEastAsia" w:hAnsi="Arial" w:cs="Arial" w:hint="eastAsia"/>
          <w:bCs/>
          <w:szCs w:val="21"/>
        </w:rPr>
        <w:t>【</w:t>
      </w:r>
      <w:r>
        <w:rPr>
          <w:rFonts w:ascii="Arial" w:eastAsiaTheme="minorEastAsia" w:hAnsi="Arial" w:cs="Arial" w:hint="eastAsia"/>
          <w:bCs/>
          <w:szCs w:val="21"/>
        </w:rPr>
        <w:t>202</w:t>
      </w:r>
      <w:r>
        <w:rPr>
          <w:rFonts w:ascii="Arial" w:eastAsiaTheme="minorEastAsia" w:hAnsi="Arial" w:cs="Arial" w:hint="eastAsia"/>
          <w:bCs/>
          <w:szCs w:val="21"/>
        </w:rPr>
        <w:t>5</w:t>
      </w:r>
      <w:r>
        <w:rPr>
          <w:rFonts w:ascii="Arial" w:eastAsiaTheme="minorEastAsia" w:hAnsi="Arial" w:cs="Arial" w:hint="eastAsia"/>
          <w:bCs/>
          <w:szCs w:val="21"/>
        </w:rPr>
        <w:t>】</w:t>
      </w:r>
      <w:r>
        <w:rPr>
          <w:rFonts w:ascii="Arial" w:eastAsiaTheme="minorEastAsia" w:hAnsi="Arial" w:cs="Arial" w:hint="eastAsia"/>
          <w:bCs/>
          <w:szCs w:val="21"/>
        </w:rPr>
        <w:t>2632</w:t>
      </w:r>
      <w:r>
        <w:rPr>
          <w:rFonts w:ascii="Arial" w:eastAsiaTheme="minorEastAsia" w:hAnsi="Arial" w:cs="Arial" w:hint="eastAsia"/>
          <w:bCs/>
          <w:szCs w:val="21"/>
        </w:rPr>
        <w:t>号文准予募集注册。中国证监会对本基金的注册并不代表中国证监会对本基金的风险和收益作出实质性判断、推荐或保证。</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2</w:t>
      </w:r>
      <w:r>
        <w:rPr>
          <w:rFonts w:ascii="Arial" w:eastAsiaTheme="minorEastAsia" w:hAnsi="Arial" w:cs="Arial" w:hint="eastAsia"/>
          <w:bCs/>
          <w:szCs w:val="21"/>
        </w:rPr>
        <w:t>、本基金为股票型证券投资基金，运作方式为契约型开放式。</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3</w:t>
      </w:r>
      <w:r>
        <w:rPr>
          <w:rFonts w:ascii="Arial" w:eastAsiaTheme="minorEastAsia" w:hAnsi="Arial" w:cs="Arial" w:hint="eastAsia"/>
          <w:bCs/>
          <w:szCs w:val="21"/>
        </w:rPr>
        <w:t>、本基金管理人为国寿安保基金管理有限公司（以下简称</w:t>
      </w:r>
      <w:r>
        <w:rPr>
          <w:rFonts w:ascii="Arial" w:eastAsiaTheme="minorEastAsia" w:hAnsi="Arial" w:cs="Arial"/>
          <w:bCs/>
          <w:szCs w:val="21"/>
        </w:rPr>
        <w:t>“</w:t>
      </w:r>
      <w:r>
        <w:rPr>
          <w:rFonts w:ascii="Arial" w:eastAsiaTheme="minorEastAsia" w:hAnsi="Arial" w:cs="Arial" w:hint="eastAsia"/>
          <w:bCs/>
          <w:szCs w:val="21"/>
        </w:rPr>
        <w:t>本公司</w:t>
      </w:r>
      <w:r>
        <w:rPr>
          <w:rFonts w:ascii="Arial" w:eastAsiaTheme="minorEastAsia" w:hAnsi="Arial" w:cs="Arial"/>
          <w:bCs/>
          <w:szCs w:val="21"/>
        </w:rPr>
        <w:t>”</w:t>
      </w:r>
      <w:r>
        <w:rPr>
          <w:rFonts w:ascii="Arial" w:eastAsiaTheme="minorEastAsia" w:hAnsi="Arial" w:cs="Arial" w:hint="eastAsia"/>
          <w:bCs/>
          <w:szCs w:val="21"/>
        </w:rPr>
        <w:t>或</w:t>
      </w:r>
      <w:r>
        <w:rPr>
          <w:rFonts w:ascii="Arial" w:eastAsiaTheme="minorEastAsia" w:hAnsi="Arial" w:cs="Arial"/>
          <w:bCs/>
          <w:szCs w:val="21"/>
        </w:rPr>
        <w:t>“</w:t>
      </w:r>
      <w:r>
        <w:rPr>
          <w:rFonts w:ascii="Arial" w:eastAsiaTheme="minorEastAsia" w:hAnsi="Arial" w:cs="Arial" w:hint="eastAsia"/>
          <w:bCs/>
          <w:szCs w:val="21"/>
        </w:rPr>
        <w:t>基金管理人</w:t>
      </w:r>
      <w:r>
        <w:rPr>
          <w:rFonts w:ascii="Arial" w:eastAsiaTheme="minorEastAsia" w:hAnsi="Arial" w:cs="Arial"/>
          <w:bCs/>
          <w:szCs w:val="21"/>
        </w:rPr>
        <w:t>”</w:t>
      </w:r>
      <w:r>
        <w:rPr>
          <w:rFonts w:ascii="Arial" w:eastAsiaTheme="minorEastAsia" w:hAnsi="Arial" w:cs="Arial" w:hint="eastAsia"/>
          <w:bCs/>
          <w:szCs w:val="21"/>
        </w:rPr>
        <w:t>）；基金托管人为</w:t>
      </w:r>
      <w:r>
        <w:rPr>
          <w:rFonts w:ascii="Arial" w:eastAsiaTheme="minorEastAsia" w:hAnsi="Arial" w:cs="Arial" w:hint="eastAsia"/>
          <w:bCs/>
          <w:szCs w:val="21"/>
        </w:rPr>
        <w:t>交通银行</w:t>
      </w:r>
      <w:r>
        <w:rPr>
          <w:rFonts w:ascii="Arial" w:eastAsiaTheme="minorEastAsia" w:hAnsi="Arial" w:cs="Arial" w:hint="eastAsia"/>
          <w:bCs/>
          <w:szCs w:val="21"/>
        </w:rPr>
        <w:t>股份有限公司（以下简称</w:t>
      </w:r>
      <w:r>
        <w:rPr>
          <w:rFonts w:ascii="Arial" w:eastAsiaTheme="minorEastAsia" w:hAnsi="Arial" w:cs="Arial"/>
          <w:bCs/>
          <w:szCs w:val="21"/>
        </w:rPr>
        <w:t>“</w:t>
      </w:r>
      <w:r>
        <w:rPr>
          <w:rFonts w:ascii="Arial" w:eastAsiaTheme="minorEastAsia" w:hAnsi="Arial" w:cs="Arial" w:hint="eastAsia"/>
          <w:bCs/>
          <w:szCs w:val="21"/>
        </w:rPr>
        <w:t>交通银行</w:t>
      </w:r>
      <w:r>
        <w:rPr>
          <w:rFonts w:ascii="Arial" w:eastAsiaTheme="minorEastAsia" w:hAnsi="Arial" w:cs="Arial"/>
          <w:bCs/>
          <w:szCs w:val="21"/>
        </w:rPr>
        <w:t>”</w:t>
      </w:r>
      <w:r>
        <w:rPr>
          <w:rFonts w:ascii="Arial" w:eastAsiaTheme="minorEastAsia" w:hAnsi="Arial" w:cs="Arial" w:hint="eastAsia"/>
          <w:bCs/>
          <w:szCs w:val="21"/>
        </w:rPr>
        <w:t>）；登记机构为国寿安保基金管理有限公司。</w:t>
      </w:r>
      <w:bookmarkStart w:id="4" w:name="_GoBack"/>
      <w:bookmarkEnd w:id="4"/>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4</w:t>
      </w:r>
      <w:r>
        <w:rPr>
          <w:rFonts w:ascii="Arial" w:eastAsiaTheme="minorEastAsia" w:hAnsi="Arial" w:cs="Arial" w:hint="eastAsia"/>
          <w:bCs/>
          <w:szCs w:val="21"/>
        </w:rPr>
        <w:t>、本基金于</w:t>
      </w:r>
      <w:r>
        <w:rPr>
          <w:rFonts w:ascii="Arial" w:eastAsiaTheme="minorEastAsia" w:hAnsi="Arial" w:cs="Arial"/>
          <w:bCs/>
          <w:szCs w:val="21"/>
        </w:rPr>
        <w:t>20</w:t>
      </w:r>
      <w:r>
        <w:rPr>
          <w:rFonts w:ascii="Arial" w:eastAsiaTheme="minorEastAsia" w:hAnsi="Arial" w:cs="Arial" w:hint="eastAsia"/>
          <w:bCs/>
          <w:szCs w:val="21"/>
        </w:rPr>
        <w:t>25</w:t>
      </w:r>
      <w:r>
        <w:rPr>
          <w:rFonts w:ascii="Arial" w:eastAsiaTheme="minorEastAsia" w:hAnsi="Arial" w:cs="Arial" w:hint="eastAsia"/>
          <w:bCs/>
          <w:szCs w:val="21"/>
        </w:rPr>
        <w:t>年</w:t>
      </w:r>
      <w:r>
        <w:rPr>
          <w:rFonts w:ascii="Arial" w:eastAsiaTheme="minorEastAsia" w:hAnsi="Arial" w:cs="Arial" w:hint="eastAsia"/>
          <w:bCs/>
          <w:szCs w:val="21"/>
        </w:rPr>
        <w:t>12</w:t>
      </w:r>
      <w:r>
        <w:rPr>
          <w:rFonts w:ascii="Arial" w:eastAsiaTheme="minorEastAsia" w:hAnsi="Arial" w:cs="Arial" w:hint="eastAsia"/>
          <w:bCs/>
          <w:szCs w:val="21"/>
        </w:rPr>
        <w:t>月</w:t>
      </w:r>
      <w:r>
        <w:rPr>
          <w:rFonts w:ascii="Arial" w:eastAsiaTheme="minorEastAsia" w:hAnsi="Arial" w:cs="Arial" w:hint="eastAsia"/>
          <w:bCs/>
          <w:szCs w:val="21"/>
        </w:rPr>
        <w:t>15</w:t>
      </w:r>
      <w:r>
        <w:rPr>
          <w:rFonts w:ascii="Arial" w:eastAsiaTheme="minorEastAsia" w:hAnsi="Arial" w:cs="Arial" w:hint="eastAsia"/>
          <w:bCs/>
          <w:szCs w:val="21"/>
        </w:rPr>
        <w:t>日</w:t>
      </w:r>
      <w:r>
        <w:rPr>
          <w:rFonts w:ascii="Arial" w:eastAsiaTheme="minorEastAsia" w:hAnsi="Arial" w:cs="Arial" w:hint="eastAsia"/>
          <w:bCs/>
          <w:szCs w:val="21"/>
        </w:rPr>
        <w:t>至</w:t>
      </w:r>
      <w:r>
        <w:rPr>
          <w:rFonts w:ascii="Arial" w:eastAsiaTheme="minorEastAsia" w:hAnsi="Arial" w:cs="Arial" w:hint="eastAsia"/>
          <w:bCs/>
          <w:szCs w:val="21"/>
        </w:rPr>
        <w:t>2026</w:t>
      </w:r>
      <w:r>
        <w:rPr>
          <w:rFonts w:ascii="Arial" w:eastAsiaTheme="minorEastAsia" w:hAnsi="Arial" w:cs="Arial" w:hint="eastAsia"/>
          <w:bCs/>
          <w:szCs w:val="21"/>
        </w:rPr>
        <w:t>年</w:t>
      </w:r>
      <w:r>
        <w:rPr>
          <w:rFonts w:ascii="Arial" w:eastAsiaTheme="minorEastAsia" w:hAnsi="Arial" w:cs="Arial" w:hint="eastAsia"/>
          <w:bCs/>
          <w:szCs w:val="21"/>
        </w:rPr>
        <w:t>1</w:t>
      </w:r>
      <w:r>
        <w:rPr>
          <w:rFonts w:ascii="Arial" w:eastAsiaTheme="minorEastAsia" w:hAnsi="Arial" w:cs="Arial" w:hint="eastAsia"/>
          <w:bCs/>
          <w:szCs w:val="21"/>
        </w:rPr>
        <w:t>月</w:t>
      </w:r>
      <w:r>
        <w:rPr>
          <w:rFonts w:ascii="Arial" w:eastAsiaTheme="minorEastAsia" w:hAnsi="Arial" w:cs="Arial" w:hint="eastAsia"/>
          <w:bCs/>
          <w:szCs w:val="21"/>
        </w:rPr>
        <w:t>9</w:t>
      </w:r>
      <w:r>
        <w:rPr>
          <w:rFonts w:ascii="Arial" w:eastAsiaTheme="minorEastAsia" w:hAnsi="Arial" w:cs="Arial" w:hint="eastAsia"/>
          <w:bCs/>
          <w:szCs w:val="21"/>
        </w:rPr>
        <w:t>日</w:t>
      </w:r>
      <w:r>
        <w:rPr>
          <w:rFonts w:ascii="Arial" w:eastAsiaTheme="minorEastAsia" w:hAnsi="Arial" w:cs="Arial" w:hint="eastAsia"/>
          <w:bCs/>
          <w:szCs w:val="21"/>
        </w:rPr>
        <w:t>通过基金管理人指定的销售机构（包括直销中心、网上直销交易系统</w:t>
      </w:r>
      <w:r>
        <w:rPr>
          <w:rFonts w:ascii="Arial" w:eastAsiaTheme="minorEastAsia" w:hAnsi="Arial" w:cs="Arial" w:hint="eastAsia"/>
          <w:bCs/>
          <w:szCs w:val="21"/>
        </w:rPr>
        <w:t>以及销售机构的销售网点</w:t>
      </w:r>
      <w:r>
        <w:rPr>
          <w:rFonts w:ascii="Arial" w:eastAsiaTheme="minorEastAsia" w:hAnsi="Arial" w:cs="Arial" w:hint="eastAsia"/>
          <w:bCs/>
          <w:szCs w:val="21"/>
        </w:rPr>
        <w:t>）公开发售。</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5</w:t>
      </w:r>
      <w:r>
        <w:rPr>
          <w:rFonts w:ascii="Arial" w:eastAsiaTheme="minorEastAsia" w:hAnsi="Arial" w:cs="Arial" w:hint="eastAsia"/>
          <w:bCs/>
          <w:szCs w:val="21"/>
        </w:rPr>
        <w:t>、本基金募集对象为符合法律法规规定的可投资于证券投资基金的个人投资者、机构投资者、合格境外投资者以及法律法规或中国证监会允许购买证券投资基金的其他投资人。</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6</w:t>
      </w:r>
      <w:r>
        <w:rPr>
          <w:rFonts w:ascii="Arial" w:eastAsiaTheme="minorEastAsia" w:hAnsi="Arial" w:cs="Arial"/>
          <w:bCs/>
          <w:szCs w:val="21"/>
        </w:rPr>
        <w:t>、在基金发售期间基金账户开户和基金认购申请手续可以同时办理，一次完成，但若开户无效，认购申请也同时无效。</w:t>
      </w:r>
    </w:p>
    <w:p w:rsidR="00574CA4" w:rsidRDefault="006E4BF4">
      <w:pPr>
        <w:adjustRightInd w:val="0"/>
        <w:snapToGrid w:val="0"/>
        <w:spacing w:line="360" w:lineRule="auto"/>
        <w:ind w:firstLineChars="200" w:firstLine="420"/>
        <w:rPr>
          <w:rFonts w:ascii="Arial" w:hAnsi="Arial" w:cs="Arial"/>
          <w:bCs/>
          <w:szCs w:val="21"/>
        </w:rPr>
      </w:pPr>
      <w:r>
        <w:rPr>
          <w:rFonts w:ascii="Arial" w:eastAsiaTheme="minorEastAsia" w:hAnsi="Arial" w:cs="Arial"/>
          <w:bCs/>
          <w:szCs w:val="21"/>
        </w:rPr>
        <w:t>7</w:t>
      </w:r>
      <w:r>
        <w:rPr>
          <w:rFonts w:ascii="Arial" w:eastAsiaTheme="minorEastAsia" w:hAnsi="Arial" w:cs="Arial" w:hint="eastAsia"/>
          <w:bCs/>
          <w:szCs w:val="21"/>
        </w:rPr>
        <w:t>、在募集期内每一基金投资者通过基金管理人网上交易系统每个基金账户首次认购的最低金额为人民币</w:t>
      </w:r>
      <w:r>
        <w:rPr>
          <w:rFonts w:ascii="Arial" w:eastAsiaTheme="minorEastAsia" w:hAnsi="Arial" w:cs="Arial" w:hint="eastAsia"/>
          <w:bCs/>
          <w:szCs w:val="21"/>
        </w:rPr>
        <w:t>1</w:t>
      </w:r>
      <w:r>
        <w:rPr>
          <w:rFonts w:ascii="Arial" w:eastAsiaTheme="minorEastAsia" w:hAnsi="Arial" w:cs="Arial" w:hint="eastAsia"/>
          <w:bCs/>
          <w:szCs w:val="21"/>
        </w:rPr>
        <w:t>元（含认购费），追加认购最低金额为</w:t>
      </w:r>
      <w:r>
        <w:rPr>
          <w:rFonts w:ascii="Arial" w:eastAsiaTheme="minorEastAsia" w:hAnsi="Arial" w:cs="Arial" w:hint="eastAsia"/>
          <w:bCs/>
          <w:szCs w:val="21"/>
        </w:rPr>
        <w:t>1</w:t>
      </w:r>
      <w:r>
        <w:rPr>
          <w:rFonts w:ascii="Arial" w:eastAsiaTheme="minorEastAsia" w:hAnsi="Arial" w:cs="Arial" w:hint="eastAsia"/>
          <w:bCs/>
          <w:szCs w:val="21"/>
        </w:rPr>
        <w:t>元（含认购费）。各销售机构对最低认购限额及交易级差有其他规定的，以各销售机构的业务规定为准。已在基金管理人销售网点有认</w:t>
      </w:r>
      <w:r>
        <w:rPr>
          <w:rFonts w:ascii="Arial" w:eastAsiaTheme="minorEastAsia" w:hAnsi="Arial" w:cs="Arial" w:hint="eastAsia"/>
          <w:bCs/>
          <w:szCs w:val="21"/>
        </w:rPr>
        <w:t>购本基金记录的投资者不受首次认购最低金额的限制，但受追加认购最低金额的限制。本基金募集期间对单个基金份额持有人不设置最高认购金额限制。</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8</w:t>
      </w:r>
      <w:r>
        <w:rPr>
          <w:rFonts w:ascii="Arial" w:eastAsiaTheme="minorEastAsia" w:hAnsi="Arial" w:cs="Arial" w:hint="eastAsia"/>
          <w:bCs/>
          <w:szCs w:val="21"/>
        </w:rPr>
        <w:t>、有效认购款项在募集期间产生的利息将折算为基金份额归基金份额持有人所有，其中利息转份额的具体数额以登记机构的记录为准。</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9</w:t>
      </w:r>
      <w:r>
        <w:rPr>
          <w:rFonts w:ascii="Arial" w:eastAsiaTheme="minorEastAsia" w:hAnsi="Arial" w:cs="Arial" w:hint="eastAsia"/>
          <w:bCs/>
          <w:szCs w:val="21"/>
        </w:rPr>
        <w:t>、投资者通过销售机构购买本基金时，需开立本公司基金账户，除法律法规另有规定外，每个投资者仅允许开立一个基金账户。若投资者已经开立基金账户，则无须再另行开立基金账户，直接以此基金账户办理认购申请即可。未开立基金账户的投资者可以到本公司指定销售网点和本公司直销中心办理开立基金账户的手续。本公司同时开通网上开户功能，详细情况请登录公司网上直销系统（</w:t>
      </w:r>
      <w:hyperlink r:id="rId10" w:history="1">
        <w:r>
          <w:rPr>
            <w:rFonts w:ascii="Arial" w:hAnsi="Arial" w:cs="Arial"/>
            <w:szCs w:val="21"/>
          </w:rPr>
          <w:t>https://e</w:t>
        </w:r>
        <w:r>
          <w:rPr>
            <w:rFonts w:ascii="Arial" w:hAnsi="Arial" w:cs="Arial" w:hint="eastAsia"/>
            <w:szCs w:val="21"/>
          </w:rPr>
          <w:t>.</w:t>
        </w:r>
      </w:hyperlink>
      <w:r>
        <w:rPr>
          <w:rFonts w:ascii="Arial" w:hAnsi="Arial" w:cs="Arial"/>
          <w:szCs w:val="21"/>
        </w:rPr>
        <w:t>gsfunds.com.cn</w:t>
      </w:r>
      <w:r>
        <w:rPr>
          <w:rFonts w:ascii="Arial" w:hAnsi="Arial" w:cs="Arial" w:hint="eastAsia"/>
          <w:szCs w:val="21"/>
        </w:rPr>
        <w:t>/etrading/</w:t>
      </w:r>
      <w:r>
        <w:rPr>
          <w:rFonts w:ascii="Arial" w:eastAsiaTheme="minorEastAsia" w:hAnsi="Arial" w:cs="Arial"/>
          <w:bCs/>
          <w:szCs w:val="21"/>
        </w:rPr>
        <w:t>）查询。</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10</w:t>
      </w:r>
      <w:r>
        <w:rPr>
          <w:rFonts w:ascii="Arial" w:eastAsiaTheme="minorEastAsia" w:hAnsi="Arial" w:cs="Arial"/>
          <w:bCs/>
          <w:szCs w:val="21"/>
        </w:rPr>
        <w:t>、销售机构（包括</w:t>
      </w:r>
      <w:r>
        <w:rPr>
          <w:rFonts w:ascii="Arial" w:eastAsiaTheme="minorEastAsia" w:hAnsi="Arial" w:cs="Arial" w:hint="eastAsia"/>
          <w:bCs/>
          <w:szCs w:val="21"/>
        </w:rPr>
        <w:t>本公司</w:t>
      </w:r>
      <w:r>
        <w:rPr>
          <w:rFonts w:ascii="Arial" w:eastAsiaTheme="minorEastAsia" w:hAnsi="Arial" w:cs="Arial"/>
          <w:bCs/>
          <w:szCs w:val="21"/>
        </w:rPr>
        <w:t>直</w:t>
      </w:r>
      <w:r>
        <w:rPr>
          <w:rFonts w:ascii="Arial" w:eastAsiaTheme="minorEastAsia" w:hAnsi="Arial" w:cs="Arial"/>
          <w:bCs/>
          <w:szCs w:val="21"/>
        </w:rPr>
        <w:t>销中心、网上直销</w:t>
      </w:r>
      <w:r>
        <w:rPr>
          <w:rFonts w:ascii="Arial" w:eastAsiaTheme="minorEastAsia" w:hAnsi="Arial" w:cs="Arial" w:hint="eastAsia"/>
          <w:bCs/>
          <w:szCs w:val="21"/>
        </w:rPr>
        <w:t>交易</w:t>
      </w:r>
      <w:r>
        <w:rPr>
          <w:rFonts w:ascii="Arial" w:eastAsiaTheme="minorEastAsia" w:hAnsi="Arial" w:cs="Arial"/>
          <w:bCs/>
          <w:szCs w:val="21"/>
        </w:rPr>
        <w:t>系统</w:t>
      </w:r>
      <w:r>
        <w:rPr>
          <w:rFonts w:ascii="Arial" w:eastAsiaTheme="minorEastAsia" w:hAnsi="Arial" w:cs="Arial" w:hint="eastAsia"/>
          <w:bCs/>
          <w:szCs w:val="21"/>
        </w:rPr>
        <w:t>以及销售机构的销售网点</w:t>
      </w:r>
      <w:r>
        <w:rPr>
          <w:rFonts w:ascii="Arial" w:eastAsiaTheme="minorEastAsia" w:hAnsi="Arial" w:cs="Arial" w:hint="eastAsia"/>
          <w:bCs/>
          <w:szCs w:val="21"/>
        </w:rPr>
        <w:t>）对认购申请的受理并不代表该申请一定成功，而仅代表销售机构确实接收到认购申请。认购的确认以登记机构的确认结果为准。对于认购申请及认购份额的确认情况，投资人应及时查询并妥善行使合法权利。当日（</w:t>
      </w:r>
      <w:r>
        <w:rPr>
          <w:rFonts w:ascii="Arial" w:eastAsiaTheme="minorEastAsia" w:hAnsi="Arial" w:cs="Arial"/>
          <w:bCs/>
          <w:szCs w:val="21"/>
        </w:rPr>
        <w:t>T</w:t>
      </w:r>
      <w:r>
        <w:rPr>
          <w:rFonts w:ascii="Arial" w:eastAsiaTheme="minorEastAsia" w:hAnsi="Arial" w:cs="Arial" w:hint="eastAsia"/>
          <w:bCs/>
          <w:szCs w:val="21"/>
        </w:rPr>
        <w:t>日）在规定时间内提交的申请，投资者通常应在</w:t>
      </w:r>
      <w:r>
        <w:rPr>
          <w:rFonts w:ascii="Arial" w:eastAsiaTheme="minorEastAsia" w:hAnsi="Arial" w:cs="Arial"/>
          <w:bCs/>
          <w:szCs w:val="21"/>
        </w:rPr>
        <w:t>T+2</w:t>
      </w:r>
      <w:r>
        <w:rPr>
          <w:rFonts w:ascii="Arial" w:eastAsiaTheme="minorEastAsia" w:hAnsi="Arial" w:cs="Arial" w:hint="eastAsia"/>
          <w:bCs/>
          <w:szCs w:val="21"/>
        </w:rPr>
        <w:t>日到基金销售机构查询受理情况，在基金合同生效后可以到基金销售机构打印交易确认书。</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11</w:t>
      </w:r>
      <w:r>
        <w:rPr>
          <w:rFonts w:ascii="Arial" w:eastAsiaTheme="minorEastAsia" w:hAnsi="Arial" w:cs="Arial" w:hint="eastAsia"/>
          <w:bCs/>
          <w:szCs w:val="21"/>
        </w:rPr>
        <w:t>、本公告仅对本基金发售的有关事项和规定予以说明。投资者欲了解本基金的详细情况，请详细阅读</w:t>
      </w:r>
      <w:r>
        <w:rPr>
          <w:rFonts w:ascii="Arial" w:eastAsiaTheme="minorEastAsia" w:hAnsi="Arial" w:cs="Arial"/>
          <w:bCs/>
          <w:szCs w:val="21"/>
        </w:rPr>
        <w:t>《</w:t>
      </w:r>
      <w:r>
        <w:rPr>
          <w:rFonts w:ascii="Arial" w:eastAsiaTheme="minorEastAsia" w:hAnsi="Arial" w:cs="Arial" w:hint="eastAsia"/>
          <w:bCs/>
          <w:szCs w:val="21"/>
        </w:rPr>
        <w:t>国寿安保</w:t>
      </w:r>
      <w:r>
        <w:rPr>
          <w:rFonts w:ascii="Arial" w:eastAsiaTheme="minorEastAsia" w:hAnsi="Arial" w:cs="Arial" w:hint="eastAsia"/>
          <w:bCs/>
          <w:szCs w:val="21"/>
        </w:rPr>
        <w:t>中证</w:t>
      </w:r>
      <w:r>
        <w:rPr>
          <w:rFonts w:ascii="Arial" w:eastAsiaTheme="minorEastAsia" w:hAnsi="Arial" w:cs="Arial" w:hint="eastAsia"/>
          <w:bCs/>
          <w:szCs w:val="21"/>
        </w:rPr>
        <w:t>800</w:t>
      </w:r>
      <w:r>
        <w:rPr>
          <w:rFonts w:ascii="Arial" w:eastAsiaTheme="minorEastAsia" w:hAnsi="Arial" w:cs="Arial" w:hint="eastAsia"/>
          <w:bCs/>
          <w:szCs w:val="21"/>
        </w:rPr>
        <w:t>指数增强型</w:t>
      </w:r>
      <w:r>
        <w:rPr>
          <w:rFonts w:ascii="Arial" w:eastAsiaTheme="minorEastAsia" w:hAnsi="Arial" w:cs="Arial" w:hint="eastAsia"/>
          <w:bCs/>
          <w:szCs w:val="21"/>
        </w:rPr>
        <w:t>证券投资基金</w:t>
      </w:r>
      <w:r>
        <w:rPr>
          <w:rFonts w:ascii="Arial" w:eastAsiaTheme="minorEastAsia" w:hAnsi="Arial" w:cs="Arial"/>
          <w:bCs/>
          <w:szCs w:val="21"/>
        </w:rPr>
        <w:t>招募说明书</w:t>
      </w:r>
      <w:r>
        <w:rPr>
          <w:rFonts w:ascii="Arial" w:eastAsiaTheme="minorEastAsia" w:hAnsi="Arial" w:cs="Arial"/>
          <w:bCs/>
          <w:szCs w:val="21"/>
        </w:rPr>
        <w:t>》。</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1</w:t>
      </w:r>
      <w:r>
        <w:rPr>
          <w:rFonts w:ascii="Arial" w:eastAsiaTheme="minorEastAsia" w:hAnsi="Arial" w:cs="Arial" w:hint="eastAsia"/>
          <w:bCs/>
          <w:szCs w:val="21"/>
        </w:rPr>
        <w:t>2</w:t>
      </w:r>
      <w:r>
        <w:rPr>
          <w:rFonts w:ascii="Arial" w:eastAsiaTheme="minorEastAsia" w:hAnsi="Arial" w:cs="Arial"/>
          <w:bCs/>
          <w:szCs w:val="21"/>
        </w:rPr>
        <w:t>、本基金的招募说明书及本公告将同时发布在本公司网站（</w:t>
      </w:r>
      <w:hyperlink r:id="rId11" w:history="1">
        <w:r>
          <w:rPr>
            <w:rFonts w:ascii="Arial" w:eastAsiaTheme="minorEastAsia" w:hAnsi="Arial" w:cs="Arial"/>
            <w:bCs/>
            <w:szCs w:val="21"/>
          </w:rPr>
          <w:t>www.gsfunds</w:t>
        </w:r>
      </w:hyperlink>
      <w:r>
        <w:rPr>
          <w:rFonts w:ascii="Arial" w:eastAsiaTheme="minorEastAsia" w:hAnsi="Arial" w:cs="Arial"/>
          <w:bCs/>
          <w:szCs w:val="21"/>
        </w:rPr>
        <w:t>.com.cn</w:t>
      </w:r>
      <w:r>
        <w:rPr>
          <w:rFonts w:ascii="Arial" w:eastAsiaTheme="minorEastAsia" w:hAnsi="Arial" w:cs="Arial"/>
          <w:bCs/>
          <w:szCs w:val="21"/>
        </w:rPr>
        <w:t>）。投资者亦可通过本公司网站下载基金业务申请表格和了解本基金发售的相关事宜。</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1</w:t>
      </w:r>
      <w:r>
        <w:rPr>
          <w:rFonts w:ascii="Arial" w:eastAsiaTheme="minorEastAsia" w:hAnsi="Arial" w:cs="Arial" w:hint="eastAsia"/>
          <w:bCs/>
          <w:szCs w:val="21"/>
        </w:rPr>
        <w:t>3</w:t>
      </w:r>
      <w:r>
        <w:rPr>
          <w:rFonts w:ascii="Arial" w:eastAsiaTheme="minorEastAsia" w:hAnsi="Arial" w:cs="Arial" w:hint="eastAsia"/>
          <w:bCs/>
          <w:szCs w:val="21"/>
        </w:rPr>
        <w:t>、本基金通过本公司的直销中心、网上直销交易系统</w:t>
      </w:r>
      <w:r>
        <w:rPr>
          <w:rFonts w:ascii="Arial" w:eastAsiaTheme="minorEastAsia" w:hAnsi="Arial" w:cs="Arial" w:hint="eastAsia"/>
          <w:bCs/>
          <w:szCs w:val="21"/>
        </w:rPr>
        <w:t>以及销售机构的销售网点</w:t>
      </w:r>
      <w:r>
        <w:rPr>
          <w:rFonts w:ascii="Arial" w:eastAsiaTheme="minorEastAsia" w:hAnsi="Arial" w:cs="Arial" w:hint="eastAsia"/>
          <w:bCs/>
          <w:szCs w:val="21"/>
        </w:rPr>
        <w:t>进行销售，请拨打本公司的全国统一客户服务号码（</w:t>
      </w:r>
      <w:r>
        <w:rPr>
          <w:rFonts w:ascii="Arial" w:eastAsiaTheme="minorEastAsia" w:hAnsi="Arial" w:cs="Arial"/>
          <w:bCs/>
          <w:szCs w:val="21"/>
        </w:rPr>
        <w:t>4009-258-258</w:t>
      </w:r>
      <w:r>
        <w:rPr>
          <w:rFonts w:ascii="Arial" w:eastAsiaTheme="minorEastAsia" w:hAnsi="Arial" w:cs="Arial" w:hint="eastAsia"/>
          <w:bCs/>
          <w:szCs w:val="21"/>
        </w:rPr>
        <w:t>）咨询购买事宜。</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1</w:t>
      </w:r>
      <w:r>
        <w:rPr>
          <w:rFonts w:ascii="Arial" w:eastAsiaTheme="minorEastAsia" w:hAnsi="Arial" w:cs="Arial" w:hint="eastAsia"/>
          <w:bCs/>
          <w:szCs w:val="21"/>
        </w:rPr>
        <w:t>4</w:t>
      </w:r>
      <w:r>
        <w:rPr>
          <w:rFonts w:ascii="Arial" w:eastAsiaTheme="minorEastAsia" w:hAnsi="Arial" w:cs="Arial" w:hint="eastAsia"/>
          <w:bCs/>
          <w:szCs w:val="21"/>
        </w:rPr>
        <w:t>、基金管理人可综合各种情况对发售安排做适当调整，并予以公告。</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1</w:t>
      </w:r>
      <w:r>
        <w:rPr>
          <w:rFonts w:ascii="Arial" w:eastAsiaTheme="minorEastAsia" w:hAnsi="Arial" w:cs="Arial" w:hint="eastAsia"/>
          <w:bCs/>
          <w:szCs w:val="21"/>
        </w:rPr>
        <w:t>5</w:t>
      </w:r>
      <w:r>
        <w:rPr>
          <w:rFonts w:ascii="Arial" w:eastAsiaTheme="minorEastAsia" w:hAnsi="Arial" w:cs="Arial" w:hint="eastAsia"/>
          <w:bCs/>
          <w:szCs w:val="21"/>
        </w:rPr>
        <w:t>、风险提示</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证券投资基金（以下简称</w:t>
      </w:r>
      <w:r>
        <w:rPr>
          <w:rFonts w:ascii="Arial" w:eastAsiaTheme="minorEastAsia" w:hAnsi="Arial" w:cs="Arial"/>
          <w:bCs/>
          <w:szCs w:val="21"/>
        </w:rPr>
        <w:t>“</w:t>
      </w:r>
      <w:r>
        <w:rPr>
          <w:rFonts w:ascii="Arial" w:eastAsiaTheme="minorEastAsia" w:hAnsi="Arial" w:cs="Arial" w:hint="eastAsia"/>
          <w:bCs/>
          <w:szCs w:val="21"/>
        </w:rPr>
        <w:t>基金</w:t>
      </w:r>
      <w:r>
        <w:rPr>
          <w:rFonts w:ascii="Arial" w:eastAsiaTheme="minorEastAsia" w:hAnsi="Arial" w:cs="Arial"/>
          <w:bCs/>
          <w:szCs w:val="21"/>
        </w:rPr>
        <w:t>”</w:t>
      </w:r>
      <w:r>
        <w:rPr>
          <w:rFonts w:ascii="Arial" w:eastAsiaTheme="minorEastAsia" w:hAnsi="Arial" w:cs="Arial" w:hint="eastAsia"/>
          <w:bCs/>
          <w:szCs w:val="21"/>
        </w:rPr>
        <w:t>）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基金在投资运作过程中可能面临各种风险，既包括市场风险，也包括基金自身的管理风险、技术风险和合规风险等。巨额赎回风险是开放式基金所特有的一种风险，即当单个交易日基金的净赎回申请超过上一开放日基金总份额的百分之十时，投资者将可能无法及时赎回持有的全部基金份额。</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基金分为股票基金、</w:t>
      </w:r>
      <w:r>
        <w:rPr>
          <w:rFonts w:ascii="Arial" w:eastAsiaTheme="minorEastAsia" w:hAnsi="Arial" w:cs="Arial"/>
          <w:bCs/>
          <w:szCs w:val="21"/>
        </w:rPr>
        <w:t>混合基金、债券基金、货币市场基金等不同类型，投资者投资不同类型的基金将获得不同的收益预期，也将承担不同程度的风险。一般来说，基金的收益预期越高，投资者承担的风险也越大。</w:t>
      </w:r>
    </w:p>
    <w:p w:rsidR="00574CA4" w:rsidRDefault="006E4BF4">
      <w:pPr>
        <w:adjustRightInd w:val="0"/>
        <w:snapToGrid w:val="0"/>
        <w:spacing w:line="360" w:lineRule="auto"/>
        <w:ind w:firstLineChars="200" w:firstLine="420"/>
        <w:rPr>
          <w:rFonts w:ascii="Arial" w:hAnsi="Arial" w:cs="Arial"/>
          <w:szCs w:val="21"/>
        </w:rPr>
      </w:pPr>
      <w:r>
        <w:rPr>
          <w:rFonts w:ascii="Arial" w:hAnsi="Arial" w:cs="Arial" w:hint="eastAsia"/>
          <w:szCs w:val="21"/>
        </w:rPr>
        <w:t>本基金为股票型基金，预期风险与预期收益高于混合型基金、债券型基金与货币市场基金。本基金为股票型指数增强基金，跟踪中证</w:t>
      </w:r>
      <w:r>
        <w:rPr>
          <w:rFonts w:ascii="Arial" w:hAnsi="Arial" w:cs="Arial" w:hint="eastAsia"/>
          <w:szCs w:val="21"/>
        </w:rPr>
        <w:t>800</w:t>
      </w:r>
      <w:r>
        <w:rPr>
          <w:rFonts w:ascii="Arial" w:hAnsi="Arial" w:cs="Arial" w:hint="eastAsia"/>
          <w:szCs w:val="21"/>
        </w:rPr>
        <w:t>指数，其风险收益特征与标的指数所表征的市场组合的风险收益特征相似。本基金如果投资港股通标的股票，需承担汇率风险以及境外市场的风险。</w:t>
      </w:r>
    </w:p>
    <w:p w:rsidR="00574CA4" w:rsidRDefault="006E4BF4">
      <w:pPr>
        <w:adjustRightInd w:val="0"/>
        <w:snapToGrid w:val="0"/>
        <w:spacing w:line="360" w:lineRule="auto"/>
        <w:ind w:firstLineChars="200" w:firstLine="420"/>
        <w:rPr>
          <w:rFonts w:ascii="Arial" w:hAnsi="Arial" w:cs="Arial"/>
          <w:szCs w:val="21"/>
        </w:rPr>
      </w:pPr>
      <w:r>
        <w:rPr>
          <w:rFonts w:ascii="Arial" w:hAnsi="Arial" w:cs="Arial"/>
          <w:szCs w:val="21"/>
        </w:rPr>
        <w:t>1</w:t>
      </w:r>
      <w:r>
        <w:rPr>
          <w:rFonts w:ascii="Arial" w:hAnsi="Arial" w:cs="Arial" w:hint="eastAsia"/>
          <w:szCs w:val="21"/>
        </w:rPr>
        <w:t>6</w:t>
      </w:r>
      <w:r>
        <w:rPr>
          <w:rFonts w:ascii="Arial" w:hAnsi="Arial" w:cs="Arial" w:hint="eastAsia"/>
          <w:szCs w:val="21"/>
        </w:rPr>
        <w:t>、本基金特定投资策略带来的风险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1</w:t>
      </w:r>
      <w:r>
        <w:rPr>
          <w:rFonts w:ascii="Arial" w:eastAsiaTheme="minorEastAsia" w:hAnsi="Arial" w:cs="Arial" w:hint="eastAsia"/>
          <w:bCs/>
          <w:szCs w:val="21"/>
        </w:rPr>
        <w:t>）指数投资相关风险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本基金为股票指数增强型基金，</w:t>
      </w:r>
      <w:r>
        <w:rPr>
          <w:rFonts w:ascii="Arial" w:eastAsiaTheme="minorEastAsia" w:hAnsi="Arial" w:cs="Arial" w:hint="eastAsia"/>
          <w:bCs/>
          <w:szCs w:val="21"/>
        </w:rPr>
        <w:t>具有与标的指数，以及标的指数所代表的股票市场相似的风险收益特征。</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1</w:t>
      </w:r>
      <w:r>
        <w:rPr>
          <w:rFonts w:ascii="Arial" w:eastAsiaTheme="minorEastAsia" w:hAnsi="Arial" w:cs="Arial" w:hint="eastAsia"/>
          <w:bCs/>
          <w:szCs w:val="21"/>
        </w:rPr>
        <w:t>）指数化投资的风险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本基金作为股票型指数基金，在日常投资管理中股票资产占基金资产的比例不低于</w:t>
      </w:r>
      <w:r>
        <w:rPr>
          <w:rFonts w:ascii="Arial" w:eastAsiaTheme="minorEastAsia" w:hAnsi="Arial" w:cs="Arial" w:hint="eastAsia"/>
          <w:bCs/>
          <w:szCs w:val="21"/>
        </w:rPr>
        <w:t xml:space="preserve"> 80%</w:t>
      </w:r>
      <w:r>
        <w:rPr>
          <w:rFonts w:ascii="Arial" w:eastAsiaTheme="minorEastAsia" w:hAnsi="Arial" w:cs="Arial" w:hint="eastAsia"/>
          <w:bCs/>
          <w:szCs w:val="21"/>
        </w:rPr>
        <w:t>，其中投资标的指数成份股及其备选成份股的比例不低于非现金基金资产的</w:t>
      </w:r>
      <w:r>
        <w:rPr>
          <w:rFonts w:ascii="Arial" w:eastAsiaTheme="minorEastAsia" w:hAnsi="Arial" w:cs="Arial" w:hint="eastAsia"/>
          <w:bCs/>
          <w:szCs w:val="21"/>
        </w:rPr>
        <w:t>80%</w:t>
      </w:r>
      <w:r>
        <w:rPr>
          <w:rFonts w:ascii="Arial" w:eastAsiaTheme="minorEastAsia" w:hAnsi="Arial" w:cs="Arial" w:hint="eastAsia"/>
          <w:bCs/>
          <w:szCs w:val="21"/>
        </w:rPr>
        <w:t>，具有股票市场的系统性风险，不能规避市场下跌的风险和个股风险。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2</w:t>
      </w:r>
      <w:r>
        <w:rPr>
          <w:rFonts w:ascii="Arial" w:eastAsiaTheme="minorEastAsia" w:hAnsi="Arial" w:cs="Arial" w:hint="eastAsia"/>
          <w:bCs/>
          <w:szCs w:val="21"/>
        </w:rPr>
        <w:t>）标的指数回报与目标股票市场平均回报偏离的风险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标的指数并不能完全代表整个目标股票市场。标的指数成份股的平均回报率与整个目标股票市场的平均回报率可能存在偏离。</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3</w:t>
      </w:r>
      <w:r>
        <w:rPr>
          <w:rFonts w:ascii="Arial" w:eastAsiaTheme="minorEastAsia" w:hAnsi="Arial" w:cs="Arial" w:hint="eastAsia"/>
          <w:bCs/>
          <w:szCs w:val="21"/>
        </w:rPr>
        <w:t>）标的指数波动的风险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标的指数成份股的价格可能受到政治因素、经济因素、上市公司经营状况、投资者心理和交易制度等各种因素的影响而波动，导致指数波动，从而使基金收益水平发生变化，产生风险。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4</w:t>
      </w:r>
      <w:r>
        <w:rPr>
          <w:rFonts w:ascii="Arial" w:eastAsiaTheme="minorEastAsia" w:hAnsi="Arial" w:cs="Arial" w:hint="eastAsia"/>
          <w:bCs/>
          <w:szCs w:val="21"/>
        </w:rPr>
        <w:t>）基金投资组合回报与标的指数回报偏离的风险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以下因素可能使基金投资组合的收益率与标的指数的收益率发生偏离：</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①由于标的指数调整成份股或变更编制方法，使本基金在相应的组合调整中产生跟踪偏离度与跟踪误差。</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②由于标的指数成份股发生配股、增发等行为导致成份股在标的指数中的权重发生变化，使本基金在相应的组合调整中产生跟踪偏离度和跟踪误差。</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③标的指数成</w:t>
      </w:r>
      <w:r>
        <w:rPr>
          <w:rFonts w:ascii="Arial" w:eastAsiaTheme="minorEastAsia" w:hAnsi="Arial" w:cs="Arial" w:hint="eastAsia"/>
          <w:bCs/>
          <w:szCs w:val="21"/>
        </w:rPr>
        <w:t>份股派发现金红利、新股市值配售收益将导致基金收益率超过标的指数收益率，产生正的跟踪偏离度。</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④由于标的指数成份股停牌、摘牌或流动性差等原因使本基金无法及时调整投资组合或承担冲击成本而产生跟踪偏离度和跟踪误差。</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⑤因法律法规的限制或其他限制，本基金不能投资于部分标的指数成份股。在使用替代方法，如投资同行业中相关性较高的股票以替代上述投资受限股票时，会产生一定的跟踪偏离度和跟踪误差。</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⑥基金有投资成本、各种费用及税收，而指数编制不考虑费用和税收，这将导致基金收益率落后于标的指数收益率，产生负的跟踪偏离度。</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⑦在本基金指数化投资过程中</w:t>
      </w:r>
      <w:r>
        <w:rPr>
          <w:rFonts w:ascii="Arial" w:eastAsiaTheme="minorEastAsia" w:hAnsi="Arial" w:cs="Arial" w:hint="eastAsia"/>
          <w:bCs/>
          <w:szCs w:val="21"/>
        </w:rPr>
        <w:t>,</w:t>
      </w:r>
      <w:r>
        <w:rPr>
          <w:rFonts w:ascii="Arial" w:eastAsiaTheme="minorEastAsia" w:hAnsi="Arial" w:cs="Arial" w:hint="eastAsia"/>
          <w:bCs/>
          <w:szCs w:val="21"/>
        </w:rPr>
        <w:t>基金管理人的管理能力，例如跟踪指数的水平、技术手段、买入卖出的时机选择等，都会对本基金的收益产生影响，从而影响本基金对标的指数的跟踪程度。</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⑧其他因素产生的偏离。如因基金申购与赎回带来的现金变动；因指数发布机构指数编制错误等，由此产生跟踪偏离度与跟踪误差。</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5</w:t>
      </w:r>
      <w:r>
        <w:rPr>
          <w:rFonts w:ascii="Arial" w:eastAsiaTheme="minorEastAsia" w:hAnsi="Arial" w:cs="Arial" w:hint="eastAsia"/>
          <w:bCs/>
          <w:szCs w:val="21"/>
        </w:rPr>
        <w:t>）跟踪误差控制未达约定目标的风险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本基金力争将本基金净值增长率与业绩比较基准之间的日均跟踪偏离度的绝对值控制在</w:t>
      </w:r>
      <w:r>
        <w:rPr>
          <w:rFonts w:ascii="Arial" w:eastAsiaTheme="minorEastAsia" w:hAnsi="Arial" w:cs="Arial" w:hint="eastAsia"/>
          <w:bCs/>
          <w:szCs w:val="21"/>
        </w:rPr>
        <w:t>0.5%</w:t>
      </w:r>
      <w:r>
        <w:rPr>
          <w:rFonts w:ascii="Arial" w:eastAsiaTheme="minorEastAsia" w:hAnsi="Arial" w:cs="Arial" w:hint="eastAsia"/>
          <w:bCs/>
          <w:szCs w:val="21"/>
        </w:rPr>
        <w:t>以内，年化跟踪误差不超过</w:t>
      </w:r>
      <w:r>
        <w:rPr>
          <w:rFonts w:ascii="Arial" w:eastAsiaTheme="minorEastAsia" w:hAnsi="Arial" w:cs="Arial" w:hint="eastAsia"/>
          <w:bCs/>
          <w:szCs w:val="21"/>
        </w:rPr>
        <w:t xml:space="preserve"> 7.75%</w:t>
      </w:r>
      <w:r>
        <w:rPr>
          <w:rFonts w:ascii="Arial" w:eastAsiaTheme="minorEastAsia" w:hAnsi="Arial" w:cs="Arial" w:hint="eastAsia"/>
          <w:bCs/>
          <w:szCs w:val="21"/>
        </w:rPr>
        <w:t>，但因标的指数编制规则调整或其他因素可能导致跟踪误差超过上述范围，本基</w:t>
      </w:r>
      <w:r>
        <w:rPr>
          <w:rFonts w:ascii="Arial" w:eastAsiaTheme="minorEastAsia" w:hAnsi="Arial" w:cs="Arial" w:hint="eastAsia"/>
          <w:bCs/>
          <w:szCs w:val="21"/>
        </w:rPr>
        <w:t>金净值表现与指数价格走势可能发生较大偏离。</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6</w:t>
      </w:r>
      <w:r>
        <w:rPr>
          <w:rFonts w:ascii="Arial" w:eastAsiaTheme="minorEastAsia" w:hAnsi="Arial" w:cs="Arial" w:hint="eastAsia"/>
          <w:bCs/>
          <w:szCs w:val="21"/>
        </w:rPr>
        <w:t>）指数编制机构停止服务的风险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的标的指数由指数编制机构发布并管理和维护，未来指数编制机构可能由于各种原因停止对指数的管理和维护，本基金将根据基金合同的约定自该情形发生之日起十个工作日内向中国证监会报告并提出解决方案，如转换运作方式，与其他基金合并、或者终止基金合同等，并在</w:t>
      </w:r>
      <w:r>
        <w:rPr>
          <w:rFonts w:ascii="Arial" w:eastAsiaTheme="minorEastAsia" w:hAnsi="Arial" w:cs="Arial" w:hint="eastAsia"/>
          <w:bCs/>
          <w:szCs w:val="21"/>
        </w:rPr>
        <w:t xml:space="preserve"> 6 </w:t>
      </w:r>
      <w:r>
        <w:rPr>
          <w:rFonts w:ascii="Arial" w:eastAsiaTheme="minorEastAsia" w:hAnsi="Arial" w:cs="Arial" w:hint="eastAsia"/>
          <w:bCs/>
          <w:szCs w:val="21"/>
        </w:rPr>
        <w:t>个月内召集基金份额持有人大会进行表决，基金份额持有人大会未成功召开或就上述事项表决未通过的，基金合同终止。投资人将面临转换运作方式，与其他基金合并、或者终止基金合同等风险。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自指数编</w:t>
      </w:r>
      <w:r>
        <w:rPr>
          <w:rFonts w:ascii="Arial" w:eastAsiaTheme="minorEastAsia" w:hAnsi="Arial" w:cs="Arial" w:hint="eastAsia"/>
          <w:bCs/>
          <w:szCs w:val="21"/>
        </w:rPr>
        <w:t>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从而影响投资收益。</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7</w:t>
      </w:r>
      <w:r>
        <w:rPr>
          <w:rFonts w:ascii="Arial" w:eastAsiaTheme="minorEastAsia" w:hAnsi="Arial" w:cs="Arial" w:hint="eastAsia"/>
          <w:bCs/>
          <w:szCs w:val="21"/>
        </w:rPr>
        <w:t>）成份券停牌的风险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成份券可能因各种原因临时或长期停牌。发生停牌时，基金可能面临因无法及时调整投资组合而导致跟踪偏离度和跟踪误差扩大的风险。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8</w:t>
      </w:r>
      <w:r>
        <w:rPr>
          <w:rFonts w:ascii="Arial" w:eastAsiaTheme="minorEastAsia" w:hAnsi="Arial" w:cs="Arial" w:hint="eastAsia"/>
          <w:bCs/>
          <w:szCs w:val="21"/>
        </w:rPr>
        <w:t>）指数成份股发生负面事件面临退市时的应对风险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根据法律法规的要求，在指数基金运作过程中，当指数成份券发生明显负面事件面</w:t>
      </w:r>
      <w:r>
        <w:rPr>
          <w:rFonts w:ascii="Arial" w:eastAsiaTheme="minorEastAsia" w:hAnsi="Arial" w:cs="Arial" w:hint="eastAsia"/>
          <w:bCs/>
          <w:szCs w:val="21"/>
        </w:rPr>
        <w:t>临退市风险，且指数编制机构暂未作出调整的，基金管理人应当按照持有人利益优先的原则，履行内部决策程序后及时对相关成份股进行调整。存在因基金管理人对负面事件及其影响，以及对指数编制机构的相应反应的判断不够准确而未能及时调整相关成份股或者过早调整相关成份股，进而增大本基金的跟踪误差，甚至不排除给基金资产带来损失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9</w:t>
      </w:r>
      <w:r>
        <w:rPr>
          <w:rFonts w:ascii="Arial" w:eastAsiaTheme="minorEastAsia" w:hAnsi="Arial" w:cs="Arial" w:hint="eastAsia"/>
          <w:bCs/>
          <w:szCs w:val="21"/>
        </w:rPr>
        <w:t>）指数增强型策略风险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本基金在参考标的指数成份股在指数中的权重比例构建基本投资组合，再基于数量化投资分析及基本面研究等方法对投资组合进行优化，以争取实现指数增强型的目标；存在因分析方法或主观判断</w:t>
      </w:r>
      <w:r>
        <w:rPr>
          <w:rFonts w:ascii="Arial" w:eastAsiaTheme="minorEastAsia" w:hAnsi="Arial" w:cs="Arial" w:hint="eastAsia"/>
          <w:bCs/>
          <w:szCs w:val="21"/>
        </w:rPr>
        <w:t>失误，而不能达成指数增强型的风险。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2</w:t>
      </w:r>
      <w:r>
        <w:rPr>
          <w:rFonts w:ascii="Arial" w:eastAsiaTheme="minorEastAsia" w:hAnsi="Arial" w:cs="Arial" w:hint="eastAsia"/>
          <w:bCs/>
          <w:szCs w:val="21"/>
        </w:rPr>
        <w:t>）参与股指期货交易的风险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1</w:t>
      </w:r>
      <w:r>
        <w:rPr>
          <w:rFonts w:ascii="Arial" w:eastAsiaTheme="minorEastAsia" w:hAnsi="Arial" w:cs="Arial" w:hint="eastAsia"/>
          <w:bCs/>
          <w:szCs w:val="21"/>
        </w:rPr>
        <w:t>）基差风险。标的股票指数价格与股指期货价格之间的价差被称为基差。在股指期货交易中因基差波动的不确定性而导致的风险被称为基差风险。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2</w:t>
      </w:r>
      <w:r>
        <w:rPr>
          <w:rFonts w:ascii="Arial" w:eastAsiaTheme="minorEastAsia" w:hAnsi="Arial" w:cs="Arial" w:hint="eastAsia"/>
          <w:bCs/>
          <w:szCs w:val="21"/>
        </w:rPr>
        <w:t>）合约品种差异造成的风险。合约品种差异造成的风险，是指类似的合约品种，在相同因素的影响下，价格变动不同。表现为两种情况：</w:t>
      </w:r>
      <w:r>
        <w:rPr>
          <w:rFonts w:ascii="Arial" w:eastAsiaTheme="minorEastAsia" w:hAnsi="Arial" w:cs="Arial" w:hint="eastAsia"/>
          <w:bCs/>
          <w:szCs w:val="21"/>
        </w:rPr>
        <w:t>1</w:t>
      </w:r>
      <w:r>
        <w:rPr>
          <w:rFonts w:ascii="Arial" w:eastAsiaTheme="minorEastAsia" w:hAnsi="Arial" w:cs="Arial" w:hint="eastAsia"/>
          <w:bCs/>
          <w:szCs w:val="21"/>
        </w:rPr>
        <w:t>）价格变动的方向相反；</w:t>
      </w:r>
      <w:r>
        <w:rPr>
          <w:rFonts w:ascii="Arial" w:eastAsiaTheme="minorEastAsia" w:hAnsi="Arial" w:cs="Arial" w:hint="eastAsia"/>
          <w:bCs/>
          <w:szCs w:val="21"/>
        </w:rPr>
        <w:t>2</w:t>
      </w:r>
      <w:r>
        <w:rPr>
          <w:rFonts w:ascii="Arial" w:eastAsiaTheme="minorEastAsia" w:hAnsi="Arial" w:cs="Arial" w:hint="eastAsia"/>
          <w:bCs/>
          <w:szCs w:val="21"/>
        </w:rPr>
        <w:t>）价格变动的幅度不同。类似合约品种的价格，在相同因素作用下变动幅度上的差异，也构成了合约品种差异的风险。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3</w:t>
      </w:r>
      <w:r>
        <w:rPr>
          <w:rFonts w:ascii="Arial" w:eastAsiaTheme="minorEastAsia" w:hAnsi="Arial" w:cs="Arial" w:hint="eastAsia"/>
          <w:bCs/>
          <w:szCs w:val="21"/>
        </w:rPr>
        <w:t>）标的物风险。股指期货交易中，标的物风险是由于投资组合与股</w:t>
      </w:r>
      <w:r>
        <w:rPr>
          <w:rFonts w:ascii="Arial" w:eastAsiaTheme="minorEastAsia" w:hAnsi="Arial" w:cs="Arial" w:hint="eastAsia"/>
          <w:bCs/>
          <w:szCs w:val="21"/>
        </w:rPr>
        <w:t>指期货的标的指数的结构不完全一致，导致投资组合特定风险无法完全锁定所带来的风险。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4</w:t>
      </w:r>
      <w:r>
        <w:rPr>
          <w:rFonts w:ascii="Arial" w:eastAsiaTheme="minorEastAsia" w:hAnsi="Arial" w:cs="Arial" w:hint="eastAsia"/>
          <w:bCs/>
          <w:szCs w:val="21"/>
        </w:rPr>
        <w:t>）衍生品模型风险。本基金在构建股指期货组合时，可能借助模型进行期货合约的选择。由于模型设计、资本市场的剧烈波动或不可抗力，按模型结果调整股指期货合约或者持仓比例也可能将给本基金的收益带来影响。</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3</w:t>
      </w:r>
      <w:r>
        <w:rPr>
          <w:rFonts w:ascii="Arial" w:eastAsiaTheme="minorEastAsia" w:hAnsi="Arial" w:cs="Arial" w:hint="eastAsia"/>
          <w:bCs/>
          <w:szCs w:val="21"/>
        </w:rPr>
        <w:t>）参与国债期货交易的风险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w:t>
      </w:r>
      <w:r>
        <w:rPr>
          <w:rFonts w:ascii="Arial" w:eastAsiaTheme="minorEastAsia" w:hAnsi="Arial" w:cs="Arial" w:hint="eastAsia"/>
          <w:bCs/>
          <w:szCs w:val="21"/>
        </w:rPr>
        <w:t>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4</w:t>
      </w:r>
      <w:r>
        <w:rPr>
          <w:rFonts w:ascii="Arial" w:eastAsiaTheme="minorEastAsia" w:hAnsi="Arial" w:cs="Arial" w:hint="eastAsia"/>
          <w:bCs/>
          <w:szCs w:val="21"/>
        </w:rPr>
        <w:t>）投资股票期权的风险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本基金投资股票期权可能给本基金带来额外风险，包括杠杆风险、期权价格与基金投资品种价格的相关度降低带来的风险等，由此可能增加本基金净值的波动性</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5</w:t>
      </w:r>
      <w:r>
        <w:rPr>
          <w:rFonts w:ascii="Arial" w:eastAsiaTheme="minorEastAsia" w:hAnsi="Arial" w:cs="Arial" w:hint="eastAsia"/>
          <w:bCs/>
          <w:szCs w:val="21"/>
        </w:rPr>
        <w:t>）投资资产支持证券的风险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资产支持证券的投资风险主要包括流动性风险、利率风险及评</w:t>
      </w:r>
      <w:r>
        <w:rPr>
          <w:rFonts w:ascii="Arial" w:eastAsiaTheme="minorEastAsia" w:hAnsi="Arial" w:cs="Arial" w:hint="eastAsia"/>
          <w:bCs/>
          <w:szCs w:val="21"/>
        </w:rPr>
        <w:t>级风险等。由于资产支持证券的投资收益来自于基础资产产生的现金流或剩余权益，因此资产支持证券投资还面临基础资产特定原始权益人的破产风险及现金流预测风险等与基础资产相关的风险。</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6</w:t>
      </w:r>
      <w:r>
        <w:rPr>
          <w:rFonts w:ascii="Arial" w:eastAsiaTheme="minorEastAsia" w:hAnsi="Arial" w:cs="Arial" w:hint="eastAsia"/>
          <w:bCs/>
          <w:szCs w:val="21"/>
        </w:rPr>
        <w:t>）</w:t>
      </w:r>
      <w:r>
        <w:rPr>
          <w:rFonts w:ascii="Arial" w:eastAsiaTheme="minorEastAsia" w:hAnsi="Arial" w:cs="Arial" w:hint="eastAsia"/>
          <w:bCs/>
          <w:szCs w:val="21"/>
        </w:rPr>
        <w:t>投资存托凭证的风险</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投资存托凭证，可能受到存托凭证的境外基础证券价格波动影响，存托凭证的境外基础证券的相关风险可能直接或间接成为本基金的风险。除价格波动风险外，本基金还将面临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w:t>
      </w:r>
      <w:r>
        <w:rPr>
          <w:rFonts w:ascii="Arial" w:eastAsiaTheme="minorEastAsia" w:hAnsi="Arial" w:cs="Arial" w:hint="eastAsia"/>
          <w:bCs/>
          <w:szCs w:val="21"/>
        </w:rPr>
        <w:t>人，在持续信息披露监管方面与境内可能存在差异的风险；境内外法律制度、监管环境差异可能导致的其他风险。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7</w:t>
      </w:r>
      <w:r>
        <w:rPr>
          <w:rFonts w:ascii="Arial" w:eastAsiaTheme="minorEastAsia" w:hAnsi="Arial" w:cs="Arial" w:hint="eastAsia"/>
          <w:bCs/>
          <w:szCs w:val="21"/>
        </w:rPr>
        <w:t>）参与融资及转融通证券出借业务风险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本基金将融资纳入到投资范围中，融资业务可以提高基金的杠杆，在可能带来高额收益的同时，也能够产生较大的亏损，此外还包括市场风险、保证金追加风险、流动性风险和监管风险等。</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本基金可参与转融通证券出借业务，面临的风险包括但不限于：</w:t>
      </w:r>
      <w:r>
        <w:rPr>
          <w:rFonts w:ascii="Arial" w:eastAsiaTheme="minorEastAsia" w:hAnsi="Arial" w:cs="Arial" w:hint="eastAsia"/>
          <w:bCs/>
          <w:szCs w:val="21"/>
        </w:rPr>
        <w:t>1</w:t>
      </w:r>
      <w:r>
        <w:rPr>
          <w:rFonts w:ascii="Arial" w:eastAsiaTheme="minorEastAsia" w:hAnsi="Arial" w:cs="Arial" w:hint="eastAsia"/>
          <w:bCs/>
          <w:szCs w:val="21"/>
        </w:rPr>
        <w:t>）流动性风险，指面临大额赎回时，可能因证券出借原因发生无法及时变现支付赎回款项的风险；</w:t>
      </w:r>
      <w:r>
        <w:rPr>
          <w:rFonts w:ascii="Arial" w:eastAsiaTheme="minorEastAsia" w:hAnsi="Arial" w:cs="Arial" w:hint="eastAsia"/>
          <w:bCs/>
          <w:szCs w:val="21"/>
        </w:rPr>
        <w:t>2</w:t>
      </w:r>
      <w:r>
        <w:rPr>
          <w:rFonts w:ascii="Arial" w:eastAsiaTheme="minorEastAsia" w:hAnsi="Arial" w:cs="Arial" w:hint="eastAsia"/>
          <w:bCs/>
          <w:szCs w:val="21"/>
        </w:rPr>
        <w:t>）信用风险，指证券出借对手方可能无法及时归还证券、无法支付相应权益补偿及借券费用的风险；</w:t>
      </w:r>
      <w:r>
        <w:rPr>
          <w:rFonts w:ascii="Arial" w:eastAsiaTheme="minorEastAsia" w:hAnsi="Arial" w:cs="Arial" w:hint="eastAsia"/>
          <w:bCs/>
          <w:szCs w:val="21"/>
        </w:rPr>
        <w:t>3</w:t>
      </w:r>
      <w:r>
        <w:rPr>
          <w:rFonts w:ascii="Arial" w:eastAsiaTheme="minorEastAsia" w:hAnsi="Arial" w:cs="Arial" w:hint="eastAsia"/>
          <w:bCs/>
          <w:szCs w:val="21"/>
        </w:rPr>
        <w:t>）市场风险，指证券出借后可能面临出借期间无法及时处置证券的市场风险；</w:t>
      </w:r>
      <w:r>
        <w:rPr>
          <w:rFonts w:ascii="Arial" w:eastAsiaTheme="minorEastAsia" w:hAnsi="Arial" w:cs="Arial" w:hint="eastAsia"/>
          <w:bCs/>
          <w:szCs w:val="21"/>
        </w:rPr>
        <w:t>4</w:t>
      </w:r>
      <w:r>
        <w:rPr>
          <w:rFonts w:ascii="Arial" w:eastAsiaTheme="minorEastAsia" w:hAnsi="Arial" w:cs="Arial" w:hint="eastAsia"/>
          <w:bCs/>
          <w:szCs w:val="21"/>
        </w:rPr>
        <w:t>）其他风险，如宏观政策变化、证券市场剧烈波动、个别证券出现重大事件、交易对手方违约、业务规则调整、信息技术不能正常运行等风险。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8</w:t>
      </w:r>
      <w:r>
        <w:rPr>
          <w:rFonts w:ascii="Arial" w:eastAsiaTheme="minorEastAsia" w:hAnsi="Arial" w:cs="Arial" w:hint="eastAsia"/>
          <w:bCs/>
          <w:szCs w:val="21"/>
        </w:rPr>
        <w:t>）投资港股的风险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1</w:t>
      </w:r>
      <w:r>
        <w:rPr>
          <w:rFonts w:ascii="Arial" w:eastAsiaTheme="minorEastAsia" w:hAnsi="Arial" w:cs="Arial" w:hint="eastAsia"/>
          <w:bCs/>
          <w:szCs w:val="21"/>
        </w:rPr>
        <w:t>）港股交易失败风险。港股通业务试点期间存在每日额度和总</w:t>
      </w:r>
      <w:r>
        <w:rPr>
          <w:rFonts w:ascii="Arial" w:eastAsiaTheme="minorEastAsia" w:hAnsi="Arial" w:cs="Arial" w:hint="eastAsia"/>
          <w:bCs/>
          <w:szCs w:val="21"/>
        </w:rPr>
        <w:t>额度限制。总额度余额少于一个每日额度的，上交所证券交易服务公司自下一港股通交易日起停止接受买入申报，本基金将面临不能通过港股通进行买入交易的风险；在香港联合交易所有限公司开市前阶段，当日额度使用完毕的，新增的买单申报将面临失败的风险；在联交所持续交易时段，当日额度使用完毕的，当日本基金将面临不能通过港股通进行买入交易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2</w:t>
      </w:r>
      <w:r>
        <w:rPr>
          <w:rFonts w:ascii="Arial" w:eastAsiaTheme="minorEastAsia" w:hAnsi="Arial" w:cs="Arial" w:hint="eastAsia"/>
          <w:bCs/>
          <w:szCs w:val="21"/>
        </w:rPr>
        <w:t>）汇率风险。本基金将投资港股通标的股票，在交易时间内提交订单依据的港币买入参考汇率和卖出参考汇率，并不等于最终结算汇率。港股通交易日日终，中国证券登记结算有限责任公司进行净额换汇，将</w:t>
      </w:r>
      <w:r>
        <w:rPr>
          <w:rFonts w:ascii="Arial" w:eastAsiaTheme="minorEastAsia" w:hAnsi="Arial" w:cs="Arial" w:hint="eastAsia"/>
          <w:bCs/>
          <w:szCs w:val="21"/>
        </w:rPr>
        <w:t>换汇成本按成交金额分摊至每笔交易，确定交易实际适用的结算汇率。故本基金投资面临汇率风险。</w:t>
      </w:r>
      <w:r>
        <w:rPr>
          <w:rFonts w:ascii="Arial" w:eastAsiaTheme="minorEastAsia" w:hAnsi="Arial" w:cs="Arial" w:hint="eastAsia"/>
          <w:bCs/>
          <w:szCs w:val="21"/>
        </w:rPr>
        <w:t xml:space="preserve"> </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3</w:t>
      </w:r>
      <w:r>
        <w:rPr>
          <w:rFonts w:ascii="Arial" w:eastAsiaTheme="minorEastAsia" w:hAnsi="Arial" w:cs="Arial" w:hint="eastAsia"/>
          <w:bCs/>
          <w:szCs w:val="21"/>
        </w:rPr>
        <w:t>）境外市场的风险。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①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②香港市场交易规则有别于内地</w:t>
      </w:r>
      <w:r>
        <w:rPr>
          <w:rFonts w:ascii="Arial" w:eastAsiaTheme="minorEastAsia" w:hAnsi="Arial" w:cs="Arial" w:hint="eastAsia"/>
          <w:bCs/>
          <w:szCs w:val="21"/>
        </w:rPr>
        <w:t xml:space="preserve"> A </w:t>
      </w:r>
      <w:r>
        <w:rPr>
          <w:rFonts w:ascii="Arial" w:eastAsiaTheme="minorEastAsia" w:hAnsi="Arial" w:cs="Arial" w:hint="eastAsia"/>
          <w:bCs/>
          <w:szCs w:val="21"/>
        </w:rPr>
        <w:t>股市场规则，在“沪港股票市场交易互联互通机制”下参与香港股票投资还将面临包括但不限于如下特殊风险：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a</w:t>
      </w:r>
      <w:r>
        <w:rPr>
          <w:rFonts w:ascii="Arial" w:eastAsiaTheme="minorEastAsia" w:hAnsi="Arial" w:cs="Arial" w:hint="eastAsia"/>
          <w:bCs/>
          <w:szCs w:val="21"/>
        </w:rPr>
        <w:t>）港股市场实行</w:t>
      </w:r>
      <w:r>
        <w:rPr>
          <w:rFonts w:ascii="Arial" w:eastAsiaTheme="minorEastAsia" w:hAnsi="Arial" w:cs="Arial" w:hint="eastAsia"/>
          <w:bCs/>
          <w:szCs w:val="21"/>
        </w:rPr>
        <w:t>T+0</w:t>
      </w:r>
      <w:r>
        <w:rPr>
          <w:rFonts w:ascii="Arial" w:eastAsiaTheme="minorEastAsia" w:hAnsi="Arial" w:cs="Arial" w:hint="eastAsia"/>
          <w:bCs/>
          <w:szCs w:val="21"/>
        </w:rPr>
        <w:t>回转交易，且对个股不设涨跌幅限制，港股股价可能表现出比</w:t>
      </w:r>
      <w:r>
        <w:rPr>
          <w:rFonts w:ascii="Arial" w:eastAsiaTheme="minorEastAsia" w:hAnsi="Arial" w:cs="Arial" w:hint="eastAsia"/>
          <w:bCs/>
          <w:szCs w:val="21"/>
        </w:rPr>
        <w:t>A</w:t>
      </w:r>
      <w:r>
        <w:rPr>
          <w:rFonts w:ascii="Arial" w:eastAsiaTheme="minorEastAsia" w:hAnsi="Arial" w:cs="Arial" w:hint="eastAsia"/>
          <w:bCs/>
          <w:szCs w:val="21"/>
        </w:rPr>
        <w:t>股更为剧烈的股价波动；</w:t>
      </w:r>
      <w:r>
        <w:rPr>
          <w:rFonts w:ascii="Arial" w:eastAsiaTheme="minorEastAsia" w:hAnsi="Arial" w:cs="Arial" w:hint="eastAsia"/>
          <w:bCs/>
          <w:szCs w:val="21"/>
        </w:rPr>
        <w:t xml:space="preserve"> </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b</w:t>
      </w:r>
      <w:r>
        <w:rPr>
          <w:rFonts w:ascii="Arial" w:eastAsiaTheme="minorEastAsia" w:hAnsi="Arial" w:cs="Arial" w:hint="eastAsia"/>
          <w:bCs/>
          <w:szCs w:val="21"/>
        </w:rPr>
        <w:t>）只有沪港两地均为交易日且能够满足结算安排的交易日才为港股通交易日，在内地开市香港休市的情形下，港股通不能正常交易，港股不能及时卖出，可能带来一定的流动性风险；</w:t>
      </w:r>
      <w:r>
        <w:rPr>
          <w:rFonts w:ascii="Arial" w:eastAsiaTheme="minorEastAsia" w:hAnsi="Arial" w:cs="Arial" w:hint="eastAsia"/>
          <w:bCs/>
          <w:szCs w:val="21"/>
        </w:rPr>
        <w:t xml:space="preserve"> </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c</w:t>
      </w:r>
      <w:r>
        <w:rPr>
          <w:rFonts w:ascii="Arial" w:eastAsiaTheme="minorEastAsia" w:hAnsi="Arial" w:cs="Arial" w:hint="eastAsia"/>
          <w:bCs/>
          <w:szCs w:val="21"/>
        </w:rPr>
        <w:t>）香港出现台风、黑色暴雨或者香港联合交易所规定的其他情形时，香港联合交易所将可能停市，投资者将面临在停市期间无法进行港股通交易的风险；出现上海证券交易所证券交易服务公司认定的交易异常情况时，上海证券交易所证券交易服务公司将可能暂停提供部分或者全部港股通服务，投资</w:t>
      </w:r>
      <w:r>
        <w:rPr>
          <w:rFonts w:ascii="Arial" w:eastAsiaTheme="minorEastAsia" w:hAnsi="Arial" w:cs="Arial" w:hint="eastAsia"/>
          <w:bCs/>
          <w:szCs w:val="21"/>
        </w:rPr>
        <w:t>者将面临在暂停服务期间无法进行港股通交易的风险；</w:t>
      </w:r>
      <w:r>
        <w:rPr>
          <w:rFonts w:ascii="Arial" w:eastAsiaTheme="minorEastAsia" w:hAnsi="Arial" w:cs="Arial" w:hint="eastAsia"/>
          <w:bCs/>
          <w:szCs w:val="21"/>
        </w:rPr>
        <w:t xml:space="preserve"> </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d</w:t>
      </w:r>
      <w:r>
        <w:rPr>
          <w:rFonts w:ascii="Arial" w:eastAsiaTheme="minorEastAsia" w:hAnsi="Arial" w:cs="Arial" w:hint="eastAsia"/>
          <w:bCs/>
          <w:szCs w:val="21"/>
        </w:rPr>
        <w:t>）投资者因港股通股票权益分派、转换、上市公司被收购等情形或者异常情况，所取得的港股通股票以外的香港联合交易所上市证券，只能通过港股通卖出，但不得买入，上海证券交易所另有规定的除外；因港股通股票权益分派或者转换等情形取得的香港联合交易所上市股票的认购权利在香港联合交易所上市的，可以通过港股通卖出，但不得行权；因港股通股票权益分派、转换或者上市公司被收购等所取得的非香港联合交易所上市证券，可以享有相关权益，但不得通过港股通买入或卖出；</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e</w:t>
      </w:r>
      <w:r>
        <w:rPr>
          <w:rFonts w:ascii="Arial" w:eastAsiaTheme="minorEastAsia" w:hAnsi="Arial" w:cs="Arial" w:hint="eastAsia"/>
          <w:bCs/>
          <w:szCs w:val="21"/>
        </w:rPr>
        <w:t>）代理投票。由于中国</w:t>
      </w:r>
      <w:r>
        <w:rPr>
          <w:rFonts w:ascii="Arial" w:eastAsiaTheme="minorEastAsia" w:hAnsi="Arial" w:cs="Arial" w:hint="eastAsia"/>
          <w:bCs/>
          <w:szCs w:val="21"/>
        </w:rPr>
        <w:t>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9</w:t>
      </w:r>
      <w:r>
        <w:rPr>
          <w:rFonts w:ascii="Arial" w:eastAsiaTheme="minorEastAsia" w:hAnsi="Arial" w:cs="Arial" w:hint="eastAsia"/>
          <w:bCs/>
          <w:szCs w:val="21"/>
        </w:rPr>
        <w:t>）本基金自《基金合同》生效后，连续二十个工作日出现基金份额持有人数量不满二百人或者基金资产净值低于五千万元情形的，基金管理人应当在定期报告中予以披露；连续五十个工作日出现上述情形的，基金管理人应当按照基金合同的约定程序进行清算并终止基金合同，不需要召开基金份额持有人大会进行表决。综上，本基金可能</w:t>
      </w:r>
      <w:r>
        <w:rPr>
          <w:rFonts w:ascii="Arial" w:eastAsiaTheme="minorEastAsia" w:hAnsi="Arial" w:cs="Arial" w:hint="eastAsia"/>
          <w:bCs/>
          <w:szCs w:val="21"/>
        </w:rPr>
        <w:t>面临基金合同自动终止的风险。</w:t>
      </w:r>
    </w:p>
    <w:p w:rsidR="00574CA4" w:rsidRDefault="006E4BF4">
      <w:pPr>
        <w:numPr>
          <w:ilvl w:val="255"/>
          <w:numId w:val="0"/>
        </w:num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1</w:t>
      </w:r>
      <w:r>
        <w:rPr>
          <w:rFonts w:ascii="Arial" w:eastAsiaTheme="minorEastAsia" w:hAnsi="Arial" w:cs="Arial" w:hint="eastAsia"/>
          <w:bCs/>
          <w:szCs w:val="21"/>
        </w:rPr>
        <w:t>7</w:t>
      </w:r>
      <w:r>
        <w:rPr>
          <w:rFonts w:ascii="Arial" w:eastAsiaTheme="minorEastAsia" w:hAnsi="Arial" w:cs="Arial" w:hint="eastAsia"/>
          <w:bCs/>
          <w:szCs w:val="21"/>
        </w:rPr>
        <w:t>、</w:t>
      </w:r>
      <w:r>
        <w:rPr>
          <w:rFonts w:ascii="Arial" w:eastAsiaTheme="minorEastAsia" w:hAnsi="Arial" w:cs="Arial"/>
          <w:bCs/>
          <w:szCs w:val="21"/>
        </w:rPr>
        <w:t>流动性风险</w:t>
      </w:r>
      <w:r>
        <w:rPr>
          <w:rFonts w:ascii="Arial" w:eastAsiaTheme="minorEastAsia" w:hAnsi="Arial" w:cs="Arial" w:hint="eastAsia"/>
          <w:bCs/>
          <w:szCs w:val="21"/>
        </w:rPr>
        <w:t>及其</w:t>
      </w:r>
      <w:r>
        <w:rPr>
          <w:rFonts w:ascii="Arial" w:eastAsiaTheme="minorEastAsia" w:hAnsi="Arial" w:cs="Arial"/>
          <w:bCs/>
          <w:szCs w:val="21"/>
        </w:rPr>
        <w:t>管理</w:t>
      </w:r>
      <w:r>
        <w:rPr>
          <w:rFonts w:ascii="Arial" w:eastAsiaTheme="minorEastAsia" w:hAnsi="Arial" w:cs="Arial" w:hint="eastAsia"/>
          <w:bCs/>
          <w:szCs w:val="21"/>
        </w:rPr>
        <w:t>办法</w:t>
      </w:r>
    </w:p>
    <w:p w:rsidR="00574CA4" w:rsidRDefault="006E4BF4">
      <w:pPr>
        <w:adjustRightInd w:val="0"/>
        <w:snapToGrid w:val="0"/>
        <w:spacing w:line="360" w:lineRule="auto"/>
        <w:ind w:firstLineChars="200" w:firstLine="420"/>
        <w:rPr>
          <w:bCs/>
          <w:szCs w:val="21"/>
        </w:rPr>
      </w:pPr>
      <w:r>
        <w:rPr>
          <w:rFonts w:hint="eastAsia"/>
          <w:bCs/>
          <w:szCs w:val="21"/>
        </w:rPr>
        <w:t>流动性风险是指在开放式基金运作过程中，可能会发生基金管理人未能以合理价格及时</w:t>
      </w:r>
    </w:p>
    <w:p w:rsidR="00574CA4" w:rsidRDefault="006E4BF4">
      <w:pPr>
        <w:adjustRightInd w:val="0"/>
        <w:snapToGrid w:val="0"/>
        <w:spacing w:line="360" w:lineRule="auto"/>
        <w:rPr>
          <w:bCs/>
          <w:szCs w:val="21"/>
        </w:rPr>
      </w:pPr>
      <w:r>
        <w:rPr>
          <w:rFonts w:hint="eastAsia"/>
          <w:bCs/>
          <w:szCs w:val="21"/>
        </w:rPr>
        <w:t>变现基金资产以支付投资者赎回款项的风险。</w:t>
      </w:r>
    </w:p>
    <w:p w:rsidR="00574CA4" w:rsidRDefault="006E4BF4">
      <w:pPr>
        <w:adjustRightInd w:val="0"/>
        <w:snapToGrid w:val="0"/>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）基金申购、赎回安排</w:t>
      </w:r>
    </w:p>
    <w:p w:rsidR="00574CA4" w:rsidRDefault="006E4BF4">
      <w:pPr>
        <w:adjustRightInd w:val="0"/>
        <w:snapToGrid w:val="0"/>
        <w:spacing w:line="360" w:lineRule="auto"/>
        <w:ind w:firstLineChars="200" w:firstLine="420"/>
        <w:rPr>
          <w:bCs/>
          <w:szCs w:val="21"/>
        </w:rPr>
      </w:pPr>
      <w:r>
        <w:rPr>
          <w:rFonts w:hint="eastAsia"/>
          <w:bCs/>
          <w:szCs w:val="21"/>
        </w:rPr>
        <w:t>投资人具体请参见基金合同“第六部分</w:t>
      </w:r>
      <w:r>
        <w:rPr>
          <w:rFonts w:hint="eastAsia"/>
          <w:bCs/>
          <w:szCs w:val="21"/>
        </w:rPr>
        <w:t xml:space="preserve"> </w:t>
      </w:r>
      <w:r>
        <w:rPr>
          <w:rFonts w:hint="eastAsia"/>
          <w:bCs/>
          <w:szCs w:val="21"/>
        </w:rPr>
        <w:t>基金份额的申购与赎回”，详细了解本基金的申购以及赎回安排。在本基金发生流动性风险时，基金管理人可以综合利用备用的流动性风险管理工具以减少或应对基金的流动性风险，投资者可能面临赎回申请被暂停接受、赎回款项被延缓支付、基金估值被暂停等风险。</w:t>
      </w:r>
      <w:r>
        <w:rPr>
          <w:rFonts w:hint="eastAsia"/>
          <w:bCs/>
          <w:szCs w:val="21"/>
        </w:rPr>
        <w:t xml:space="preserve"> </w:t>
      </w:r>
      <w:r>
        <w:rPr>
          <w:rFonts w:hint="eastAsia"/>
          <w:bCs/>
          <w:szCs w:val="21"/>
        </w:rPr>
        <w:t>投资者应该了解自身的流动性偏好，</w:t>
      </w:r>
      <w:r>
        <w:rPr>
          <w:rFonts w:hint="eastAsia"/>
          <w:bCs/>
          <w:szCs w:val="21"/>
        </w:rPr>
        <w:t>并评估是否与本基金的流动性风险匹配。</w:t>
      </w:r>
    </w:p>
    <w:p w:rsidR="00574CA4" w:rsidRDefault="006E4BF4">
      <w:pPr>
        <w:adjustRightInd w:val="0"/>
        <w:snapToGrid w:val="0"/>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）拟投资市场、行业及资产的流动性风险评估</w:t>
      </w:r>
    </w:p>
    <w:p w:rsidR="00574CA4" w:rsidRDefault="006E4BF4">
      <w:pPr>
        <w:adjustRightInd w:val="0"/>
        <w:snapToGrid w:val="0"/>
        <w:spacing w:line="360" w:lineRule="auto"/>
        <w:ind w:firstLineChars="200" w:firstLine="420"/>
        <w:rPr>
          <w:bCs/>
          <w:szCs w:val="21"/>
        </w:rPr>
      </w:pPr>
      <w:r>
        <w:rPr>
          <w:rFonts w:hint="eastAsia"/>
          <w:bCs/>
          <w:szCs w:val="21"/>
        </w:rPr>
        <w:t>本基金为以中证</w:t>
      </w:r>
      <w:r>
        <w:rPr>
          <w:rFonts w:hint="eastAsia"/>
          <w:bCs/>
          <w:szCs w:val="21"/>
        </w:rPr>
        <w:t>800</w:t>
      </w:r>
      <w:r>
        <w:rPr>
          <w:rFonts w:hint="eastAsia"/>
          <w:bCs/>
          <w:szCs w:val="21"/>
        </w:rPr>
        <w:t>指数为标的指数的指数增强型基金，主要投资于中证</w:t>
      </w:r>
      <w:r>
        <w:rPr>
          <w:rFonts w:hint="eastAsia"/>
          <w:bCs/>
          <w:szCs w:val="21"/>
        </w:rPr>
        <w:t>800</w:t>
      </w:r>
      <w:r>
        <w:rPr>
          <w:rFonts w:hint="eastAsia"/>
          <w:bCs/>
          <w:szCs w:val="21"/>
        </w:rPr>
        <w:t>指数的成份股和备选成份股（含存托凭证），股票成交活跃，主题涵盖广泛、涉及行业丰富、可选择的股票数量众多。在组合构建过程中，本基金将持续对组合的构成进行权衡和优化，保持组合的持仓分散性和组合的流动性，降低投资风险。因此，在正常情况下，本基金拟投资市场、行业及资产的流动性良好，可以与本基金的申购赎回安排相匹配。</w:t>
      </w:r>
    </w:p>
    <w:p w:rsidR="00574CA4" w:rsidRDefault="006E4BF4">
      <w:pPr>
        <w:adjustRightInd w:val="0"/>
        <w:snapToGrid w:val="0"/>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）巨额赎回情形下的流动性风险管理措施</w:t>
      </w:r>
    </w:p>
    <w:p w:rsidR="00574CA4" w:rsidRDefault="006E4BF4">
      <w:pPr>
        <w:adjustRightInd w:val="0"/>
        <w:snapToGrid w:val="0"/>
        <w:spacing w:line="360" w:lineRule="auto"/>
        <w:ind w:firstLineChars="200" w:firstLine="420"/>
        <w:rPr>
          <w:bCs/>
          <w:szCs w:val="21"/>
        </w:rPr>
      </w:pPr>
      <w:r>
        <w:rPr>
          <w:rFonts w:hint="eastAsia"/>
          <w:bCs/>
          <w:szCs w:val="21"/>
        </w:rPr>
        <w:t>在开放式本基金交易过程中，可能会发生巨额赎回的情形。巨额赎回可能会产生基金仓位调整的困难，导致流动性风险，甚至影响基金份额净值。当本基金出现巨额赎回时，基金管理人可以采用部分延期赎回、暂停赎回、延缓支付赎回款项等措施进行流动性风险管理。</w:t>
      </w:r>
    </w:p>
    <w:p w:rsidR="00574CA4" w:rsidRDefault="006E4BF4">
      <w:pPr>
        <w:adjustRightInd w:val="0"/>
        <w:snapToGrid w:val="0"/>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）实施备用的流动性风险管理工具的情形、程序及对投资者的潜在影响</w:t>
      </w:r>
    </w:p>
    <w:p w:rsidR="00574CA4" w:rsidRDefault="006E4BF4">
      <w:pPr>
        <w:adjustRightInd w:val="0"/>
        <w:snapToGrid w:val="0"/>
        <w:spacing w:line="360" w:lineRule="auto"/>
        <w:ind w:firstLineChars="202" w:firstLine="424"/>
        <w:rPr>
          <w:bCs/>
          <w:szCs w:val="21"/>
        </w:rPr>
      </w:pPr>
      <w:r>
        <w:rPr>
          <w:rFonts w:hint="eastAsia"/>
          <w:bCs/>
          <w:szCs w:val="21"/>
        </w:rPr>
        <w:t>基金管理人经与基金托管人协商，在确保投资者得到公平对待的前提下，可依照法律法规及基金合同的约定，综合运用各类流动性风险管理工具，对赎回申请等进行适度调整，作为特定情形下基金管理人流动性风险的辅助措施，包括但</w:t>
      </w:r>
      <w:r>
        <w:rPr>
          <w:rFonts w:hint="eastAsia"/>
          <w:bCs/>
          <w:szCs w:val="21"/>
        </w:rPr>
        <w:t>不限于：</w:t>
      </w:r>
    </w:p>
    <w:p w:rsidR="00574CA4" w:rsidRDefault="006E4BF4">
      <w:pPr>
        <w:adjustRightInd w:val="0"/>
        <w:snapToGrid w:val="0"/>
        <w:spacing w:line="360" w:lineRule="auto"/>
        <w:ind w:firstLineChars="200" w:firstLine="420"/>
        <w:rPr>
          <w:bCs/>
          <w:szCs w:val="21"/>
        </w:rPr>
      </w:pPr>
      <w:r>
        <w:rPr>
          <w:rFonts w:hint="eastAsia"/>
          <w:bCs/>
          <w:szCs w:val="21"/>
        </w:rPr>
        <w:t>1</w:t>
      </w:r>
      <w:r>
        <w:rPr>
          <w:rFonts w:hint="eastAsia"/>
          <w:bCs/>
          <w:szCs w:val="21"/>
        </w:rPr>
        <w:t>）暂停接受赎回申请</w:t>
      </w:r>
    </w:p>
    <w:p w:rsidR="00574CA4" w:rsidRDefault="006E4BF4">
      <w:pPr>
        <w:adjustRightInd w:val="0"/>
        <w:snapToGrid w:val="0"/>
        <w:spacing w:line="360" w:lineRule="auto"/>
        <w:ind w:firstLineChars="200" w:firstLine="420"/>
        <w:rPr>
          <w:bCs/>
          <w:szCs w:val="21"/>
        </w:rPr>
      </w:pPr>
      <w:r>
        <w:rPr>
          <w:rFonts w:hint="eastAsia"/>
          <w:bCs/>
          <w:szCs w:val="21"/>
        </w:rPr>
        <w:t>投资人具体请参见基金合同“第六部分</w:t>
      </w:r>
      <w:r>
        <w:rPr>
          <w:rFonts w:hint="eastAsia"/>
          <w:bCs/>
          <w:szCs w:val="21"/>
        </w:rPr>
        <w:t xml:space="preserve"> </w:t>
      </w:r>
      <w:r>
        <w:rPr>
          <w:rFonts w:hint="eastAsia"/>
          <w:bCs/>
          <w:szCs w:val="21"/>
        </w:rPr>
        <w:t>基金份额的申购与赎回”中的“八、暂停赎回或延缓支付赎回款项的情形”，详细了解本基金暂停接受赎回申请的情形及程序。</w:t>
      </w:r>
    </w:p>
    <w:p w:rsidR="00574CA4" w:rsidRDefault="006E4BF4">
      <w:pPr>
        <w:adjustRightInd w:val="0"/>
        <w:snapToGrid w:val="0"/>
        <w:spacing w:line="360" w:lineRule="auto"/>
        <w:ind w:firstLineChars="200" w:firstLine="420"/>
        <w:rPr>
          <w:bCs/>
          <w:szCs w:val="21"/>
        </w:rPr>
      </w:pPr>
      <w:r>
        <w:rPr>
          <w:rFonts w:hint="eastAsia"/>
          <w:bCs/>
          <w:szCs w:val="21"/>
        </w:rPr>
        <w:t>在此情形下，投资人的部分或全部赎回申请可能被拒绝，同时投资人完成基金赎回时的基金份额净值可能与其提交赎回申请时的基金份额净值不同。</w:t>
      </w:r>
    </w:p>
    <w:p w:rsidR="00574CA4" w:rsidRDefault="006E4BF4">
      <w:pPr>
        <w:adjustRightInd w:val="0"/>
        <w:snapToGrid w:val="0"/>
        <w:spacing w:line="360" w:lineRule="auto"/>
        <w:ind w:firstLineChars="200" w:firstLine="420"/>
        <w:rPr>
          <w:bCs/>
          <w:szCs w:val="21"/>
        </w:rPr>
      </w:pPr>
      <w:r>
        <w:rPr>
          <w:rFonts w:hint="eastAsia"/>
          <w:bCs/>
          <w:szCs w:val="21"/>
        </w:rPr>
        <w:t>2</w:t>
      </w:r>
      <w:r>
        <w:rPr>
          <w:rFonts w:hint="eastAsia"/>
          <w:bCs/>
          <w:szCs w:val="21"/>
        </w:rPr>
        <w:t>）延缓支付赎回对价</w:t>
      </w:r>
    </w:p>
    <w:p w:rsidR="00574CA4" w:rsidRDefault="006E4BF4">
      <w:pPr>
        <w:adjustRightInd w:val="0"/>
        <w:snapToGrid w:val="0"/>
        <w:spacing w:line="360" w:lineRule="auto"/>
        <w:ind w:firstLineChars="200" w:firstLine="420"/>
        <w:rPr>
          <w:bCs/>
          <w:szCs w:val="21"/>
        </w:rPr>
      </w:pPr>
      <w:r>
        <w:rPr>
          <w:rFonts w:hint="eastAsia"/>
          <w:bCs/>
          <w:szCs w:val="21"/>
        </w:rPr>
        <w:t>投资人具体请参见基金合同“第六部分</w:t>
      </w:r>
      <w:r>
        <w:rPr>
          <w:rFonts w:hint="eastAsia"/>
          <w:bCs/>
          <w:szCs w:val="21"/>
        </w:rPr>
        <w:t xml:space="preserve"> </w:t>
      </w:r>
      <w:r>
        <w:rPr>
          <w:rFonts w:hint="eastAsia"/>
          <w:bCs/>
          <w:szCs w:val="21"/>
        </w:rPr>
        <w:t>基金份额的申购与赎回”中的“八、暂停赎回或延缓支付赎回款项的情形”，详细了解本基金延缓支付赎回款项的情形及程序。</w:t>
      </w:r>
    </w:p>
    <w:p w:rsidR="00574CA4" w:rsidRDefault="006E4BF4">
      <w:pPr>
        <w:adjustRightInd w:val="0"/>
        <w:snapToGrid w:val="0"/>
        <w:spacing w:line="360" w:lineRule="auto"/>
        <w:ind w:firstLineChars="200" w:firstLine="420"/>
        <w:rPr>
          <w:bCs/>
          <w:szCs w:val="21"/>
        </w:rPr>
      </w:pPr>
      <w:r>
        <w:rPr>
          <w:rFonts w:hint="eastAsia"/>
          <w:bCs/>
          <w:szCs w:val="21"/>
        </w:rPr>
        <w:t>在此情形下，投资人接收赎回</w:t>
      </w:r>
      <w:r>
        <w:rPr>
          <w:rFonts w:hint="eastAsia"/>
          <w:bCs/>
          <w:szCs w:val="21"/>
        </w:rPr>
        <w:t>款项的时间将可能比一般正常情形下有所延迟，可能对投资者的资金安排带来不利影响。</w:t>
      </w:r>
    </w:p>
    <w:p w:rsidR="00574CA4" w:rsidRDefault="006E4BF4">
      <w:pPr>
        <w:adjustRightInd w:val="0"/>
        <w:snapToGrid w:val="0"/>
        <w:spacing w:line="360" w:lineRule="auto"/>
        <w:ind w:firstLineChars="200" w:firstLine="420"/>
        <w:rPr>
          <w:bCs/>
          <w:szCs w:val="21"/>
        </w:rPr>
      </w:pPr>
      <w:r>
        <w:rPr>
          <w:rFonts w:hint="eastAsia"/>
          <w:bCs/>
          <w:szCs w:val="21"/>
        </w:rPr>
        <w:t>3</w:t>
      </w:r>
      <w:r>
        <w:rPr>
          <w:rFonts w:hint="eastAsia"/>
          <w:bCs/>
          <w:szCs w:val="21"/>
        </w:rPr>
        <w:t>）收取短期赎回费</w:t>
      </w:r>
    </w:p>
    <w:p w:rsidR="00574CA4" w:rsidRDefault="006E4BF4">
      <w:pPr>
        <w:adjustRightInd w:val="0"/>
        <w:snapToGrid w:val="0"/>
        <w:spacing w:line="360" w:lineRule="auto"/>
        <w:ind w:firstLineChars="200" w:firstLine="420"/>
        <w:rPr>
          <w:bCs/>
          <w:szCs w:val="21"/>
        </w:rPr>
      </w:pPr>
      <w:r>
        <w:rPr>
          <w:rFonts w:hint="eastAsia"/>
          <w:bCs/>
          <w:szCs w:val="21"/>
        </w:rPr>
        <w:t>本基金对持续持有期少于</w:t>
      </w:r>
      <w:r>
        <w:rPr>
          <w:rFonts w:hint="eastAsia"/>
          <w:bCs/>
          <w:szCs w:val="21"/>
        </w:rPr>
        <w:t>7</w:t>
      </w:r>
      <w:r>
        <w:rPr>
          <w:rFonts w:hint="eastAsia"/>
          <w:bCs/>
          <w:szCs w:val="21"/>
        </w:rPr>
        <w:t>日的投资者收取不低于</w:t>
      </w:r>
      <w:r>
        <w:rPr>
          <w:rFonts w:hint="eastAsia"/>
          <w:bCs/>
          <w:szCs w:val="21"/>
        </w:rPr>
        <w:t>1.5%</w:t>
      </w:r>
      <w:r>
        <w:rPr>
          <w:rFonts w:hint="eastAsia"/>
          <w:bCs/>
          <w:szCs w:val="21"/>
        </w:rPr>
        <w:t>的赎回费，并将上述赎回费全额计入基金财产。短期赎回费的收取将使得投资者在持续持有期限少于</w:t>
      </w:r>
      <w:r>
        <w:rPr>
          <w:rFonts w:hint="eastAsia"/>
          <w:bCs/>
          <w:szCs w:val="21"/>
        </w:rPr>
        <w:t>7</w:t>
      </w:r>
      <w:r>
        <w:rPr>
          <w:rFonts w:hint="eastAsia"/>
          <w:bCs/>
          <w:szCs w:val="21"/>
        </w:rPr>
        <w:t>日时会承担较高的赎回费。</w:t>
      </w:r>
    </w:p>
    <w:p w:rsidR="00574CA4" w:rsidRDefault="006E4BF4">
      <w:pPr>
        <w:adjustRightInd w:val="0"/>
        <w:snapToGrid w:val="0"/>
        <w:spacing w:line="360" w:lineRule="auto"/>
        <w:ind w:firstLineChars="200" w:firstLine="420"/>
        <w:rPr>
          <w:bCs/>
          <w:szCs w:val="21"/>
        </w:rPr>
      </w:pPr>
      <w:r>
        <w:rPr>
          <w:rFonts w:hint="eastAsia"/>
          <w:bCs/>
          <w:szCs w:val="21"/>
        </w:rPr>
        <w:t>4</w:t>
      </w:r>
      <w:r>
        <w:rPr>
          <w:rFonts w:hint="eastAsia"/>
          <w:bCs/>
          <w:szCs w:val="21"/>
        </w:rPr>
        <w:t>）暂停基金估值</w:t>
      </w:r>
    </w:p>
    <w:p w:rsidR="00574CA4" w:rsidRDefault="006E4BF4">
      <w:pPr>
        <w:adjustRightInd w:val="0"/>
        <w:snapToGrid w:val="0"/>
        <w:spacing w:line="360" w:lineRule="auto"/>
        <w:ind w:firstLineChars="200" w:firstLine="420"/>
        <w:rPr>
          <w:bCs/>
          <w:szCs w:val="21"/>
        </w:rPr>
      </w:pPr>
      <w:r>
        <w:rPr>
          <w:rFonts w:hint="eastAsia"/>
          <w:bCs/>
          <w:szCs w:val="21"/>
        </w:rPr>
        <w:t>投资人具体请参见基金合同“第十四部分</w:t>
      </w:r>
      <w:r>
        <w:rPr>
          <w:rFonts w:hint="eastAsia"/>
          <w:bCs/>
          <w:szCs w:val="21"/>
        </w:rPr>
        <w:t xml:space="preserve"> </w:t>
      </w:r>
      <w:r>
        <w:rPr>
          <w:rFonts w:hint="eastAsia"/>
          <w:bCs/>
          <w:szCs w:val="21"/>
        </w:rPr>
        <w:t>基金资产估值”中的“七、暂停估值的情形”，详细了解本基金暂停估值的情形及程序。在此情形下，投资人没有可供参考的基金份额净值，基金管理人可暂停接收投资人的赎回申请或延缓支付赎回款项。</w:t>
      </w:r>
    </w:p>
    <w:p w:rsidR="00574CA4" w:rsidRDefault="006E4BF4">
      <w:pPr>
        <w:adjustRightInd w:val="0"/>
        <w:snapToGrid w:val="0"/>
        <w:spacing w:line="360" w:lineRule="auto"/>
        <w:ind w:firstLineChars="200" w:firstLine="420"/>
        <w:rPr>
          <w:bCs/>
          <w:szCs w:val="21"/>
        </w:rPr>
      </w:pPr>
      <w:r>
        <w:rPr>
          <w:rFonts w:hint="eastAsia"/>
          <w:bCs/>
          <w:szCs w:val="21"/>
        </w:rPr>
        <w:t>5</w:t>
      </w:r>
      <w:r>
        <w:rPr>
          <w:rFonts w:hint="eastAsia"/>
          <w:bCs/>
          <w:szCs w:val="21"/>
        </w:rPr>
        <w:t>）摆动定价</w:t>
      </w:r>
    </w:p>
    <w:p w:rsidR="00574CA4" w:rsidRDefault="006E4BF4">
      <w:pPr>
        <w:adjustRightInd w:val="0"/>
        <w:snapToGrid w:val="0"/>
        <w:spacing w:line="360" w:lineRule="auto"/>
        <w:ind w:firstLineChars="200" w:firstLine="420"/>
        <w:rPr>
          <w:bCs/>
          <w:szCs w:val="21"/>
        </w:rPr>
      </w:pPr>
      <w:r>
        <w:rPr>
          <w:rFonts w:hint="eastAsia"/>
          <w:bCs/>
          <w:szCs w:val="21"/>
        </w:rPr>
        <w:t>当本基金发生大额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rsidR="00574CA4" w:rsidRDefault="006E4BF4">
      <w:pPr>
        <w:adjustRightInd w:val="0"/>
        <w:snapToGrid w:val="0"/>
        <w:spacing w:line="360" w:lineRule="auto"/>
        <w:ind w:firstLineChars="200" w:firstLine="420"/>
        <w:rPr>
          <w:bCs/>
          <w:szCs w:val="21"/>
        </w:rPr>
      </w:pPr>
      <w:r>
        <w:rPr>
          <w:rFonts w:hint="eastAsia"/>
          <w:bCs/>
          <w:szCs w:val="21"/>
        </w:rPr>
        <w:t>6</w:t>
      </w:r>
      <w:r>
        <w:rPr>
          <w:rFonts w:hint="eastAsia"/>
          <w:bCs/>
          <w:szCs w:val="21"/>
        </w:rPr>
        <w:t>）侧袋机制</w:t>
      </w:r>
    </w:p>
    <w:p w:rsidR="00574CA4" w:rsidRDefault="006E4BF4">
      <w:pPr>
        <w:adjustRightInd w:val="0"/>
        <w:snapToGrid w:val="0"/>
        <w:spacing w:line="360" w:lineRule="auto"/>
        <w:ind w:firstLineChars="200" w:firstLine="420"/>
        <w:rPr>
          <w:bCs/>
          <w:szCs w:val="21"/>
        </w:rPr>
      </w:pPr>
      <w:r>
        <w:rPr>
          <w:rFonts w:hint="eastAsia"/>
          <w:bCs/>
          <w:szCs w:val="21"/>
        </w:rPr>
        <w:t>侧袋机制是一种流动性风险管理工具，是将特定资产分离至专门的侧袋账户进行处置清算，并以处置变现后的款项向基金份额持有人进行支付，目的在于有效隔离并化</w:t>
      </w:r>
      <w:r>
        <w:rPr>
          <w:rFonts w:hint="eastAsia"/>
          <w:bCs/>
          <w:szCs w:val="21"/>
        </w:rPr>
        <w:t>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574CA4" w:rsidRDefault="006E4BF4">
      <w:pPr>
        <w:adjustRightInd w:val="0"/>
        <w:snapToGrid w:val="0"/>
        <w:spacing w:line="360" w:lineRule="auto"/>
        <w:ind w:firstLineChars="200" w:firstLine="420"/>
        <w:rPr>
          <w:bCs/>
          <w:szCs w:val="21"/>
        </w:rPr>
      </w:pPr>
      <w:r>
        <w:rPr>
          <w:rFonts w:hint="eastAsia"/>
          <w:bCs/>
          <w:szCs w:val="21"/>
        </w:rPr>
        <w:t>实施侧袋机制期间，基金管理人计算各项投资运作指标和基金业绩指标时以主袋账户资产为基准，不反映侧袋账户特定资产的真实价值及变化情况</w:t>
      </w:r>
      <w:r>
        <w:rPr>
          <w:rFonts w:hint="eastAsia"/>
          <w:bCs/>
          <w:szCs w:val="21"/>
        </w:rPr>
        <w:t>。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574CA4" w:rsidRDefault="006E4BF4">
      <w:pPr>
        <w:adjustRightInd w:val="0"/>
        <w:snapToGrid w:val="0"/>
        <w:spacing w:line="360" w:lineRule="auto"/>
        <w:ind w:firstLineChars="200" w:firstLine="420"/>
        <w:rPr>
          <w:bCs/>
          <w:szCs w:val="21"/>
        </w:rPr>
      </w:pPr>
      <w:r>
        <w:rPr>
          <w:rFonts w:hint="eastAsia"/>
          <w:bCs/>
          <w:szCs w:val="21"/>
        </w:rPr>
        <w:t>基金管理人将根据主袋账户运作情况合理确定申购政策，因此实施侧袋机制后主袋账户份额存在暂停申购的可能。</w:t>
      </w:r>
    </w:p>
    <w:p w:rsidR="00574CA4" w:rsidRDefault="006E4BF4">
      <w:pPr>
        <w:adjustRightInd w:val="0"/>
        <w:snapToGrid w:val="0"/>
        <w:spacing w:line="360" w:lineRule="auto"/>
        <w:ind w:firstLineChars="200" w:firstLine="420"/>
        <w:rPr>
          <w:bCs/>
          <w:szCs w:val="21"/>
        </w:rPr>
      </w:pPr>
      <w:r>
        <w:rPr>
          <w:rFonts w:hint="eastAsia"/>
          <w:bCs/>
          <w:szCs w:val="21"/>
        </w:rPr>
        <w:t>7</w:t>
      </w:r>
      <w:r>
        <w:rPr>
          <w:rFonts w:hint="eastAsia"/>
          <w:bCs/>
          <w:szCs w:val="21"/>
        </w:rPr>
        <w:t>）中国证监会认定的其他措施。</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投资者在投资本基金前，应当认真阅读《基金合同》《招募说明书》</w:t>
      </w:r>
      <w:r>
        <w:rPr>
          <w:rFonts w:ascii="Arial" w:eastAsiaTheme="minorEastAsia" w:hAnsi="Arial" w:cs="Arial" w:hint="eastAsia"/>
          <w:bCs/>
          <w:szCs w:val="21"/>
        </w:rPr>
        <w:t>《基金产品资料概要</w:t>
      </w:r>
      <w:r>
        <w:rPr>
          <w:rFonts w:ascii="Arial" w:eastAsiaTheme="minorEastAsia" w:hAnsi="Arial" w:cs="Arial"/>
          <w:bCs/>
          <w:szCs w:val="21"/>
        </w:rPr>
        <w:t>》等基金法律文件，全面了解本基金的产品特性，根据自身的投资目的、投资期限、投资</w:t>
      </w:r>
      <w:r>
        <w:rPr>
          <w:rFonts w:ascii="Arial" w:eastAsiaTheme="minorEastAsia" w:hAnsi="Arial" w:cs="Arial"/>
          <w:bCs/>
          <w:szCs w:val="21"/>
        </w:rPr>
        <w:t>经验、资产状况等判断充分考虑自身的风险承受能力，理性判断市场，并承担基金投资中出现的各类风险，包括：因政治、经济、社会等环境因素对证券价格产生影响而形成的系统性风险、个别证券特有的非系统性风险、由于投资者连续大量赎回基金份额产生的流动性风险、基金管理人在基金管理实施过程中产生的基金管理风险等等。基金管理人提示基金投资者充分了解基金投资的风险和收益特征，根据自身的风险承受能力，选择适合自己的基金产品。</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本基金由基金管理人依照《基金法》《基金合同》和其他有关法律法规规定募集，并经中国证监会注册。中国证监会对本基</w:t>
      </w:r>
      <w:r>
        <w:rPr>
          <w:rFonts w:ascii="Arial" w:eastAsiaTheme="minorEastAsia" w:hAnsi="Arial" w:cs="Arial" w:hint="eastAsia"/>
          <w:bCs/>
          <w:szCs w:val="21"/>
        </w:rPr>
        <w:t>金募集的注册，并不表明其对本基金的价值和收益做出实质性判断或保证，也不表明投资于本基金没有风险。</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建议基金投资者在选择本基金之前，通过正规的途径，如：基金管理人客户服务热线（</w:t>
      </w:r>
      <w:r>
        <w:rPr>
          <w:rFonts w:ascii="Arial" w:eastAsiaTheme="minorEastAsia" w:hAnsi="Arial" w:cs="Arial"/>
          <w:bCs/>
          <w:szCs w:val="21"/>
        </w:rPr>
        <w:t>4009-258-258</w:t>
      </w:r>
      <w:r>
        <w:rPr>
          <w:rFonts w:ascii="Arial" w:eastAsiaTheme="minorEastAsia" w:hAnsi="Arial" w:cs="Arial" w:hint="eastAsia"/>
          <w:bCs/>
          <w:szCs w:val="21"/>
        </w:rPr>
        <w:t>），基金管理人网站（</w:t>
      </w:r>
      <w:r>
        <w:rPr>
          <w:rFonts w:ascii="Arial" w:eastAsiaTheme="minorEastAsia" w:hAnsi="Arial" w:cs="Arial"/>
          <w:bCs/>
          <w:szCs w:val="21"/>
        </w:rPr>
        <w:t>www.gsfunds.com.cn</w:t>
      </w:r>
      <w:r>
        <w:rPr>
          <w:rFonts w:ascii="Arial" w:eastAsiaTheme="minorEastAsia" w:hAnsi="Arial" w:cs="Arial" w:hint="eastAsia"/>
          <w:bCs/>
          <w:szCs w:val="21"/>
        </w:rPr>
        <w:t>）或者通过销售机构，对本基金进行充分、详细的了解。</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本基金的《基金合同》《招募说明书》通过基金管理人的互联网网站进行公开披露。</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基金管理人承诺以诚实信用、勤勉尽责的原则管理和运用基金资产，但不保证本基金一定盈利，也不保证最低收益。基金的过往业绩及其净值高低并</w:t>
      </w:r>
      <w:r>
        <w:rPr>
          <w:rFonts w:ascii="Arial" w:eastAsiaTheme="minorEastAsia" w:hAnsi="Arial" w:cs="Arial" w:hint="eastAsia"/>
          <w:bCs/>
          <w:szCs w:val="21"/>
        </w:rPr>
        <w:t>不预示其未来业绩表现。</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基金管理人提醒投资者基金投资的</w:t>
      </w:r>
      <w:r>
        <w:rPr>
          <w:rFonts w:ascii="Arial" w:eastAsiaTheme="minorEastAsia" w:hAnsi="Arial" w:cs="Arial"/>
          <w:bCs/>
          <w:szCs w:val="21"/>
        </w:rPr>
        <w:t>“</w:t>
      </w:r>
      <w:r>
        <w:rPr>
          <w:rFonts w:ascii="Arial" w:eastAsiaTheme="minorEastAsia" w:hAnsi="Arial" w:cs="Arial" w:hint="eastAsia"/>
          <w:bCs/>
          <w:szCs w:val="21"/>
        </w:rPr>
        <w:t>买者自负</w:t>
      </w:r>
      <w:r>
        <w:rPr>
          <w:rFonts w:ascii="Arial" w:eastAsiaTheme="minorEastAsia" w:hAnsi="Arial" w:cs="Arial"/>
          <w:bCs/>
          <w:szCs w:val="21"/>
        </w:rPr>
        <w:t>”</w:t>
      </w:r>
      <w:r>
        <w:rPr>
          <w:rFonts w:ascii="Arial" w:eastAsiaTheme="minorEastAsia" w:hAnsi="Arial" w:cs="Arial" w:hint="eastAsia"/>
          <w:bCs/>
          <w:szCs w:val="21"/>
        </w:rPr>
        <w:t>原则，在做出投资决策后，基金运营状况与基金净值变化引致的投资风险，由投资者自行负担。</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hAnsi="Arial" w:cs="Arial" w:hint="eastAsia"/>
          <w:bCs/>
          <w:szCs w:val="21"/>
        </w:rPr>
        <w:t>当基金持有特定资产且存在或潜在大额赎回申请时，根据最大限度保护基金份额持有人利益的原则，基金管理人经与基金托管人协商一致，并咨询符合《中华人民共和国证券法》规定的会计师事务所意见后，可以依照法律法规及基金合同的约定启用侧袋机制。请基金份额持有人仔细阅读招募说明书中相关内容并关注本基金启用侧袋机制时的特定风险。</w:t>
      </w:r>
    </w:p>
    <w:p w:rsidR="00574CA4" w:rsidRDefault="006E4BF4">
      <w:pPr>
        <w:adjustRightInd w:val="0"/>
        <w:snapToGrid w:val="0"/>
        <w:spacing w:line="360" w:lineRule="auto"/>
        <w:ind w:firstLineChars="200" w:firstLine="420"/>
        <w:rPr>
          <w:b/>
          <w:bCs/>
          <w:sz w:val="24"/>
          <w:szCs w:val="20"/>
        </w:rPr>
      </w:pPr>
      <w:r>
        <w:rPr>
          <w:rFonts w:ascii="Arial" w:eastAsiaTheme="minorEastAsia" w:hAnsi="Arial" w:cs="Arial" w:hint="eastAsia"/>
          <w:bCs/>
          <w:szCs w:val="21"/>
        </w:rPr>
        <w:t>投资者应当通过基金管理人或具有基金销售业务资格的其他机构购买和赎回基金，基金销售机构名单详见本基金《招募说明书》以及基金管理人网站。</w:t>
      </w:r>
      <w:bookmarkStart w:id="5" w:name="_Toc382228385"/>
      <w:r>
        <w:rPr>
          <w:szCs w:val="20"/>
        </w:rPr>
        <w:br w:type="page"/>
      </w:r>
    </w:p>
    <w:p w:rsidR="00574CA4" w:rsidRDefault="006E4BF4">
      <w:pPr>
        <w:pStyle w:val="3"/>
        <w:numPr>
          <w:ilvl w:val="0"/>
          <w:numId w:val="1"/>
        </w:numPr>
        <w:spacing w:line="360" w:lineRule="auto"/>
        <w:rPr>
          <w:rFonts w:eastAsia="宋体"/>
          <w:szCs w:val="20"/>
        </w:rPr>
      </w:pPr>
      <w:r>
        <w:rPr>
          <w:rFonts w:eastAsia="宋体" w:hint="eastAsia"/>
          <w:szCs w:val="20"/>
        </w:rPr>
        <w:t>本次发售基本情况</w:t>
      </w:r>
      <w:bookmarkEnd w:id="5"/>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（一）基金名称</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国寿安保</w:t>
      </w:r>
      <w:r>
        <w:rPr>
          <w:rFonts w:ascii="Arial" w:eastAsiaTheme="minorEastAsia" w:hAnsi="Arial" w:cs="Arial" w:hint="eastAsia"/>
          <w:bCs/>
          <w:szCs w:val="21"/>
        </w:rPr>
        <w:t>中证</w:t>
      </w:r>
      <w:r>
        <w:rPr>
          <w:rFonts w:ascii="Arial" w:eastAsiaTheme="minorEastAsia" w:hAnsi="Arial" w:cs="Arial" w:hint="eastAsia"/>
          <w:bCs/>
          <w:szCs w:val="21"/>
        </w:rPr>
        <w:t>800</w:t>
      </w:r>
      <w:r>
        <w:rPr>
          <w:rFonts w:ascii="Arial" w:eastAsiaTheme="minorEastAsia" w:hAnsi="Arial" w:cs="Arial" w:hint="eastAsia"/>
          <w:bCs/>
          <w:szCs w:val="21"/>
        </w:rPr>
        <w:t>指数增强型</w:t>
      </w:r>
      <w:r>
        <w:rPr>
          <w:rFonts w:ascii="Arial" w:eastAsiaTheme="minorEastAsia" w:hAnsi="Arial" w:cs="Arial" w:hint="eastAsia"/>
          <w:bCs/>
          <w:szCs w:val="21"/>
        </w:rPr>
        <w:t>证券投资基金</w:t>
      </w:r>
      <w:r>
        <w:rPr>
          <w:rFonts w:ascii="Arial" w:eastAsiaTheme="minorEastAsia" w:hAnsi="Arial" w:cs="Arial"/>
          <w:bCs/>
          <w:szCs w:val="21"/>
        </w:rPr>
        <w:t>（</w:t>
      </w:r>
      <w:r>
        <w:rPr>
          <w:rFonts w:ascii="Arial" w:eastAsiaTheme="minorEastAsia" w:hAnsi="Arial" w:cs="Arial" w:hint="eastAsia"/>
          <w:bCs/>
          <w:szCs w:val="21"/>
        </w:rPr>
        <w:t>A</w:t>
      </w:r>
      <w:r>
        <w:rPr>
          <w:rFonts w:ascii="Arial" w:eastAsiaTheme="minorEastAsia" w:hAnsi="Arial" w:cs="Arial" w:hint="eastAsia"/>
          <w:bCs/>
          <w:szCs w:val="21"/>
        </w:rPr>
        <w:t>类</w:t>
      </w:r>
      <w:r>
        <w:rPr>
          <w:rFonts w:ascii="Arial" w:eastAsiaTheme="minorEastAsia" w:hAnsi="Arial" w:cs="Arial"/>
          <w:bCs/>
          <w:szCs w:val="21"/>
        </w:rPr>
        <w:t>基金份额简称：</w:t>
      </w:r>
      <w:r>
        <w:rPr>
          <w:rFonts w:ascii="Arial" w:eastAsiaTheme="minorEastAsia" w:hAnsi="Arial" w:cs="Arial" w:hint="eastAsia"/>
          <w:bCs/>
          <w:szCs w:val="21"/>
        </w:rPr>
        <w:t>国寿安保</w:t>
      </w:r>
      <w:r>
        <w:rPr>
          <w:rFonts w:ascii="Arial" w:eastAsiaTheme="minorEastAsia" w:hAnsi="Arial" w:cs="Arial" w:hint="eastAsia"/>
          <w:bCs/>
          <w:szCs w:val="21"/>
        </w:rPr>
        <w:t>中证</w:t>
      </w:r>
      <w:r>
        <w:rPr>
          <w:rFonts w:ascii="Arial" w:eastAsiaTheme="minorEastAsia" w:hAnsi="Arial" w:cs="Arial" w:hint="eastAsia"/>
          <w:bCs/>
          <w:szCs w:val="21"/>
        </w:rPr>
        <w:t>800</w:t>
      </w:r>
      <w:r>
        <w:rPr>
          <w:rFonts w:ascii="Arial" w:eastAsiaTheme="minorEastAsia" w:hAnsi="Arial" w:cs="Arial" w:hint="eastAsia"/>
          <w:bCs/>
          <w:szCs w:val="21"/>
        </w:rPr>
        <w:t>指数增强</w:t>
      </w:r>
      <w:r>
        <w:rPr>
          <w:rFonts w:ascii="Arial" w:eastAsiaTheme="minorEastAsia" w:hAnsi="Arial" w:cs="Arial" w:hint="eastAsia"/>
          <w:bCs/>
          <w:szCs w:val="21"/>
        </w:rPr>
        <w:t>A</w:t>
      </w:r>
      <w:r>
        <w:rPr>
          <w:rFonts w:ascii="Arial" w:eastAsiaTheme="minorEastAsia" w:hAnsi="Arial" w:cs="Arial" w:hint="eastAsia"/>
          <w:bCs/>
          <w:szCs w:val="21"/>
        </w:rPr>
        <w:t>，</w:t>
      </w:r>
      <w:r>
        <w:rPr>
          <w:rFonts w:ascii="Arial" w:eastAsiaTheme="minorEastAsia" w:hAnsi="Arial" w:cs="Arial"/>
          <w:bCs/>
          <w:szCs w:val="21"/>
        </w:rPr>
        <w:t>基金代码</w:t>
      </w:r>
      <w:r>
        <w:rPr>
          <w:rFonts w:ascii="Arial" w:eastAsiaTheme="minorEastAsia" w:hAnsi="Arial" w:cs="Arial" w:hint="eastAsia"/>
          <w:bCs/>
          <w:szCs w:val="21"/>
        </w:rPr>
        <w:t>：</w:t>
      </w:r>
      <w:r>
        <w:rPr>
          <w:rFonts w:ascii="Arial" w:eastAsiaTheme="minorEastAsia" w:hAnsi="Arial" w:cs="Arial" w:hint="eastAsia"/>
          <w:bCs/>
          <w:szCs w:val="21"/>
        </w:rPr>
        <w:t>026255</w:t>
      </w:r>
      <w:r>
        <w:rPr>
          <w:rFonts w:ascii="Arial" w:eastAsiaTheme="minorEastAsia" w:hAnsi="Arial" w:cs="Arial" w:hint="eastAsia"/>
          <w:bCs/>
          <w:szCs w:val="21"/>
        </w:rPr>
        <w:t>；</w:t>
      </w:r>
      <w:r>
        <w:rPr>
          <w:rFonts w:ascii="Arial" w:eastAsiaTheme="minorEastAsia" w:hAnsi="Arial" w:cs="Arial"/>
          <w:bCs/>
          <w:szCs w:val="21"/>
        </w:rPr>
        <w:t>C</w:t>
      </w:r>
      <w:r>
        <w:rPr>
          <w:rFonts w:ascii="Arial" w:eastAsiaTheme="minorEastAsia" w:hAnsi="Arial" w:cs="Arial" w:hint="eastAsia"/>
          <w:bCs/>
          <w:szCs w:val="21"/>
        </w:rPr>
        <w:t>类</w:t>
      </w:r>
      <w:r>
        <w:rPr>
          <w:rFonts w:ascii="Arial" w:eastAsiaTheme="minorEastAsia" w:hAnsi="Arial" w:cs="Arial"/>
          <w:bCs/>
          <w:szCs w:val="21"/>
        </w:rPr>
        <w:t>基金份额简称：</w:t>
      </w:r>
      <w:r>
        <w:rPr>
          <w:rFonts w:ascii="Arial" w:eastAsiaTheme="minorEastAsia" w:hAnsi="Arial" w:cs="Arial" w:hint="eastAsia"/>
          <w:bCs/>
          <w:szCs w:val="21"/>
        </w:rPr>
        <w:t>国寿安保</w:t>
      </w:r>
      <w:r>
        <w:rPr>
          <w:rFonts w:ascii="Arial" w:eastAsiaTheme="minorEastAsia" w:hAnsi="Arial" w:cs="Arial" w:hint="eastAsia"/>
          <w:bCs/>
          <w:szCs w:val="21"/>
        </w:rPr>
        <w:t>中证</w:t>
      </w:r>
      <w:r>
        <w:rPr>
          <w:rFonts w:ascii="Arial" w:eastAsiaTheme="minorEastAsia" w:hAnsi="Arial" w:cs="Arial" w:hint="eastAsia"/>
          <w:bCs/>
          <w:szCs w:val="21"/>
        </w:rPr>
        <w:t>800</w:t>
      </w:r>
      <w:r>
        <w:rPr>
          <w:rFonts w:ascii="Arial" w:eastAsiaTheme="minorEastAsia" w:hAnsi="Arial" w:cs="Arial" w:hint="eastAsia"/>
          <w:bCs/>
          <w:szCs w:val="21"/>
        </w:rPr>
        <w:t>指数增强</w:t>
      </w:r>
      <w:r>
        <w:rPr>
          <w:rFonts w:ascii="Arial" w:eastAsiaTheme="minorEastAsia" w:hAnsi="Arial" w:cs="Arial" w:hint="eastAsia"/>
          <w:bCs/>
          <w:szCs w:val="21"/>
        </w:rPr>
        <w:t>C</w:t>
      </w:r>
      <w:r>
        <w:rPr>
          <w:rFonts w:ascii="Arial" w:eastAsiaTheme="minorEastAsia" w:hAnsi="Arial" w:cs="Arial" w:hint="eastAsia"/>
          <w:bCs/>
          <w:szCs w:val="21"/>
        </w:rPr>
        <w:t>，</w:t>
      </w:r>
      <w:r>
        <w:rPr>
          <w:rFonts w:ascii="Arial" w:eastAsiaTheme="minorEastAsia" w:hAnsi="Arial" w:cs="Arial"/>
          <w:bCs/>
          <w:szCs w:val="21"/>
        </w:rPr>
        <w:t>基金代码：</w:t>
      </w:r>
      <w:r>
        <w:rPr>
          <w:rFonts w:ascii="Arial" w:eastAsiaTheme="minorEastAsia" w:hAnsi="Arial" w:cs="Arial" w:hint="eastAsia"/>
          <w:bCs/>
          <w:szCs w:val="21"/>
        </w:rPr>
        <w:t>026256</w:t>
      </w:r>
      <w:r>
        <w:rPr>
          <w:rFonts w:ascii="Arial" w:eastAsiaTheme="minorEastAsia" w:hAnsi="Arial" w:cs="Arial" w:hint="eastAsia"/>
          <w:bCs/>
          <w:szCs w:val="21"/>
        </w:rPr>
        <w:t>）</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（二）基金的类别</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股票型</w:t>
      </w:r>
      <w:r>
        <w:rPr>
          <w:rFonts w:ascii="Arial" w:hAnsi="Arial" w:cs="Arial" w:hint="eastAsia"/>
          <w:bCs/>
          <w:szCs w:val="21"/>
        </w:rPr>
        <w:t>证券投资</w:t>
      </w:r>
      <w:r>
        <w:rPr>
          <w:rFonts w:ascii="Arial" w:hAnsi="Arial" w:cs="Arial"/>
          <w:bCs/>
          <w:szCs w:val="21"/>
        </w:rPr>
        <w:t>基金</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（三）基金的运作方式</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bCs/>
          <w:szCs w:val="21"/>
        </w:rPr>
        <w:t>契约型开放式</w:t>
      </w:r>
      <w:r>
        <w:rPr>
          <w:rFonts w:ascii="Arial" w:hAnsi="Arial" w:cs="Arial" w:hint="eastAsia"/>
          <w:bCs/>
          <w:szCs w:val="21"/>
        </w:rPr>
        <w:t>。</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（四）</w:t>
      </w:r>
      <w:r>
        <w:rPr>
          <w:rFonts w:ascii="Arial" w:eastAsiaTheme="minorEastAsia" w:hAnsi="Arial" w:cs="Arial"/>
          <w:bCs/>
          <w:szCs w:val="21"/>
        </w:rPr>
        <w:t>投资目标</w:t>
      </w:r>
    </w:p>
    <w:p w:rsidR="00574CA4" w:rsidRDefault="006E4BF4">
      <w:pPr>
        <w:tabs>
          <w:tab w:val="left" w:pos="1134"/>
        </w:tabs>
        <w:adjustRightInd w:val="0"/>
        <w:snapToGrid w:val="0"/>
        <w:spacing w:line="360" w:lineRule="auto"/>
        <w:ind w:firstLineChars="200" w:firstLine="420"/>
        <w:outlineLvl w:val="1"/>
        <w:rPr>
          <w:rFonts w:ascii="Arial" w:hAnsi="Arial" w:cs="Arial"/>
          <w:bCs/>
          <w:szCs w:val="21"/>
        </w:rPr>
      </w:pPr>
      <w:bookmarkStart w:id="6" w:name="_Toc27570456"/>
      <w:r>
        <w:rPr>
          <w:rFonts w:ascii="Arial" w:hAnsi="Arial" w:cs="Arial" w:hint="eastAsia"/>
          <w:bCs/>
          <w:szCs w:val="21"/>
        </w:rPr>
        <w:t>本基金通过数量化方法进行组合管理和风险控制，在力求对标的指数中证</w:t>
      </w:r>
      <w:r>
        <w:rPr>
          <w:rFonts w:ascii="Arial" w:hAnsi="Arial" w:cs="Arial" w:hint="eastAsia"/>
          <w:bCs/>
          <w:szCs w:val="21"/>
        </w:rPr>
        <w:t>800</w:t>
      </w:r>
      <w:r>
        <w:rPr>
          <w:rFonts w:ascii="Arial" w:hAnsi="Arial" w:cs="Arial" w:hint="eastAsia"/>
          <w:bCs/>
          <w:szCs w:val="21"/>
        </w:rPr>
        <w:t>指数有效跟踪的基础上，力争实现超越基准的投资收益，谋求基金资产的长期增值。</w:t>
      </w:r>
    </w:p>
    <w:p w:rsidR="00574CA4" w:rsidRDefault="006E4BF4">
      <w:pPr>
        <w:adjustRightInd w:val="0"/>
        <w:snapToGrid w:val="0"/>
        <w:spacing w:line="360" w:lineRule="auto"/>
        <w:rPr>
          <w:rFonts w:ascii="Arial" w:eastAsiaTheme="minorEastAsia" w:hAnsi="Arial" w:cs="Arial"/>
          <w:bCs/>
          <w:szCs w:val="21"/>
        </w:rPr>
      </w:pPr>
      <w:r>
        <w:rPr>
          <w:rFonts w:ascii="Arial" w:hAnsi="Arial" w:cs="Arial" w:hint="eastAsia"/>
          <w:bCs/>
          <w:szCs w:val="21"/>
        </w:rPr>
        <w:t xml:space="preserve">    </w:t>
      </w:r>
      <w:bookmarkEnd w:id="6"/>
      <w:r>
        <w:rPr>
          <w:rFonts w:ascii="Arial" w:eastAsiaTheme="minorEastAsia" w:hAnsi="Arial" w:cs="Arial"/>
          <w:bCs/>
          <w:szCs w:val="21"/>
        </w:rPr>
        <w:t>（</w:t>
      </w:r>
      <w:r>
        <w:rPr>
          <w:rFonts w:ascii="Arial" w:eastAsiaTheme="minorEastAsia" w:hAnsi="Arial" w:cs="Arial" w:hint="eastAsia"/>
          <w:bCs/>
          <w:szCs w:val="21"/>
        </w:rPr>
        <w:t>五</w:t>
      </w:r>
      <w:r>
        <w:rPr>
          <w:rFonts w:ascii="Arial" w:eastAsiaTheme="minorEastAsia" w:hAnsi="Arial" w:cs="Arial"/>
          <w:bCs/>
          <w:szCs w:val="21"/>
        </w:rPr>
        <w:t>）</w:t>
      </w:r>
      <w:r>
        <w:rPr>
          <w:rFonts w:ascii="Arial" w:eastAsiaTheme="minorEastAsia" w:hAnsi="Arial" w:cs="Arial" w:hint="eastAsia"/>
          <w:bCs/>
          <w:szCs w:val="21"/>
        </w:rPr>
        <w:t>基金的最低募集金额</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本基金的最低募集份额总额为</w:t>
      </w:r>
      <w:r>
        <w:rPr>
          <w:rFonts w:ascii="Arial" w:eastAsiaTheme="minorEastAsia" w:hAnsi="Arial" w:cs="Arial" w:hint="eastAsia"/>
          <w:bCs/>
          <w:szCs w:val="21"/>
        </w:rPr>
        <w:t>2</w:t>
      </w:r>
      <w:r>
        <w:rPr>
          <w:rFonts w:ascii="Arial" w:eastAsiaTheme="minorEastAsia" w:hAnsi="Arial" w:cs="Arial" w:hint="eastAsia"/>
          <w:bCs/>
          <w:szCs w:val="21"/>
        </w:rPr>
        <w:t>亿份。</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w:t>
      </w:r>
      <w:r>
        <w:rPr>
          <w:rFonts w:ascii="Arial" w:eastAsiaTheme="minorEastAsia" w:hAnsi="Arial" w:cs="Arial" w:hint="eastAsia"/>
          <w:bCs/>
          <w:szCs w:val="21"/>
        </w:rPr>
        <w:t>六</w:t>
      </w:r>
      <w:r>
        <w:rPr>
          <w:rFonts w:ascii="Arial" w:eastAsiaTheme="minorEastAsia" w:hAnsi="Arial" w:cs="Arial"/>
          <w:bCs/>
          <w:szCs w:val="21"/>
        </w:rPr>
        <w:t>）基金份额初始发售面值</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本基金基金份额发售面值为人民币</w:t>
      </w:r>
      <w:r>
        <w:rPr>
          <w:rFonts w:ascii="Arial" w:eastAsiaTheme="minorEastAsia" w:hAnsi="Arial" w:cs="Arial" w:hint="eastAsia"/>
          <w:bCs/>
          <w:szCs w:val="21"/>
        </w:rPr>
        <w:t>1.00</w:t>
      </w:r>
      <w:r>
        <w:rPr>
          <w:rFonts w:ascii="Arial" w:eastAsiaTheme="minorEastAsia" w:hAnsi="Arial" w:cs="Arial" w:hint="eastAsia"/>
          <w:bCs/>
          <w:szCs w:val="21"/>
        </w:rPr>
        <w:t>元。</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w:t>
      </w:r>
      <w:r>
        <w:rPr>
          <w:rFonts w:ascii="Arial" w:eastAsiaTheme="minorEastAsia" w:hAnsi="Arial" w:cs="Arial" w:hint="eastAsia"/>
          <w:bCs/>
          <w:szCs w:val="21"/>
        </w:rPr>
        <w:t>七</w:t>
      </w:r>
      <w:r>
        <w:rPr>
          <w:rFonts w:ascii="Arial" w:eastAsiaTheme="minorEastAsia" w:hAnsi="Arial" w:cs="Arial"/>
          <w:bCs/>
          <w:szCs w:val="21"/>
        </w:rPr>
        <w:t>）基金存续期限</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不定期</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w:t>
      </w:r>
      <w:r>
        <w:rPr>
          <w:rFonts w:ascii="Arial" w:eastAsiaTheme="minorEastAsia" w:hAnsi="Arial" w:cs="Arial" w:hint="eastAsia"/>
          <w:bCs/>
          <w:szCs w:val="21"/>
        </w:rPr>
        <w:t>八</w:t>
      </w:r>
      <w:r>
        <w:rPr>
          <w:rFonts w:ascii="Arial" w:eastAsiaTheme="minorEastAsia" w:hAnsi="Arial" w:cs="Arial"/>
          <w:bCs/>
          <w:szCs w:val="21"/>
        </w:rPr>
        <w:t>）募集对象</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符合法律法规规定的可投资于证券投资基金的个人投资者、机构投资者、合格境外投资者以及法律法规或中国证监会允许购买证券投资基金的其他投资人。</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w:t>
      </w:r>
      <w:r>
        <w:rPr>
          <w:rFonts w:ascii="Arial" w:eastAsiaTheme="minorEastAsia" w:hAnsi="Arial" w:cs="Arial" w:hint="eastAsia"/>
          <w:bCs/>
          <w:szCs w:val="21"/>
        </w:rPr>
        <w:t>十</w:t>
      </w:r>
      <w:r>
        <w:rPr>
          <w:rFonts w:ascii="Arial" w:eastAsiaTheme="minorEastAsia" w:hAnsi="Arial" w:cs="Arial"/>
          <w:bCs/>
          <w:szCs w:val="21"/>
        </w:rPr>
        <w:t>）销售机构和销售地点</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1</w:t>
      </w:r>
      <w:r>
        <w:rPr>
          <w:rFonts w:ascii="Arial" w:eastAsiaTheme="minorEastAsia" w:hAnsi="Arial" w:cs="Arial" w:hint="eastAsia"/>
          <w:bCs/>
          <w:szCs w:val="21"/>
        </w:rPr>
        <w:t>、直销机构</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1</w:t>
      </w:r>
      <w:r>
        <w:rPr>
          <w:rFonts w:ascii="Arial" w:eastAsiaTheme="minorEastAsia" w:hAnsi="Arial" w:cs="Arial" w:hint="eastAsia"/>
          <w:bCs/>
          <w:szCs w:val="21"/>
        </w:rPr>
        <w:t>）</w:t>
      </w:r>
      <w:r>
        <w:rPr>
          <w:rFonts w:ascii="Arial" w:eastAsiaTheme="minorEastAsia" w:hAnsi="Arial" w:cs="Arial"/>
          <w:bCs/>
          <w:szCs w:val="21"/>
        </w:rPr>
        <w:t>国寿安保基金管理有限公司直销中心</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地址：北京市西城区金融大街</w:t>
      </w:r>
      <w:r>
        <w:rPr>
          <w:rFonts w:ascii="Arial" w:eastAsiaTheme="minorEastAsia" w:hAnsi="Arial" w:cs="Arial" w:hint="eastAsia"/>
          <w:bCs/>
          <w:szCs w:val="21"/>
        </w:rPr>
        <w:t>28</w:t>
      </w:r>
      <w:r>
        <w:rPr>
          <w:rFonts w:ascii="Arial" w:eastAsiaTheme="minorEastAsia" w:hAnsi="Arial" w:cs="Arial" w:hint="eastAsia"/>
          <w:bCs/>
          <w:szCs w:val="21"/>
        </w:rPr>
        <w:t>号院盈泰商务中心</w:t>
      </w:r>
      <w:r>
        <w:rPr>
          <w:rFonts w:ascii="Arial" w:eastAsiaTheme="minorEastAsia" w:hAnsi="Arial" w:cs="Arial" w:hint="eastAsia"/>
          <w:bCs/>
          <w:szCs w:val="21"/>
        </w:rPr>
        <w:t>2</w:t>
      </w:r>
      <w:r>
        <w:rPr>
          <w:rFonts w:ascii="Arial" w:eastAsiaTheme="minorEastAsia" w:hAnsi="Arial" w:cs="Arial" w:hint="eastAsia"/>
          <w:bCs/>
          <w:szCs w:val="21"/>
        </w:rPr>
        <w:t>号楼</w:t>
      </w:r>
      <w:r>
        <w:rPr>
          <w:rFonts w:ascii="Arial" w:eastAsiaTheme="minorEastAsia" w:hAnsi="Arial" w:cs="Arial" w:hint="eastAsia"/>
          <w:bCs/>
          <w:szCs w:val="21"/>
        </w:rPr>
        <w:t>10</w:t>
      </w:r>
      <w:r>
        <w:rPr>
          <w:rFonts w:ascii="Arial" w:eastAsiaTheme="minorEastAsia" w:hAnsi="Arial" w:cs="Arial" w:hint="eastAsia"/>
          <w:bCs/>
          <w:szCs w:val="21"/>
        </w:rPr>
        <w:t>、</w:t>
      </w:r>
      <w:r>
        <w:rPr>
          <w:rFonts w:ascii="Arial" w:eastAsiaTheme="minorEastAsia" w:hAnsi="Arial" w:cs="Arial" w:hint="eastAsia"/>
          <w:bCs/>
          <w:szCs w:val="21"/>
        </w:rPr>
        <w:t>11</w:t>
      </w:r>
      <w:r>
        <w:rPr>
          <w:rFonts w:ascii="Arial" w:eastAsiaTheme="minorEastAsia" w:hAnsi="Arial" w:cs="Arial" w:hint="eastAsia"/>
          <w:bCs/>
          <w:szCs w:val="21"/>
        </w:rPr>
        <w:t>、</w:t>
      </w:r>
      <w:r>
        <w:rPr>
          <w:rFonts w:ascii="Arial" w:eastAsiaTheme="minorEastAsia" w:hAnsi="Arial" w:cs="Arial" w:hint="eastAsia"/>
          <w:bCs/>
          <w:szCs w:val="21"/>
        </w:rPr>
        <w:t>12</w:t>
      </w:r>
      <w:r>
        <w:rPr>
          <w:rFonts w:ascii="Arial" w:eastAsiaTheme="minorEastAsia" w:hAnsi="Arial" w:cs="Arial" w:hint="eastAsia"/>
          <w:bCs/>
          <w:szCs w:val="21"/>
        </w:rPr>
        <w:t>层</w:t>
      </w:r>
      <w:r>
        <w:rPr>
          <w:rFonts w:ascii="Arial" w:eastAsiaTheme="minorEastAsia" w:hAnsi="Arial" w:cs="Arial"/>
          <w:bCs/>
          <w:szCs w:val="21"/>
        </w:rPr>
        <w:t xml:space="preserve"> </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联系电话：</w:t>
      </w:r>
      <w:r>
        <w:rPr>
          <w:rFonts w:ascii="Arial" w:eastAsiaTheme="minorEastAsia" w:hAnsi="Arial" w:cs="Arial"/>
          <w:bCs/>
          <w:szCs w:val="21"/>
        </w:rPr>
        <w:t>010-</w:t>
      </w:r>
      <w:r>
        <w:rPr>
          <w:rFonts w:ascii="Arial" w:eastAsiaTheme="minorEastAsia" w:hAnsi="Arial" w:cs="Arial" w:hint="eastAsia"/>
          <w:szCs w:val="21"/>
        </w:rPr>
        <w:t>50850723</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传真：</w:t>
      </w:r>
      <w:r>
        <w:rPr>
          <w:rFonts w:ascii="Arial" w:eastAsiaTheme="minorEastAsia" w:hAnsi="Arial" w:cs="Arial"/>
          <w:bCs/>
          <w:szCs w:val="21"/>
        </w:rPr>
        <w:t>010-</w:t>
      </w:r>
      <w:r>
        <w:rPr>
          <w:rFonts w:ascii="Arial" w:eastAsiaTheme="minorEastAsia" w:hAnsi="Arial" w:cs="Arial" w:hint="eastAsia"/>
          <w:szCs w:val="21"/>
        </w:rPr>
        <w:t>50850777</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联系人：</w:t>
      </w:r>
      <w:r>
        <w:rPr>
          <w:rFonts w:ascii="Arial" w:eastAsiaTheme="minorEastAsia" w:hAnsi="Arial" w:cs="Arial" w:hint="eastAsia"/>
          <w:bCs/>
          <w:szCs w:val="21"/>
        </w:rPr>
        <w:t>于焕</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2</w:t>
      </w:r>
      <w:r>
        <w:rPr>
          <w:rFonts w:ascii="Arial" w:eastAsiaTheme="minorEastAsia" w:hAnsi="Arial" w:cs="Arial" w:hint="eastAsia"/>
          <w:bCs/>
          <w:szCs w:val="21"/>
        </w:rPr>
        <w:t>）</w:t>
      </w:r>
      <w:r>
        <w:rPr>
          <w:rFonts w:ascii="Arial" w:eastAsiaTheme="minorEastAsia" w:hAnsi="Arial" w:cs="Arial"/>
          <w:bCs/>
          <w:szCs w:val="21"/>
        </w:rPr>
        <w:t>国寿安保基金管理有限公司网上直销</w:t>
      </w:r>
      <w:r>
        <w:rPr>
          <w:rFonts w:ascii="Arial" w:eastAsiaTheme="minorEastAsia" w:hAnsi="Arial" w:cs="Arial" w:hint="eastAsia"/>
          <w:bCs/>
          <w:szCs w:val="21"/>
        </w:rPr>
        <w:t>交易</w:t>
      </w:r>
      <w:r>
        <w:rPr>
          <w:rFonts w:ascii="Arial" w:eastAsiaTheme="minorEastAsia" w:hAnsi="Arial" w:cs="Arial"/>
          <w:bCs/>
          <w:szCs w:val="21"/>
        </w:rPr>
        <w:t>系统</w:t>
      </w:r>
    </w:p>
    <w:p w:rsidR="00574CA4" w:rsidRDefault="006E4BF4">
      <w:pPr>
        <w:adjustRightInd w:val="0"/>
        <w:snapToGrid w:val="0"/>
        <w:spacing w:line="360" w:lineRule="auto"/>
        <w:ind w:firstLineChars="200" w:firstLine="420"/>
        <w:rPr>
          <w:rFonts w:ascii="Arial" w:hAnsi="Arial" w:cs="Arial"/>
          <w:szCs w:val="21"/>
        </w:rPr>
      </w:pPr>
      <w:r>
        <w:rPr>
          <w:rFonts w:ascii="Arial" w:eastAsiaTheme="minorEastAsia" w:hAnsi="Arial" w:cs="Arial" w:hint="eastAsia"/>
          <w:bCs/>
          <w:szCs w:val="21"/>
        </w:rPr>
        <w:t>网址：</w:t>
      </w:r>
      <w:hyperlink r:id="rId12" w:history="1">
        <w:r>
          <w:rPr>
            <w:rFonts w:ascii="Arial" w:hAnsi="Arial" w:cs="Arial"/>
            <w:szCs w:val="21"/>
          </w:rPr>
          <w:t>https://e</w:t>
        </w:r>
        <w:r>
          <w:rPr>
            <w:rFonts w:ascii="Arial" w:hAnsi="Arial" w:cs="Arial" w:hint="eastAsia"/>
            <w:szCs w:val="21"/>
          </w:rPr>
          <w:t>.</w:t>
        </w:r>
      </w:hyperlink>
      <w:r>
        <w:rPr>
          <w:rFonts w:ascii="Arial" w:hAnsi="Arial" w:cs="Arial"/>
          <w:szCs w:val="21"/>
        </w:rPr>
        <w:t>gsfunds.com.cn</w:t>
      </w:r>
      <w:r>
        <w:rPr>
          <w:rFonts w:ascii="Arial" w:hAnsi="Arial" w:cs="Arial" w:hint="eastAsia"/>
          <w:szCs w:val="21"/>
        </w:rPr>
        <w:t>/etrading/</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2</w:t>
      </w:r>
      <w:r>
        <w:rPr>
          <w:rFonts w:ascii="Arial" w:eastAsiaTheme="minorEastAsia" w:hAnsi="Arial" w:cs="Arial" w:hint="eastAsia"/>
          <w:bCs/>
          <w:szCs w:val="21"/>
        </w:rPr>
        <w:t>、其他销售机构</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1</w:t>
      </w:r>
      <w:r>
        <w:rPr>
          <w:rFonts w:ascii="Arial" w:eastAsiaTheme="minorEastAsia" w:hAnsi="Arial" w:cs="Arial" w:hint="eastAsia"/>
          <w:bCs/>
          <w:szCs w:val="21"/>
        </w:rPr>
        <w:t>）交通银行股份有限公司</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注册地址：上海市银城中路</w:t>
      </w:r>
      <w:r>
        <w:rPr>
          <w:rFonts w:ascii="Arial" w:eastAsiaTheme="minorEastAsia" w:hAnsi="Arial" w:cs="Arial" w:hint="eastAsia"/>
          <w:bCs/>
          <w:szCs w:val="21"/>
        </w:rPr>
        <w:t>188</w:t>
      </w:r>
      <w:r>
        <w:rPr>
          <w:rFonts w:ascii="Arial" w:eastAsiaTheme="minorEastAsia" w:hAnsi="Arial" w:cs="Arial" w:hint="eastAsia"/>
          <w:bCs/>
          <w:szCs w:val="21"/>
        </w:rPr>
        <w:t>号</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办公地址：上海市银城中路</w:t>
      </w:r>
      <w:r>
        <w:rPr>
          <w:rFonts w:ascii="Arial" w:eastAsiaTheme="minorEastAsia" w:hAnsi="Arial" w:cs="Arial" w:hint="eastAsia"/>
          <w:bCs/>
          <w:szCs w:val="21"/>
        </w:rPr>
        <w:t>188</w:t>
      </w:r>
      <w:r>
        <w:rPr>
          <w:rFonts w:ascii="Arial" w:eastAsiaTheme="minorEastAsia" w:hAnsi="Arial" w:cs="Arial" w:hint="eastAsia"/>
          <w:bCs/>
          <w:szCs w:val="21"/>
        </w:rPr>
        <w:t>号</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法定代表人：任德奇</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联系人：张蕊</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客服电话：</w:t>
      </w:r>
      <w:r>
        <w:rPr>
          <w:rFonts w:ascii="Arial" w:eastAsiaTheme="minorEastAsia" w:hAnsi="Arial" w:cs="Arial" w:hint="eastAsia"/>
          <w:bCs/>
          <w:szCs w:val="21"/>
        </w:rPr>
        <w:t>95559</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网址：</w:t>
      </w:r>
      <w:r>
        <w:rPr>
          <w:rFonts w:ascii="Arial" w:eastAsiaTheme="minorEastAsia" w:hAnsi="Arial" w:cs="Arial" w:hint="eastAsia"/>
          <w:bCs/>
          <w:szCs w:val="21"/>
        </w:rPr>
        <w:t>www.bankcomm.com</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2</w:t>
      </w:r>
      <w:r>
        <w:rPr>
          <w:rFonts w:ascii="Arial" w:eastAsiaTheme="minorEastAsia" w:hAnsi="Arial" w:cs="Arial" w:hint="eastAsia"/>
          <w:bCs/>
          <w:szCs w:val="21"/>
        </w:rPr>
        <w:t>）山西证券股份有限公司</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注册地址：太原市府西街</w:t>
      </w:r>
      <w:r>
        <w:rPr>
          <w:rFonts w:ascii="Arial" w:eastAsiaTheme="minorEastAsia" w:hAnsi="Arial" w:cs="Arial" w:hint="eastAsia"/>
          <w:bCs/>
          <w:szCs w:val="21"/>
        </w:rPr>
        <w:t>69</w:t>
      </w:r>
      <w:r>
        <w:rPr>
          <w:rFonts w:ascii="Arial" w:eastAsiaTheme="minorEastAsia" w:hAnsi="Arial" w:cs="Arial" w:hint="eastAsia"/>
          <w:bCs/>
          <w:szCs w:val="21"/>
        </w:rPr>
        <w:t>号山西国际贸易中心东塔楼</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办公地址：太原市府西街</w:t>
      </w:r>
      <w:r>
        <w:rPr>
          <w:rFonts w:ascii="Arial" w:eastAsiaTheme="minorEastAsia" w:hAnsi="Arial" w:cs="Arial" w:hint="eastAsia"/>
          <w:bCs/>
          <w:szCs w:val="21"/>
        </w:rPr>
        <w:t>69</w:t>
      </w:r>
      <w:r>
        <w:rPr>
          <w:rFonts w:ascii="Arial" w:eastAsiaTheme="minorEastAsia" w:hAnsi="Arial" w:cs="Arial" w:hint="eastAsia"/>
          <w:bCs/>
          <w:szCs w:val="21"/>
        </w:rPr>
        <w:t>号山西国际贸易中心东塔楼</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法定代表人：王怡里</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联系人：王谷雨</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客服电话：</w:t>
      </w:r>
      <w:r>
        <w:rPr>
          <w:rFonts w:ascii="Arial" w:eastAsiaTheme="minorEastAsia" w:hAnsi="Arial" w:cs="Arial" w:hint="eastAsia"/>
          <w:bCs/>
          <w:szCs w:val="21"/>
        </w:rPr>
        <w:t>95573</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机构网址：</w:t>
      </w:r>
      <w:r>
        <w:rPr>
          <w:rFonts w:ascii="Arial" w:eastAsiaTheme="minorEastAsia" w:hAnsi="Arial" w:cs="Arial" w:hint="eastAsia"/>
          <w:bCs/>
          <w:szCs w:val="21"/>
        </w:rPr>
        <w:t>www.i618.com.cn</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基金管理人可根据有关法律、法规的要求，选择其他符合要求的销售机构销售本基金。</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w:t>
      </w:r>
      <w:r>
        <w:rPr>
          <w:rFonts w:ascii="Arial" w:eastAsiaTheme="minorEastAsia" w:hAnsi="Arial" w:cs="Arial" w:hint="eastAsia"/>
          <w:bCs/>
          <w:szCs w:val="21"/>
        </w:rPr>
        <w:t>十一</w:t>
      </w:r>
      <w:r>
        <w:rPr>
          <w:rFonts w:ascii="Arial" w:eastAsiaTheme="minorEastAsia" w:hAnsi="Arial" w:cs="Arial"/>
          <w:bCs/>
          <w:szCs w:val="21"/>
        </w:rPr>
        <w:t>）发售时间安排</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本基金募集期为</w:t>
      </w:r>
      <w:r>
        <w:rPr>
          <w:rFonts w:ascii="Arial" w:eastAsiaTheme="minorEastAsia" w:hAnsi="Arial" w:cs="Arial"/>
          <w:bCs/>
          <w:szCs w:val="21"/>
        </w:rPr>
        <w:t>202</w:t>
      </w:r>
      <w:r>
        <w:rPr>
          <w:rFonts w:ascii="Arial" w:eastAsiaTheme="minorEastAsia" w:hAnsi="Arial" w:cs="Arial" w:hint="eastAsia"/>
          <w:bCs/>
          <w:szCs w:val="21"/>
        </w:rPr>
        <w:t>5</w:t>
      </w:r>
      <w:r>
        <w:rPr>
          <w:rFonts w:ascii="Arial" w:eastAsiaTheme="minorEastAsia" w:hAnsi="Arial" w:cs="Arial"/>
          <w:bCs/>
          <w:szCs w:val="21"/>
        </w:rPr>
        <w:t>年</w:t>
      </w:r>
      <w:r>
        <w:rPr>
          <w:rFonts w:ascii="Arial" w:eastAsiaTheme="minorEastAsia" w:hAnsi="Arial" w:cs="Arial" w:hint="eastAsia"/>
          <w:bCs/>
          <w:szCs w:val="21"/>
        </w:rPr>
        <w:t>12</w:t>
      </w:r>
      <w:r>
        <w:rPr>
          <w:rFonts w:ascii="Arial" w:eastAsiaTheme="minorEastAsia" w:hAnsi="Arial" w:cs="Arial" w:hint="eastAsia"/>
          <w:bCs/>
          <w:szCs w:val="21"/>
        </w:rPr>
        <w:t>月</w:t>
      </w:r>
      <w:r>
        <w:rPr>
          <w:rFonts w:ascii="Arial" w:eastAsiaTheme="minorEastAsia" w:hAnsi="Arial" w:cs="Arial" w:hint="eastAsia"/>
          <w:bCs/>
          <w:szCs w:val="21"/>
        </w:rPr>
        <w:t>15</w:t>
      </w:r>
      <w:r>
        <w:rPr>
          <w:rFonts w:ascii="Arial" w:eastAsiaTheme="minorEastAsia" w:hAnsi="Arial" w:cs="Arial" w:hint="eastAsia"/>
          <w:bCs/>
          <w:szCs w:val="21"/>
        </w:rPr>
        <w:t>日</w:t>
      </w:r>
      <w:r>
        <w:rPr>
          <w:rFonts w:ascii="Arial" w:eastAsiaTheme="minorEastAsia" w:hAnsi="Arial" w:cs="Arial" w:hint="eastAsia"/>
          <w:bCs/>
          <w:szCs w:val="21"/>
        </w:rPr>
        <w:t>至</w:t>
      </w:r>
      <w:r>
        <w:rPr>
          <w:rFonts w:ascii="Arial" w:eastAsiaTheme="minorEastAsia" w:hAnsi="Arial" w:cs="Arial" w:hint="eastAsia"/>
          <w:bCs/>
          <w:szCs w:val="21"/>
        </w:rPr>
        <w:t>2026</w:t>
      </w:r>
      <w:r>
        <w:rPr>
          <w:rFonts w:ascii="Arial" w:eastAsiaTheme="minorEastAsia" w:hAnsi="Arial" w:cs="Arial" w:hint="eastAsia"/>
          <w:bCs/>
          <w:szCs w:val="21"/>
        </w:rPr>
        <w:t>年</w:t>
      </w:r>
      <w:r>
        <w:rPr>
          <w:rFonts w:ascii="Arial" w:eastAsiaTheme="minorEastAsia" w:hAnsi="Arial" w:cs="Arial" w:hint="eastAsia"/>
          <w:bCs/>
          <w:szCs w:val="21"/>
        </w:rPr>
        <w:t>1</w:t>
      </w:r>
      <w:r>
        <w:rPr>
          <w:rFonts w:ascii="Arial" w:eastAsiaTheme="minorEastAsia" w:hAnsi="Arial" w:cs="Arial" w:hint="eastAsia"/>
          <w:bCs/>
          <w:szCs w:val="21"/>
        </w:rPr>
        <w:t>月</w:t>
      </w:r>
      <w:r>
        <w:rPr>
          <w:rFonts w:ascii="Arial" w:eastAsiaTheme="minorEastAsia" w:hAnsi="Arial" w:cs="Arial" w:hint="eastAsia"/>
          <w:bCs/>
          <w:szCs w:val="21"/>
        </w:rPr>
        <w:t>9</w:t>
      </w:r>
      <w:r>
        <w:rPr>
          <w:rFonts w:ascii="Arial" w:eastAsiaTheme="minorEastAsia" w:hAnsi="Arial" w:cs="Arial" w:hint="eastAsia"/>
          <w:bCs/>
          <w:szCs w:val="21"/>
        </w:rPr>
        <w:t>日</w:t>
      </w:r>
      <w:r>
        <w:rPr>
          <w:rFonts w:ascii="Arial" w:eastAsiaTheme="minorEastAsia" w:hAnsi="Arial" w:cs="Arial"/>
          <w:bCs/>
          <w:szCs w:val="21"/>
        </w:rPr>
        <w:t>；基金管理人可综合各种情况对</w:t>
      </w:r>
      <w:r>
        <w:rPr>
          <w:rFonts w:ascii="Arial" w:eastAsiaTheme="minorEastAsia" w:hAnsi="Arial" w:cs="Arial"/>
          <w:bCs/>
          <w:szCs w:val="21"/>
        </w:rPr>
        <w:t>募集期限做适当的调整，但整个募集期限自基金份额发售之日起不超过三个月。</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（十</w:t>
      </w:r>
      <w:r>
        <w:rPr>
          <w:rFonts w:ascii="Arial" w:eastAsiaTheme="minorEastAsia" w:hAnsi="Arial" w:cs="Arial" w:hint="eastAsia"/>
          <w:bCs/>
          <w:szCs w:val="21"/>
        </w:rPr>
        <w:t>二</w:t>
      </w:r>
      <w:r>
        <w:rPr>
          <w:rFonts w:ascii="Arial" w:eastAsiaTheme="minorEastAsia" w:hAnsi="Arial" w:cs="Arial"/>
          <w:bCs/>
          <w:szCs w:val="21"/>
        </w:rPr>
        <w:t>）基金认购方式与费率</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1</w:t>
      </w:r>
      <w:r>
        <w:rPr>
          <w:rFonts w:ascii="Arial" w:eastAsiaTheme="minorEastAsia" w:hAnsi="Arial" w:cs="Arial"/>
          <w:bCs/>
          <w:szCs w:val="21"/>
        </w:rPr>
        <w:t>、</w:t>
      </w:r>
      <w:r>
        <w:rPr>
          <w:rFonts w:ascii="Arial" w:eastAsiaTheme="minorEastAsia" w:hAnsi="Arial" w:cs="Arial" w:hint="eastAsia"/>
          <w:bCs/>
          <w:szCs w:val="21"/>
        </w:rPr>
        <w:t>认购</w:t>
      </w:r>
      <w:r>
        <w:rPr>
          <w:rFonts w:ascii="Arial" w:eastAsiaTheme="minorEastAsia" w:hAnsi="Arial" w:cs="Arial"/>
          <w:bCs/>
          <w:szCs w:val="21"/>
        </w:rPr>
        <w:t>方式</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本基金认购采取金额认购的方式。</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1</w:t>
      </w:r>
      <w:r>
        <w:rPr>
          <w:rFonts w:ascii="Arial" w:eastAsiaTheme="minorEastAsia" w:hAnsi="Arial" w:cs="Arial" w:hint="eastAsia"/>
          <w:bCs/>
          <w:szCs w:val="21"/>
        </w:rPr>
        <w:t>）投资者认购前，需按销售机构规定的方式备足认购的金额。</w:t>
      </w:r>
    </w:p>
    <w:p w:rsidR="00574CA4" w:rsidRDefault="006E4BF4">
      <w:pPr>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hint="eastAsia"/>
          <w:bCs/>
          <w:szCs w:val="21"/>
        </w:rPr>
        <w:t>（</w:t>
      </w:r>
      <w:r>
        <w:rPr>
          <w:rFonts w:ascii="Arial" w:eastAsiaTheme="minorEastAsia" w:hAnsi="Arial" w:cs="Arial" w:hint="eastAsia"/>
          <w:bCs/>
          <w:szCs w:val="21"/>
        </w:rPr>
        <w:t>2</w:t>
      </w:r>
      <w:r>
        <w:rPr>
          <w:rFonts w:ascii="Arial" w:eastAsiaTheme="minorEastAsia" w:hAnsi="Arial" w:cs="Arial" w:hint="eastAsia"/>
          <w:bCs/>
          <w:szCs w:val="21"/>
        </w:rPr>
        <w:t>）基金投资者在募集期内可多次认购，认购一旦被注册登记机构确认，就不再接受撤销申请。</w:t>
      </w:r>
    </w:p>
    <w:p w:rsidR="00574CA4" w:rsidRDefault="006E4BF4">
      <w:pPr>
        <w:autoSpaceDE w:val="0"/>
        <w:autoSpaceDN w:val="0"/>
        <w:adjustRightInd w:val="0"/>
        <w:snapToGrid w:val="0"/>
        <w:spacing w:line="360" w:lineRule="auto"/>
        <w:ind w:firstLineChars="200" w:firstLine="420"/>
        <w:rPr>
          <w:rFonts w:ascii="Arial" w:eastAsiaTheme="minorEastAsia" w:hAnsi="Arial" w:cs="Arial"/>
          <w:bCs/>
          <w:szCs w:val="21"/>
        </w:rPr>
      </w:pPr>
      <w:r>
        <w:rPr>
          <w:rFonts w:ascii="Arial" w:eastAsiaTheme="minorEastAsia" w:hAnsi="Arial" w:cs="Arial"/>
          <w:bCs/>
          <w:szCs w:val="21"/>
        </w:rPr>
        <w:t>2</w:t>
      </w:r>
      <w:r>
        <w:rPr>
          <w:rFonts w:ascii="Arial" w:eastAsiaTheme="minorEastAsia" w:hAnsi="Arial" w:cs="Arial"/>
          <w:bCs/>
          <w:szCs w:val="21"/>
        </w:rPr>
        <w:t>、</w:t>
      </w:r>
      <w:r>
        <w:rPr>
          <w:rFonts w:ascii="Arial" w:hAnsi="Arial" w:cs="Arial" w:hint="eastAsia"/>
          <w:bCs/>
          <w:szCs w:val="21"/>
        </w:rPr>
        <w:t>认购限制</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在募集期内每一基金投资者通过基金管理人网上交易系统每个基金账户首次认购的最低金额为人民币</w:t>
      </w:r>
      <w:r>
        <w:rPr>
          <w:rFonts w:ascii="Arial" w:hAnsi="Arial" w:cs="Arial" w:hint="eastAsia"/>
          <w:bCs/>
          <w:szCs w:val="21"/>
        </w:rPr>
        <w:t>1</w:t>
      </w:r>
      <w:r>
        <w:rPr>
          <w:rFonts w:ascii="Arial" w:hAnsi="Arial" w:cs="Arial" w:hint="eastAsia"/>
          <w:bCs/>
          <w:szCs w:val="21"/>
        </w:rPr>
        <w:t>元（含认购费），追加认购最低金额为</w:t>
      </w:r>
      <w:r>
        <w:rPr>
          <w:rFonts w:ascii="Arial" w:hAnsi="Arial" w:cs="Arial" w:hint="eastAsia"/>
          <w:bCs/>
          <w:szCs w:val="21"/>
        </w:rPr>
        <w:t>1</w:t>
      </w:r>
      <w:r>
        <w:rPr>
          <w:rFonts w:ascii="Arial" w:hAnsi="Arial" w:cs="Arial" w:hint="eastAsia"/>
          <w:bCs/>
          <w:szCs w:val="21"/>
        </w:rPr>
        <w:t>元（含认购费）。各销售机构对最低认购限额及交易级差有其他规定的，以各销售机构的业务规定为准。已在基金管理人销售网点有认购本基金记录的投资者不受首次认购最低金额的限制，但受追加认购最低金额的限制。本基金募集期间对单个基金份额持有人不设置最高认购金额限制。</w:t>
      </w:r>
    </w:p>
    <w:p w:rsidR="00574CA4" w:rsidRDefault="006E4BF4">
      <w:pPr>
        <w:autoSpaceDE w:val="0"/>
        <w:autoSpaceDN w:val="0"/>
        <w:adjustRightInd w:val="0"/>
        <w:snapToGrid w:val="0"/>
        <w:spacing w:line="360" w:lineRule="auto"/>
        <w:ind w:firstLineChars="200" w:firstLine="420"/>
        <w:rPr>
          <w:rFonts w:ascii="Arial" w:hAnsi="Arial" w:cs="Arial"/>
          <w:szCs w:val="21"/>
        </w:rPr>
      </w:pPr>
      <w:r>
        <w:rPr>
          <w:rFonts w:ascii="Arial" w:hAnsi="Arial" w:cs="Arial"/>
          <w:szCs w:val="21"/>
        </w:rPr>
        <w:t>3</w:t>
      </w:r>
      <w:r>
        <w:rPr>
          <w:rFonts w:ascii="Arial" w:hAnsi="Arial" w:cs="Arial"/>
          <w:szCs w:val="21"/>
        </w:rPr>
        <w:t>、认购费</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w:t>
      </w:r>
      <w:r>
        <w:rPr>
          <w:rFonts w:ascii="Arial" w:hAnsi="Arial" w:cs="Arial" w:hint="eastAsia"/>
          <w:bCs/>
          <w:szCs w:val="21"/>
        </w:rPr>
        <w:t>A</w:t>
      </w:r>
      <w:r>
        <w:rPr>
          <w:rFonts w:ascii="Arial" w:hAnsi="Arial" w:cs="Arial" w:hint="eastAsia"/>
          <w:bCs/>
          <w:szCs w:val="21"/>
        </w:rPr>
        <w:t>类基金份额在认购时收取基金认购费用</w:t>
      </w:r>
      <w:r>
        <w:rPr>
          <w:rFonts w:ascii="Arial" w:hAnsi="Arial" w:cs="Arial" w:hint="eastAsia"/>
          <w:bCs/>
          <w:szCs w:val="21"/>
        </w:rPr>
        <w:t>,C</w:t>
      </w:r>
      <w:r>
        <w:rPr>
          <w:rFonts w:ascii="Arial" w:hAnsi="Arial" w:cs="Arial" w:hint="eastAsia"/>
          <w:bCs/>
          <w:szCs w:val="21"/>
        </w:rPr>
        <w:t>类基金份额不收取认购费用。</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bCs/>
          <w:szCs w:val="21"/>
        </w:rPr>
        <w:t>投资人可自行选择认</w:t>
      </w:r>
      <w:r>
        <w:rPr>
          <w:rFonts w:ascii="Arial" w:hAnsi="Arial" w:cs="Arial"/>
          <w:bCs/>
          <w:szCs w:val="21"/>
        </w:rPr>
        <w:t>/</w:t>
      </w:r>
      <w:r>
        <w:rPr>
          <w:rFonts w:ascii="Arial" w:hAnsi="Arial" w:cs="Arial"/>
          <w:bCs/>
          <w:szCs w:val="21"/>
        </w:rPr>
        <w:t>申购的基金份额类别。本基金</w:t>
      </w:r>
      <w:r>
        <w:rPr>
          <w:rFonts w:ascii="Arial" w:hAnsi="Arial" w:cs="Arial"/>
          <w:bCs/>
          <w:szCs w:val="21"/>
        </w:rPr>
        <w:t>不同基金份额类别之间不得互相转换。</w:t>
      </w:r>
    </w:p>
    <w:p w:rsidR="00574CA4" w:rsidRDefault="00574CA4">
      <w:pPr>
        <w:adjustRightInd w:val="0"/>
        <w:snapToGrid w:val="0"/>
        <w:spacing w:line="360" w:lineRule="auto"/>
        <w:ind w:firstLineChars="200" w:firstLine="420"/>
        <w:jc w:val="center"/>
        <w:rPr>
          <w:rFonts w:ascii="Arial" w:hAnsi="Arial" w:cs="Arial"/>
          <w:szCs w:val="21"/>
        </w:rPr>
      </w:pPr>
    </w:p>
    <w:p w:rsidR="00574CA4" w:rsidRDefault="00574CA4">
      <w:pPr>
        <w:adjustRightInd w:val="0"/>
        <w:snapToGrid w:val="0"/>
        <w:spacing w:line="360" w:lineRule="auto"/>
        <w:ind w:firstLineChars="200" w:firstLine="420"/>
        <w:jc w:val="center"/>
        <w:rPr>
          <w:rFonts w:ascii="Arial" w:hAnsi="Arial" w:cs="Arial"/>
          <w:szCs w:val="21"/>
        </w:rPr>
      </w:pPr>
    </w:p>
    <w:p w:rsidR="00574CA4" w:rsidRDefault="006E4BF4">
      <w:pPr>
        <w:adjustRightInd w:val="0"/>
        <w:snapToGrid w:val="0"/>
        <w:spacing w:line="360" w:lineRule="auto"/>
        <w:ind w:firstLineChars="200" w:firstLine="420"/>
        <w:jc w:val="center"/>
        <w:rPr>
          <w:rFonts w:ascii="Arial" w:hAnsi="Arial" w:cs="Arial"/>
          <w:szCs w:val="21"/>
        </w:rPr>
      </w:pPr>
      <w:r>
        <w:rPr>
          <w:rFonts w:ascii="Arial" w:hAnsi="Arial" w:cs="Arial"/>
          <w:szCs w:val="21"/>
        </w:rPr>
        <w:t>表：本基金的认购费率</w:t>
      </w:r>
    </w:p>
    <w:tbl>
      <w:tblPr>
        <w:tblW w:w="7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5"/>
        <w:gridCol w:w="2226"/>
        <w:gridCol w:w="2089"/>
        <w:gridCol w:w="2066"/>
      </w:tblGrid>
      <w:tr w:rsidR="00574CA4">
        <w:trPr>
          <w:trHeight w:val="392"/>
          <w:jc w:val="center"/>
        </w:trPr>
        <w:tc>
          <w:tcPr>
            <w:tcW w:w="1195" w:type="dxa"/>
            <w:vMerge w:val="restart"/>
            <w:vAlign w:val="center"/>
          </w:tcPr>
          <w:p w:rsidR="00574CA4" w:rsidRDefault="006E4BF4">
            <w:pPr>
              <w:spacing w:line="360" w:lineRule="auto"/>
              <w:jc w:val="center"/>
              <w:rPr>
                <w:rFonts w:ascii="Arial" w:hAnsi="Arial" w:cs="Arial"/>
                <w:color w:val="000000"/>
                <w:kern w:val="0"/>
                <w:sz w:val="18"/>
                <w:szCs w:val="18"/>
              </w:rPr>
            </w:pPr>
            <w:r>
              <w:rPr>
                <w:rFonts w:ascii="Arial" w:hAnsi="Arial" w:cs="Arial"/>
                <w:color w:val="000000"/>
                <w:kern w:val="0"/>
                <w:sz w:val="18"/>
                <w:szCs w:val="18"/>
              </w:rPr>
              <w:t>认购费率</w:t>
            </w:r>
          </w:p>
        </w:tc>
        <w:tc>
          <w:tcPr>
            <w:tcW w:w="2226" w:type="dxa"/>
          </w:tcPr>
          <w:p w:rsidR="00574CA4" w:rsidRDefault="006E4BF4">
            <w:pPr>
              <w:widowControl/>
              <w:spacing w:line="360" w:lineRule="auto"/>
              <w:jc w:val="center"/>
              <w:rPr>
                <w:rFonts w:ascii="Arial" w:hAnsi="Arial" w:cs="Arial"/>
                <w:kern w:val="0"/>
                <w:sz w:val="18"/>
                <w:szCs w:val="18"/>
              </w:rPr>
            </w:pPr>
            <w:r>
              <w:rPr>
                <w:rFonts w:ascii="Arial" w:hAnsi="Arial" w:cs="Arial"/>
                <w:color w:val="000000"/>
                <w:kern w:val="0"/>
                <w:sz w:val="18"/>
                <w:szCs w:val="18"/>
              </w:rPr>
              <w:t>认购金额</w:t>
            </w:r>
            <w:r>
              <w:rPr>
                <w:rFonts w:ascii="Arial" w:hAnsi="Arial" w:cs="Arial" w:hint="eastAsia"/>
                <w:color w:val="000000"/>
                <w:kern w:val="0"/>
                <w:sz w:val="18"/>
                <w:szCs w:val="18"/>
              </w:rPr>
              <w:t>（</w:t>
            </w:r>
            <w:r>
              <w:rPr>
                <w:rFonts w:ascii="Arial" w:hAnsi="Arial" w:cs="Arial" w:hint="eastAsia"/>
                <w:color w:val="000000"/>
                <w:kern w:val="0"/>
                <w:sz w:val="18"/>
                <w:szCs w:val="18"/>
              </w:rPr>
              <w:t>M</w:t>
            </w:r>
            <w:r>
              <w:rPr>
                <w:rFonts w:ascii="Arial" w:hAnsi="Arial" w:cs="Arial" w:hint="eastAsia"/>
                <w:color w:val="000000"/>
                <w:kern w:val="0"/>
                <w:sz w:val="18"/>
                <w:szCs w:val="18"/>
              </w:rPr>
              <w:t>）</w:t>
            </w:r>
          </w:p>
        </w:tc>
        <w:tc>
          <w:tcPr>
            <w:tcW w:w="2089" w:type="dxa"/>
          </w:tcPr>
          <w:p w:rsidR="00574CA4" w:rsidRDefault="006E4BF4">
            <w:pPr>
              <w:widowControl/>
              <w:spacing w:line="360" w:lineRule="auto"/>
              <w:jc w:val="center"/>
              <w:rPr>
                <w:rFonts w:ascii="Arial" w:hAnsi="Arial" w:cs="Arial"/>
                <w:kern w:val="0"/>
                <w:sz w:val="18"/>
                <w:szCs w:val="18"/>
              </w:rPr>
            </w:pPr>
            <w:r>
              <w:rPr>
                <w:rFonts w:ascii="Arial" w:hAnsi="Arial" w:cs="Arial"/>
                <w:b/>
                <w:color w:val="000000"/>
                <w:kern w:val="0"/>
                <w:sz w:val="18"/>
                <w:szCs w:val="18"/>
              </w:rPr>
              <w:t>A</w:t>
            </w:r>
            <w:r>
              <w:rPr>
                <w:rFonts w:ascii="Arial" w:hAnsi="Arial" w:cs="Arial"/>
                <w:b/>
                <w:color w:val="000000"/>
                <w:kern w:val="0"/>
                <w:sz w:val="18"/>
                <w:szCs w:val="18"/>
              </w:rPr>
              <w:t>类基金份额</w:t>
            </w:r>
          </w:p>
        </w:tc>
        <w:tc>
          <w:tcPr>
            <w:tcW w:w="2066" w:type="dxa"/>
          </w:tcPr>
          <w:p w:rsidR="00574CA4" w:rsidRDefault="006E4BF4">
            <w:pPr>
              <w:widowControl/>
              <w:spacing w:line="360" w:lineRule="auto"/>
              <w:jc w:val="center"/>
              <w:rPr>
                <w:rFonts w:ascii="Arial" w:hAnsi="Arial" w:cs="Arial"/>
                <w:kern w:val="0"/>
                <w:sz w:val="18"/>
                <w:szCs w:val="18"/>
              </w:rPr>
            </w:pPr>
            <w:r>
              <w:rPr>
                <w:rFonts w:ascii="Arial" w:hAnsi="Arial" w:cs="Arial"/>
                <w:b/>
                <w:color w:val="000000"/>
                <w:kern w:val="0"/>
                <w:sz w:val="18"/>
                <w:szCs w:val="18"/>
              </w:rPr>
              <w:t>C</w:t>
            </w:r>
            <w:r>
              <w:rPr>
                <w:rFonts w:ascii="Arial" w:hAnsi="Arial" w:cs="Arial"/>
                <w:b/>
                <w:color w:val="000000"/>
                <w:kern w:val="0"/>
                <w:sz w:val="18"/>
                <w:szCs w:val="18"/>
              </w:rPr>
              <w:t>类基金份额</w:t>
            </w:r>
          </w:p>
        </w:tc>
      </w:tr>
      <w:tr w:rsidR="00574CA4">
        <w:trPr>
          <w:trHeight w:val="392"/>
          <w:jc w:val="center"/>
        </w:trPr>
        <w:tc>
          <w:tcPr>
            <w:tcW w:w="1195" w:type="dxa"/>
            <w:vMerge/>
            <w:vAlign w:val="center"/>
          </w:tcPr>
          <w:p w:rsidR="00574CA4" w:rsidRDefault="00574CA4">
            <w:pPr>
              <w:widowControl/>
              <w:spacing w:line="360" w:lineRule="auto"/>
              <w:jc w:val="center"/>
              <w:rPr>
                <w:rFonts w:ascii="Arial" w:hAnsi="Arial" w:cs="Arial"/>
                <w:color w:val="000000"/>
                <w:kern w:val="0"/>
                <w:sz w:val="18"/>
                <w:szCs w:val="18"/>
              </w:rPr>
            </w:pPr>
          </w:p>
        </w:tc>
        <w:tc>
          <w:tcPr>
            <w:tcW w:w="2226" w:type="dxa"/>
            <w:vAlign w:val="center"/>
          </w:tcPr>
          <w:p w:rsidR="00574CA4" w:rsidRDefault="006E4BF4">
            <w:pPr>
              <w:widowControl/>
              <w:spacing w:line="360" w:lineRule="auto"/>
              <w:jc w:val="center"/>
              <w:rPr>
                <w:rFonts w:ascii="Arial" w:hAnsi="Arial" w:cs="Arial"/>
                <w:color w:val="000000"/>
                <w:kern w:val="0"/>
                <w:sz w:val="18"/>
                <w:szCs w:val="18"/>
              </w:rPr>
            </w:pPr>
            <w:r>
              <w:rPr>
                <w:rFonts w:ascii="Arial" w:hAnsi="Arial" w:cs="Arial"/>
                <w:color w:val="000000"/>
                <w:kern w:val="0"/>
                <w:sz w:val="18"/>
                <w:szCs w:val="18"/>
              </w:rPr>
              <w:t>M</w:t>
            </w:r>
            <w:r>
              <w:rPr>
                <w:rFonts w:ascii="Arial" w:hAnsi="Arial" w:cs="Arial" w:hint="eastAsia"/>
                <w:color w:val="000000"/>
                <w:kern w:val="0"/>
                <w:sz w:val="18"/>
                <w:szCs w:val="18"/>
              </w:rPr>
              <w:t>＜</w:t>
            </w:r>
            <w:r>
              <w:rPr>
                <w:rFonts w:ascii="Arial" w:hAnsi="Arial" w:cs="Arial" w:hint="eastAsia"/>
                <w:color w:val="000000"/>
                <w:kern w:val="0"/>
                <w:sz w:val="18"/>
                <w:szCs w:val="18"/>
              </w:rPr>
              <w:t>100</w:t>
            </w:r>
            <w:r>
              <w:rPr>
                <w:rFonts w:ascii="Arial" w:hAnsi="Arial" w:cs="Arial" w:hint="eastAsia"/>
                <w:color w:val="000000"/>
                <w:kern w:val="0"/>
                <w:sz w:val="18"/>
                <w:szCs w:val="18"/>
              </w:rPr>
              <w:t>万元</w:t>
            </w:r>
          </w:p>
        </w:tc>
        <w:tc>
          <w:tcPr>
            <w:tcW w:w="2089" w:type="dxa"/>
            <w:vAlign w:val="center"/>
          </w:tcPr>
          <w:p w:rsidR="00574CA4" w:rsidRDefault="006E4BF4">
            <w:pPr>
              <w:widowControl/>
              <w:jc w:val="center"/>
              <w:rPr>
                <w:rFonts w:ascii="Arial" w:hAnsi="Arial" w:cs="Arial"/>
                <w:color w:val="000000"/>
                <w:kern w:val="0"/>
                <w:sz w:val="18"/>
                <w:szCs w:val="18"/>
              </w:rPr>
            </w:pPr>
            <w:r>
              <w:rPr>
                <w:rFonts w:ascii="Arial" w:hAnsi="Arial" w:cs="Arial" w:hint="eastAsia"/>
                <w:color w:val="000000"/>
                <w:kern w:val="0"/>
                <w:sz w:val="18"/>
                <w:szCs w:val="18"/>
              </w:rPr>
              <w:t>1.00</w:t>
            </w:r>
            <w:r>
              <w:rPr>
                <w:rFonts w:ascii="Arial" w:hAnsi="Arial" w:cs="Arial"/>
                <w:color w:val="000000"/>
                <w:kern w:val="0"/>
                <w:sz w:val="18"/>
                <w:szCs w:val="18"/>
              </w:rPr>
              <w:t>%</w:t>
            </w:r>
          </w:p>
        </w:tc>
        <w:tc>
          <w:tcPr>
            <w:tcW w:w="2066" w:type="dxa"/>
            <w:vMerge w:val="restart"/>
            <w:vAlign w:val="center"/>
          </w:tcPr>
          <w:p w:rsidR="00574CA4" w:rsidRDefault="006E4BF4">
            <w:pPr>
              <w:widowControl/>
              <w:spacing w:line="360" w:lineRule="auto"/>
              <w:jc w:val="center"/>
              <w:rPr>
                <w:rFonts w:ascii="Arial" w:hAnsi="Arial" w:cs="Arial"/>
                <w:kern w:val="0"/>
                <w:sz w:val="18"/>
                <w:szCs w:val="18"/>
              </w:rPr>
            </w:pPr>
            <w:r>
              <w:rPr>
                <w:rFonts w:ascii="Arial" w:hAnsi="Arial" w:cs="Arial" w:hint="eastAsia"/>
                <w:kern w:val="0"/>
                <w:sz w:val="18"/>
                <w:szCs w:val="18"/>
              </w:rPr>
              <w:t>0</w:t>
            </w:r>
            <w:r>
              <w:rPr>
                <w:rFonts w:ascii="Arial" w:hAnsi="Arial" w:cs="Arial"/>
                <w:kern w:val="0"/>
                <w:sz w:val="18"/>
                <w:szCs w:val="18"/>
              </w:rPr>
              <w:t>%</w:t>
            </w:r>
          </w:p>
        </w:tc>
      </w:tr>
      <w:tr w:rsidR="00574CA4">
        <w:trPr>
          <w:trHeight w:val="339"/>
          <w:jc w:val="center"/>
        </w:trPr>
        <w:tc>
          <w:tcPr>
            <w:tcW w:w="1195" w:type="dxa"/>
            <w:vMerge/>
            <w:vAlign w:val="center"/>
          </w:tcPr>
          <w:p w:rsidR="00574CA4" w:rsidRDefault="00574CA4">
            <w:pPr>
              <w:widowControl/>
              <w:spacing w:line="360" w:lineRule="auto"/>
              <w:jc w:val="center"/>
              <w:rPr>
                <w:rFonts w:ascii="Arial" w:hAnsi="Arial" w:cs="Arial"/>
                <w:color w:val="000000"/>
                <w:kern w:val="0"/>
                <w:sz w:val="18"/>
                <w:szCs w:val="18"/>
              </w:rPr>
            </w:pPr>
          </w:p>
        </w:tc>
        <w:tc>
          <w:tcPr>
            <w:tcW w:w="2226" w:type="dxa"/>
            <w:vAlign w:val="center"/>
          </w:tcPr>
          <w:p w:rsidR="00574CA4" w:rsidRDefault="006E4BF4">
            <w:pPr>
              <w:spacing w:line="360" w:lineRule="auto"/>
              <w:jc w:val="center"/>
              <w:rPr>
                <w:rFonts w:ascii="Arial" w:hAnsi="Arial" w:cs="Arial"/>
                <w:color w:val="000000"/>
                <w:kern w:val="0"/>
                <w:sz w:val="18"/>
                <w:szCs w:val="18"/>
              </w:rPr>
            </w:pPr>
            <w:r>
              <w:rPr>
                <w:rFonts w:ascii="Arial" w:hAnsi="Arial" w:cs="Arial" w:hint="eastAsia"/>
                <w:color w:val="000000"/>
                <w:kern w:val="0"/>
                <w:sz w:val="18"/>
                <w:szCs w:val="18"/>
              </w:rPr>
              <w:t>100</w:t>
            </w:r>
            <w:r>
              <w:rPr>
                <w:rFonts w:ascii="Arial" w:hAnsi="Arial" w:cs="Arial" w:hint="eastAsia"/>
                <w:color w:val="000000"/>
                <w:kern w:val="0"/>
                <w:sz w:val="18"/>
                <w:szCs w:val="18"/>
              </w:rPr>
              <w:t>万元≤</w:t>
            </w:r>
            <w:r>
              <w:rPr>
                <w:rFonts w:ascii="Arial" w:hAnsi="Arial" w:cs="Arial"/>
                <w:color w:val="000000"/>
                <w:kern w:val="0"/>
                <w:sz w:val="18"/>
                <w:szCs w:val="18"/>
              </w:rPr>
              <w:t>M</w:t>
            </w:r>
            <w:r>
              <w:rPr>
                <w:rFonts w:ascii="Arial" w:hAnsi="Arial" w:cs="Arial" w:hint="eastAsia"/>
                <w:color w:val="000000"/>
                <w:kern w:val="0"/>
                <w:sz w:val="18"/>
                <w:szCs w:val="18"/>
              </w:rPr>
              <w:t>＜</w:t>
            </w:r>
            <w:r>
              <w:rPr>
                <w:rFonts w:ascii="Arial" w:hAnsi="Arial" w:cs="Arial" w:hint="eastAsia"/>
                <w:color w:val="000000"/>
                <w:kern w:val="0"/>
                <w:sz w:val="18"/>
                <w:szCs w:val="18"/>
              </w:rPr>
              <w:t>3</w:t>
            </w:r>
            <w:r>
              <w:rPr>
                <w:rFonts w:ascii="Arial" w:hAnsi="Arial" w:cs="Arial"/>
                <w:color w:val="000000"/>
                <w:kern w:val="0"/>
                <w:sz w:val="18"/>
                <w:szCs w:val="18"/>
              </w:rPr>
              <w:t>00</w:t>
            </w:r>
            <w:r>
              <w:rPr>
                <w:rFonts w:ascii="Arial" w:hAnsi="Arial" w:cs="Arial" w:hint="eastAsia"/>
                <w:color w:val="000000"/>
                <w:kern w:val="0"/>
                <w:sz w:val="18"/>
                <w:szCs w:val="18"/>
              </w:rPr>
              <w:t>万元</w:t>
            </w:r>
          </w:p>
        </w:tc>
        <w:tc>
          <w:tcPr>
            <w:tcW w:w="2089" w:type="dxa"/>
            <w:vAlign w:val="center"/>
          </w:tcPr>
          <w:p w:rsidR="00574CA4" w:rsidRDefault="006E4BF4">
            <w:pPr>
              <w:widowControl/>
              <w:jc w:val="center"/>
              <w:rPr>
                <w:rFonts w:ascii="Arial" w:hAnsi="Arial" w:cs="Arial"/>
                <w:color w:val="000000"/>
                <w:kern w:val="0"/>
                <w:sz w:val="18"/>
                <w:szCs w:val="18"/>
              </w:rPr>
            </w:pPr>
            <w:r>
              <w:rPr>
                <w:rFonts w:ascii="Arial" w:hAnsi="Arial" w:cs="Arial"/>
                <w:color w:val="000000"/>
                <w:kern w:val="0"/>
                <w:sz w:val="18"/>
                <w:szCs w:val="18"/>
              </w:rPr>
              <w:t>0.</w:t>
            </w:r>
            <w:r>
              <w:rPr>
                <w:rFonts w:ascii="Arial" w:hAnsi="Arial" w:cs="Arial" w:hint="eastAsia"/>
                <w:color w:val="000000"/>
                <w:kern w:val="0"/>
                <w:sz w:val="18"/>
                <w:szCs w:val="18"/>
              </w:rPr>
              <w:t>60</w:t>
            </w:r>
            <w:r>
              <w:rPr>
                <w:rFonts w:ascii="Arial" w:hAnsi="Arial" w:cs="Arial"/>
                <w:color w:val="000000"/>
                <w:kern w:val="0"/>
                <w:sz w:val="18"/>
                <w:szCs w:val="18"/>
              </w:rPr>
              <w:t>%</w:t>
            </w:r>
          </w:p>
        </w:tc>
        <w:tc>
          <w:tcPr>
            <w:tcW w:w="2066" w:type="dxa"/>
            <w:vMerge/>
          </w:tcPr>
          <w:p w:rsidR="00574CA4" w:rsidRDefault="00574CA4">
            <w:pPr>
              <w:spacing w:line="360" w:lineRule="auto"/>
              <w:jc w:val="center"/>
              <w:rPr>
                <w:rFonts w:ascii="Arial" w:hAnsi="Arial" w:cs="Arial"/>
                <w:kern w:val="0"/>
                <w:sz w:val="18"/>
                <w:szCs w:val="18"/>
              </w:rPr>
            </w:pPr>
          </w:p>
        </w:tc>
      </w:tr>
      <w:tr w:rsidR="00574CA4">
        <w:trPr>
          <w:trHeight w:val="329"/>
          <w:jc w:val="center"/>
        </w:trPr>
        <w:tc>
          <w:tcPr>
            <w:tcW w:w="1195" w:type="dxa"/>
            <w:vMerge/>
            <w:vAlign w:val="center"/>
          </w:tcPr>
          <w:p w:rsidR="00574CA4" w:rsidRDefault="00574CA4">
            <w:pPr>
              <w:widowControl/>
              <w:spacing w:line="360" w:lineRule="auto"/>
              <w:jc w:val="center"/>
              <w:rPr>
                <w:rFonts w:ascii="Arial" w:hAnsi="Arial" w:cs="Arial"/>
                <w:color w:val="000000"/>
                <w:kern w:val="0"/>
                <w:sz w:val="18"/>
                <w:szCs w:val="18"/>
              </w:rPr>
            </w:pPr>
          </w:p>
        </w:tc>
        <w:tc>
          <w:tcPr>
            <w:tcW w:w="2226" w:type="dxa"/>
            <w:vAlign w:val="center"/>
          </w:tcPr>
          <w:p w:rsidR="00574CA4" w:rsidRDefault="006E4BF4">
            <w:pPr>
              <w:spacing w:line="360" w:lineRule="auto"/>
              <w:jc w:val="center"/>
              <w:rPr>
                <w:rFonts w:ascii="Arial" w:hAnsi="Arial" w:cs="Arial"/>
                <w:color w:val="000000"/>
                <w:kern w:val="0"/>
                <w:sz w:val="18"/>
                <w:szCs w:val="18"/>
              </w:rPr>
            </w:pPr>
            <w:r>
              <w:rPr>
                <w:rFonts w:ascii="Arial" w:hAnsi="Arial" w:cs="Arial" w:hint="eastAsia"/>
                <w:color w:val="000000"/>
                <w:kern w:val="0"/>
                <w:sz w:val="18"/>
                <w:szCs w:val="18"/>
              </w:rPr>
              <w:t>300</w:t>
            </w:r>
            <w:r>
              <w:rPr>
                <w:rFonts w:ascii="Arial" w:hAnsi="Arial" w:cs="Arial" w:hint="eastAsia"/>
                <w:color w:val="000000"/>
                <w:kern w:val="0"/>
                <w:sz w:val="18"/>
                <w:szCs w:val="18"/>
              </w:rPr>
              <w:t>万元≤</w:t>
            </w:r>
            <w:r>
              <w:rPr>
                <w:rFonts w:ascii="Arial" w:hAnsi="Arial" w:cs="Arial"/>
                <w:color w:val="000000"/>
                <w:kern w:val="0"/>
                <w:sz w:val="18"/>
                <w:szCs w:val="18"/>
              </w:rPr>
              <w:t>M</w:t>
            </w:r>
            <w:r>
              <w:rPr>
                <w:rFonts w:ascii="Arial" w:hAnsi="Arial" w:cs="Arial" w:hint="eastAsia"/>
                <w:color w:val="000000"/>
                <w:kern w:val="0"/>
                <w:sz w:val="18"/>
                <w:szCs w:val="18"/>
              </w:rPr>
              <w:t>＜</w:t>
            </w:r>
            <w:r>
              <w:rPr>
                <w:rFonts w:ascii="Arial" w:hAnsi="Arial" w:cs="Arial" w:hint="eastAsia"/>
                <w:color w:val="000000"/>
                <w:kern w:val="0"/>
                <w:sz w:val="18"/>
                <w:szCs w:val="18"/>
              </w:rPr>
              <w:t>5</w:t>
            </w:r>
            <w:r>
              <w:rPr>
                <w:rFonts w:ascii="Arial" w:hAnsi="Arial" w:cs="Arial"/>
                <w:color w:val="000000"/>
                <w:kern w:val="0"/>
                <w:sz w:val="18"/>
                <w:szCs w:val="18"/>
              </w:rPr>
              <w:t>00</w:t>
            </w:r>
            <w:r>
              <w:rPr>
                <w:rFonts w:ascii="Arial" w:hAnsi="Arial" w:cs="Arial" w:hint="eastAsia"/>
                <w:color w:val="000000"/>
                <w:kern w:val="0"/>
                <w:sz w:val="18"/>
                <w:szCs w:val="18"/>
              </w:rPr>
              <w:t>万元</w:t>
            </w:r>
          </w:p>
        </w:tc>
        <w:tc>
          <w:tcPr>
            <w:tcW w:w="2089" w:type="dxa"/>
            <w:vAlign w:val="center"/>
          </w:tcPr>
          <w:p w:rsidR="00574CA4" w:rsidRDefault="006E4BF4">
            <w:pPr>
              <w:widowControl/>
              <w:jc w:val="center"/>
              <w:rPr>
                <w:rFonts w:ascii="Arial" w:hAnsi="Arial" w:cs="Arial"/>
                <w:color w:val="000000"/>
                <w:kern w:val="0"/>
                <w:sz w:val="18"/>
                <w:szCs w:val="18"/>
              </w:rPr>
            </w:pPr>
            <w:r>
              <w:rPr>
                <w:rFonts w:ascii="Arial" w:hAnsi="Arial" w:cs="Arial"/>
                <w:color w:val="000000"/>
                <w:kern w:val="0"/>
                <w:sz w:val="18"/>
                <w:szCs w:val="18"/>
              </w:rPr>
              <w:t>0.</w:t>
            </w:r>
            <w:r>
              <w:rPr>
                <w:rFonts w:ascii="Arial" w:hAnsi="Arial" w:cs="Arial" w:hint="eastAsia"/>
                <w:color w:val="000000"/>
                <w:kern w:val="0"/>
                <w:sz w:val="18"/>
                <w:szCs w:val="18"/>
              </w:rPr>
              <w:t>30</w:t>
            </w:r>
            <w:r>
              <w:rPr>
                <w:rFonts w:ascii="Arial" w:hAnsi="Arial" w:cs="Arial"/>
                <w:color w:val="000000"/>
                <w:kern w:val="0"/>
                <w:sz w:val="18"/>
                <w:szCs w:val="18"/>
              </w:rPr>
              <w:t>%</w:t>
            </w:r>
          </w:p>
        </w:tc>
        <w:tc>
          <w:tcPr>
            <w:tcW w:w="2066" w:type="dxa"/>
            <w:vMerge/>
          </w:tcPr>
          <w:p w:rsidR="00574CA4" w:rsidRDefault="00574CA4">
            <w:pPr>
              <w:spacing w:line="360" w:lineRule="auto"/>
              <w:jc w:val="center"/>
              <w:rPr>
                <w:rFonts w:ascii="Arial" w:hAnsi="Arial" w:cs="Arial"/>
                <w:kern w:val="0"/>
                <w:sz w:val="18"/>
                <w:szCs w:val="18"/>
              </w:rPr>
            </w:pPr>
          </w:p>
        </w:tc>
      </w:tr>
      <w:tr w:rsidR="00574CA4">
        <w:trPr>
          <w:trHeight w:val="215"/>
          <w:jc w:val="center"/>
        </w:trPr>
        <w:tc>
          <w:tcPr>
            <w:tcW w:w="1195" w:type="dxa"/>
            <w:vMerge/>
            <w:vAlign w:val="center"/>
          </w:tcPr>
          <w:p w:rsidR="00574CA4" w:rsidRDefault="00574CA4">
            <w:pPr>
              <w:widowControl/>
              <w:spacing w:line="360" w:lineRule="auto"/>
              <w:jc w:val="center"/>
              <w:rPr>
                <w:rFonts w:ascii="Arial" w:hAnsi="Arial" w:cs="Arial"/>
                <w:color w:val="000000"/>
                <w:kern w:val="0"/>
                <w:sz w:val="18"/>
                <w:szCs w:val="18"/>
              </w:rPr>
            </w:pPr>
          </w:p>
        </w:tc>
        <w:tc>
          <w:tcPr>
            <w:tcW w:w="2226" w:type="dxa"/>
            <w:vAlign w:val="center"/>
          </w:tcPr>
          <w:p w:rsidR="00574CA4" w:rsidRDefault="006E4BF4">
            <w:pPr>
              <w:spacing w:line="360" w:lineRule="auto"/>
              <w:jc w:val="center"/>
              <w:rPr>
                <w:rFonts w:ascii="Arial" w:hAnsi="Arial" w:cs="Arial"/>
                <w:color w:val="000000"/>
                <w:kern w:val="0"/>
                <w:sz w:val="18"/>
                <w:szCs w:val="18"/>
              </w:rPr>
            </w:pPr>
            <w:r>
              <w:rPr>
                <w:rFonts w:ascii="Arial" w:hAnsi="Arial" w:cs="Arial"/>
                <w:color w:val="000000"/>
                <w:kern w:val="0"/>
                <w:sz w:val="18"/>
                <w:szCs w:val="18"/>
              </w:rPr>
              <w:t>M</w:t>
            </w:r>
            <w:r>
              <w:rPr>
                <w:rFonts w:ascii="Arial" w:hAnsi="Arial" w:cs="Arial" w:hint="eastAsia"/>
                <w:color w:val="000000"/>
                <w:kern w:val="0"/>
                <w:sz w:val="18"/>
                <w:szCs w:val="18"/>
              </w:rPr>
              <w:t>≥</w:t>
            </w:r>
            <w:r>
              <w:rPr>
                <w:rFonts w:ascii="Arial" w:hAnsi="Arial" w:cs="Arial" w:hint="eastAsia"/>
                <w:color w:val="000000"/>
                <w:kern w:val="0"/>
                <w:sz w:val="18"/>
                <w:szCs w:val="18"/>
              </w:rPr>
              <w:t>5</w:t>
            </w:r>
            <w:r>
              <w:rPr>
                <w:rFonts w:ascii="Arial" w:hAnsi="Arial" w:cs="Arial"/>
                <w:color w:val="000000"/>
                <w:kern w:val="0"/>
                <w:sz w:val="18"/>
                <w:szCs w:val="18"/>
              </w:rPr>
              <w:t>00</w:t>
            </w:r>
            <w:r>
              <w:rPr>
                <w:rFonts w:ascii="Arial" w:hAnsi="Arial" w:cs="Arial" w:hint="eastAsia"/>
                <w:color w:val="000000"/>
                <w:kern w:val="0"/>
                <w:sz w:val="18"/>
                <w:szCs w:val="18"/>
              </w:rPr>
              <w:t>万元</w:t>
            </w:r>
          </w:p>
        </w:tc>
        <w:tc>
          <w:tcPr>
            <w:tcW w:w="2089" w:type="dxa"/>
            <w:vAlign w:val="center"/>
          </w:tcPr>
          <w:p w:rsidR="00574CA4" w:rsidRDefault="006E4BF4">
            <w:pPr>
              <w:widowControl/>
              <w:jc w:val="center"/>
              <w:rPr>
                <w:rFonts w:ascii="Arial" w:hAnsi="Arial" w:cs="Arial"/>
                <w:color w:val="000000"/>
                <w:kern w:val="0"/>
                <w:sz w:val="18"/>
                <w:szCs w:val="18"/>
              </w:rPr>
            </w:pPr>
            <w:r>
              <w:rPr>
                <w:rFonts w:ascii="Arial" w:hAnsi="Arial" w:cs="Arial"/>
                <w:color w:val="000000"/>
                <w:kern w:val="0"/>
                <w:sz w:val="18"/>
                <w:szCs w:val="18"/>
              </w:rPr>
              <w:t>按笔收取，</w:t>
            </w:r>
            <w:r>
              <w:rPr>
                <w:rFonts w:ascii="Arial" w:hAnsi="Arial" w:cs="Arial"/>
                <w:color w:val="000000"/>
                <w:kern w:val="0"/>
                <w:sz w:val="18"/>
                <w:szCs w:val="18"/>
              </w:rPr>
              <w:t>1000</w:t>
            </w:r>
            <w:r>
              <w:rPr>
                <w:rFonts w:ascii="Arial" w:hAnsi="Arial" w:cs="Arial"/>
                <w:color w:val="000000"/>
                <w:kern w:val="0"/>
                <w:sz w:val="18"/>
                <w:szCs w:val="18"/>
              </w:rPr>
              <w:t>元</w:t>
            </w:r>
            <w:r>
              <w:rPr>
                <w:rFonts w:ascii="Arial" w:hAnsi="Arial" w:cs="Arial"/>
                <w:color w:val="000000"/>
                <w:kern w:val="0"/>
                <w:sz w:val="18"/>
                <w:szCs w:val="18"/>
              </w:rPr>
              <w:t>/</w:t>
            </w:r>
            <w:r>
              <w:rPr>
                <w:rFonts w:ascii="Arial" w:hAnsi="Arial" w:cs="Arial"/>
                <w:color w:val="000000"/>
                <w:kern w:val="0"/>
                <w:sz w:val="18"/>
                <w:szCs w:val="18"/>
              </w:rPr>
              <w:t>笔</w:t>
            </w:r>
          </w:p>
        </w:tc>
        <w:tc>
          <w:tcPr>
            <w:tcW w:w="2066" w:type="dxa"/>
            <w:vMerge/>
          </w:tcPr>
          <w:p w:rsidR="00574CA4" w:rsidRDefault="00574CA4">
            <w:pPr>
              <w:spacing w:line="360" w:lineRule="auto"/>
              <w:jc w:val="center"/>
              <w:rPr>
                <w:rFonts w:ascii="Arial" w:hAnsi="Arial" w:cs="Arial"/>
                <w:kern w:val="0"/>
                <w:sz w:val="18"/>
                <w:szCs w:val="18"/>
              </w:rPr>
            </w:pPr>
          </w:p>
        </w:tc>
      </w:tr>
    </w:tbl>
    <w:p w:rsidR="00574CA4" w:rsidRDefault="00574CA4">
      <w:pPr>
        <w:pStyle w:val="a0"/>
        <w:rPr>
          <w:rFonts w:ascii="Arial" w:hAnsi="Arial" w:cs="Arial"/>
        </w:rPr>
      </w:pP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bCs/>
          <w:szCs w:val="21"/>
        </w:rPr>
        <w:t>基金认购费用不列入基金财产，主要用于基金的市场推广、销售、登记等募集期间发生的各项费用。</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投资者在认购期之内多次认购的，需按单一交易账户认购期累计认购金额对应的费率计算认购费用。</w:t>
      </w:r>
    </w:p>
    <w:p w:rsidR="00574CA4" w:rsidRDefault="006E4BF4">
      <w:pPr>
        <w:autoSpaceDE w:val="0"/>
        <w:autoSpaceDN w:val="0"/>
        <w:adjustRightInd w:val="0"/>
        <w:snapToGrid w:val="0"/>
        <w:spacing w:line="360" w:lineRule="auto"/>
        <w:ind w:firstLineChars="200" w:firstLine="420"/>
        <w:rPr>
          <w:rFonts w:ascii="Arial" w:hAnsi="Arial" w:cs="Arial"/>
          <w:szCs w:val="21"/>
        </w:rPr>
      </w:pPr>
      <w:r>
        <w:rPr>
          <w:rFonts w:ascii="Arial" w:hAnsi="Arial" w:cs="Arial"/>
          <w:szCs w:val="21"/>
        </w:rPr>
        <w:t>4</w:t>
      </w:r>
      <w:r>
        <w:rPr>
          <w:rFonts w:ascii="Arial" w:hAnsi="Arial" w:cs="Arial"/>
          <w:szCs w:val="21"/>
        </w:rPr>
        <w:t>、认购份额的计算</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w:t>
      </w:r>
      <w:r>
        <w:rPr>
          <w:rFonts w:ascii="Arial" w:hAnsi="Arial" w:cs="Arial" w:hint="eastAsia"/>
          <w:bCs/>
          <w:szCs w:val="21"/>
        </w:rPr>
        <w:t>）本基金</w:t>
      </w:r>
      <w:r>
        <w:rPr>
          <w:rFonts w:ascii="Arial" w:hAnsi="Arial" w:cs="Arial" w:hint="eastAsia"/>
          <w:bCs/>
          <w:szCs w:val="21"/>
        </w:rPr>
        <w:t xml:space="preserve"> </w:t>
      </w:r>
      <w:r>
        <w:rPr>
          <w:rFonts w:ascii="Arial" w:hAnsi="Arial" w:cs="Arial" w:hint="eastAsia"/>
          <w:bCs/>
          <w:szCs w:val="21"/>
        </w:rPr>
        <w:t xml:space="preserve">A </w:t>
      </w:r>
      <w:r>
        <w:rPr>
          <w:rFonts w:ascii="Arial" w:hAnsi="Arial" w:cs="Arial" w:hint="eastAsia"/>
          <w:bCs/>
          <w:szCs w:val="21"/>
        </w:rPr>
        <w:t>类基金份额的认购份额的计算公式为：</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）认购费用适用比例费率的情形下：</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bCs/>
          <w:szCs w:val="21"/>
        </w:rPr>
        <w:t>净认购金额＝认购金额</w:t>
      </w:r>
      <w:r>
        <w:rPr>
          <w:rFonts w:ascii="Arial" w:hAnsi="Arial" w:cs="Arial"/>
          <w:bCs/>
          <w:szCs w:val="21"/>
        </w:rPr>
        <w:t>/</w:t>
      </w:r>
      <w:r>
        <w:rPr>
          <w:rFonts w:ascii="Arial" w:hAnsi="Arial" w:cs="Arial"/>
          <w:bCs/>
          <w:szCs w:val="21"/>
        </w:rPr>
        <w:t>（</w:t>
      </w:r>
      <w:r>
        <w:rPr>
          <w:rFonts w:ascii="Arial" w:hAnsi="Arial" w:cs="Arial"/>
          <w:bCs/>
          <w:szCs w:val="21"/>
        </w:rPr>
        <w:t>1+</w:t>
      </w:r>
      <w:r>
        <w:rPr>
          <w:rFonts w:ascii="Arial" w:hAnsi="Arial" w:cs="Arial"/>
          <w:bCs/>
          <w:szCs w:val="21"/>
        </w:rPr>
        <w:t>认购费率）</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bCs/>
          <w:szCs w:val="21"/>
        </w:rPr>
        <w:t>认购费用＝认购金额</w:t>
      </w:r>
      <w:r>
        <w:rPr>
          <w:rFonts w:ascii="Arial" w:hAnsi="Arial" w:cs="Arial"/>
          <w:bCs/>
          <w:szCs w:val="21"/>
        </w:rPr>
        <w:t>-</w:t>
      </w:r>
      <w:r>
        <w:rPr>
          <w:rFonts w:ascii="Arial" w:hAnsi="Arial" w:cs="Arial"/>
          <w:bCs/>
          <w:szCs w:val="21"/>
        </w:rPr>
        <w:t>净认购金额</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bCs/>
          <w:szCs w:val="21"/>
        </w:rPr>
        <w:t>认购份额＝（净认购金额</w:t>
      </w:r>
      <w:r>
        <w:rPr>
          <w:rFonts w:ascii="Arial" w:hAnsi="Arial" w:cs="Arial"/>
          <w:bCs/>
          <w:szCs w:val="21"/>
        </w:rPr>
        <w:t>+</w:t>
      </w:r>
      <w:r>
        <w:rPr>
          <w:rFonts w:ascii="Arial" w:hAnsi="Arial" w:cs="Arial"/>
          <w:bCs/>
          <w:szCs w:val="21"/>
        </w:rPr>
        <w:t>认购期间利息）</w:t>
      </w:r>
      <w:r>
        <w:rPr>
          <w:rFonts w:ascii="Arial" w:hAnsi="Arial" w:cs="Arial"/>
          <w:bCs/>
          <w:szCs w:val="21"/>
        </w:rPr>
        <w:t>/</w:t>
      </w:r>
      <w:r>
        <w:rPr>
          <w:rFonts w:ascii="Arial" w:hAnsi="Arial" w:cs="Arial"/>
          <w:bCs/>
          <w:szCs w:val="21"/>
        </w:rPr>
        <w:t>基金份额</w:t>
      </w:r>
      <w:r>
        <w:rPr>
          <w:rFonts w:ascii="Arial" w:hAnsi="Arial" w:cs="Arial" w:hint="eastAsia"/>
          <w:bCs/>
          <w:szCs w:val="21"/>
        </w:rPr>
        <w:t>发售</w:t>
      </w:r>
      <w:r>
        <w:rPr>
          <w:rFonts w:ascii="Arial" w:hAnsi="Arial" w:cs="Arial"/>
          <w:bCs/>
          <w:szCs w:val="21"/>
        </w:rPr>
        <w:t>面值</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）认购费用适用固定金额的情形下：</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认购费用＝固定金额</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净认购金额＝认购金额</w:t>
      </w:r>
      <w:r>
        <w:rPr>
          <w:rFonts w:ascii="Arial" w:hAnsi="Arial" w:cs="Arial" w:hint="eastAsia"/>
          <w:bCs/>
          <w:szCs w:val="21"/>
        </w:rPr>
        <w:t>-</w:t>
      </w:r>
      <w:r>
        <w:rPr>
          <w:rFonts w:ascii="Arial" w:hAnsi="Arial" w:cs="Arial" w:hint="eastAsia"/>
          <w:bCs/>
          <w:szCs w:val="21"/>
        </w:rPr>
        <w:t>认购费用</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认购份额＝（净认购金额＋认购期间利息）</w:t>
      </w:r>
      <w:r>
        <w:rPr>
          <w:rFonts w:ascii="Arial" w:hAnsi="Arial" w:cs="Arial" w:hint="eastAsia"/>
          <w:bCs/>
          <w:szCs w:val="21"/>
        </w:rPr>
        <w:t>/</w:t>
      </w:r>
      <w:r>
        <w:rPr>
          <w:rFonts w:ascii="Arial" w:hAnsi="Arial" w:cs="Arial" w:hint="eastAsia"/>
          <w:bCs/>
          <w:szCs w:val="21"/>
        </w:rPr>
        <w:t>基金份额发售面值</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认购份额的计算保留到小数点后</w:t>
      </w:r>
      <w:r>
        <w:rPr>
          <w:rFonts w:ascii="Arial" w:hAnsi="Arial" w:cs="Arial" w:hint="eastAsia"/>
          <w:bCs/>
          <w:szCs w:val="21"/>
        </w:rPr>
        <w:t>2</w:t>
      </w:r>
      <w:r>
        <w:rPr>
          <w:rFonts w:ascii="Arial" w:hAnsi="Arial" w:cs="Arial" w:hint="eastAsia"/>
          <w:bCs/>
          <w:szCs w:val="21"/>
        </w:rPr>
        <w:t>位，小数点</w:t>
      </w:r>
      <w:r>
        <w:rPr>
          <w:rFonts w:ascii="Arial" w:hAnsi="Arial" w:cs="Arial" w:hint="eastAsia"/>
          <w:bCs/>
          <w:szCs w:val="21"/>
        </w:rPr>
        <w:t>2</w:t>
      </w:r>
      <w:r>
        <w:rPr>
          <w:rFonts w:ascii="Arial" w:hAnsi="Arial" w:cs="Arial" w:hint="eastAsia"/>
          <w:bCs/>
          <w:szCs w:val="21"/>
        </w:rPr>
        <w:t>位以后的部分四舍五入，由此误差产生的收益或损失由基金财产承担。</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2</w:t>
      </w:r>
      <w:r>
        <w:rPr>
          <w:rFonts w:ascii="Arial" w:hAnsi="Arial" w:cs="Arial" w:hint="eastAsia"/>
          <w:bCs/>
          <w:szCs w:val="21"/>
        </w:rPr>
        <w:t>）本基金</w:t>
      </w:r>
      <w:r>
        <w:rPr>
          <w:rFonts w:ascii="Arial" w:hAnsi="Arial" w:cs="Arial" w:hint="eastAsia"/>
          <w:bCs/>
          <w:szCs w:val="21"/>
        </w:rPr>
        <w:t xml:space="preserve"> C </w:t>
      </w:r>
      <w:r>
        <w:rPr>
          <w:rFonts w:ascii="Arial" w:hAnsi="Arial" w:cs="Arial" w:hint="eastAsia"/>
          <w:bCs/>
          <w:szCs w:val="21"/>
        </w:rPr>
        <w:t>类基金份额的认购份额的计算公式为：</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认购份额</w:t>
      </w:r>
      <w:r>
        <w:rPr>
          <w:rFonts w:ascii="Arial" w:hAnsi="Arial" w:cs="Arial" w:hint="eastAsia"/>
          <w:bCs/>
          <w:szCs w:val="21"/>
        </w:rPr>
        <w:t>=</w:t>
      </w:r>
      <w:r>
        <w:rPr>
          <w:rFonts w:ascii="Arial" w:hAnsi="Arial" w:cs="Arial" w:hint="eastAsia"/>
          <w:bCs/>
          <w:szCs w:val="21"/>
        </w:rPr>
        <w:t>（认购金额＋认购期间利息）</w:t>
      </w:r>
      <w:r>
        <w:rPr>
          <w:rFonts w:ascii="Arial" w:hAnsi="Arial" w:cs="Arial" w:hint="eastAsia"/>
          <w:bCs/>
          <w:szCs w:val="21"/>
        </w:rPr>
        <w:t>/</w:t>
      </w:r>
      <w:r>
        <w:rPr>
          <w:rFonts w:ascii="Arial" w:hAnsi="Arial" w:cs="Arial" w:hint="eastAsia"/>
          <w:bCs/>
          <w:szCs w:val="21"/>
        </w:rPr>
        <w:t>基金份额发售面值</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认购份额的计算保留到小数点后</w:t>
      </w:r>
      <w:r>
        <w:rPr>
          <w:rFonts w:ascii="Arial" w:hAnsi="Arial" w:cs="Arial" w:hint="eastAsia"/>
          <w:bCs/>
          <w:szCs w:val="21"/>
        </w:rPr>
        <w:t>2</w:t>
      </w:r>
      <w:r>
        <w:rPr>
          <w:rFonts w:ascii="Arial" w:hAnsi="Arial" w:cs="Arial" w:hint="eastAsia"/>
          <w:bCs/>
          <w:szCs w:val="21"/>
        </w:rPr>
        <w:t>位，小数点</w:t>
      </w:r>
      <w:r>
        <w:rPr>
          <w:rFonts w:ascii="Arial" w:hAnsi="Arial" w:cs="Arial" w:hint="eastAsia"/>
          <w:bCs/>
          <w:szCs w:val="21"/>
        </w:rPr>
        <w:t>2</w:t>
      </w:r>
      <w:r>
        <w:rPr>
          <w:rFonts w:ascii="Arial" w:hAnsi="Arial" w:cs="Arial" w:hint="eastAsia"/>
          <w:bCs/>
          <w:szCs w:val="21"/>
        </w:rPr>
        <w:t>位以后的部分四舍五入，由此误差产生的收益或损失由基金财产承担。</w:t>
      </w:r>
    </w:p>
    <w:p w:rsidR="00574CA4" w:rsidRDefault="006E4BF4">
      <w:pPr>
        <w:adjustRightInd w:val="0"/>
        <w:snapToGrid w:val="0"/>
        <w:spacing w:line="360" w:lineRule="auto"/>
        <w:ind w:firstLineChars="200" w:firstLine="420"/>
        <w:rPr>
          <w:rFonts w:ascii="Arial" w:hAnsi="Arial" w:cs="Arial"/>
          <w:bCs/>
          <w:szCs w:val="21"/>
        </w:rPr>
      </w:pPr>
      <w:bookmarkStart w:id="7" w:name="_Toc382228386"/>
      <w:r>
        <w:rPr>
          <w:rFonts w:hint="eastAsia"/>
          <w:szCs w:val="20"/>
        </w:rPr>
        <w:t>5</w:t>
      </w:r>
      <w:r>
        <w:rPr>
          <w:rFonts w:hint="eastAsia"/>
          <w:szCs w:val="20"/>
        </w:rPr>
        <w:t>、</w:t>
      </w:r>
      <w:r>
        <w:rPr>
          <w:rFonts w:ascii="Arial" w:hAnsi="Arial" w:cs="Arial"/>
          <w:bCs/>
          <w:szCs w:val="21"/>
        </w:rPr>
        <w:t>计算举例</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例</w:t>
      </w:r>
      <w:r>
        <w:rPr>
          <w:rFonts w:ascii="Arial" w:hAnsi="Arial" w:cs="Arial" w:hint="eastAsia"/>
          <w:bCs/>
          <w:szCs w:val="21"/>
        </w:rPr>
        <w:t>1</w:t>
      </w:r>
      <w:r>
        <w:rPr>
          <w:rFonts w:ascii="Arial" w:hAnsi="Arial" w:cs="Arial" w:hint="eastAsia"/>
          <w:bCs/>
          <w:szCs w:val="21"/>
        </w:rPr>
        <w:t>：某普通投资者投资</w:t>
      </w:r>
      <w:r>
        <w:rPr>
          <w:rFonts w:ascii="Arial" w:hAnsi="Arial" w:cs="Arial" w:hint="eastAsia"/>
          <w:bCs/>
          <w:szCs w:val="21"/>
        </w:rPr>
        <w:t>100,000</w:t>
      </w:r>
      <w:r>
        <w:rPr>
          <w:rFonts w:ascii="Arial" w:hAnsi="Arial" w:cs="Arial" w:hint="eastAsia"/>
          <w:bCs/>
          <w:szCs w:val="21"/>
        </w:rPr>
        <w:t>元认购本基金</w:t>
      </w:r>
      <w:r>
        <w:rPr>
          <w:rFonts w:ascii="Arial" w:hAnsi="Arial" w:cs="Arial" w:hint="eastAsia"/>
          <w:bCs/>
          <w:szCs w:val="21"/>
        </w:rPr>
        <w:t>A</w:t>
      </w:r>
      <w:r>
        <w:rPr>
          <w:rFonts w:ascii="Arial" w:hAnsi="Arial" w:cs="Arial" w:hint="eastAsia"/>
          <w:bCs/>
          <w:szCs w:val="21"/>
        </w:rPr>
        <w:t>类基金份额，如果认购期内认购资金获得的利息为</w:t>
      </w:r>
      <w:r>
        <w:rPr>
          <w:rFonts w:ascii="Arial" w:hAnsi="Arial" w:cs="Arial" w:hint="eastAsia"/>
          <w:bCs/>
          <w:szCs w:val="21"/>
        </w:rPr>
        <w:t>50</w:t>
      </w:r>
      <w:r>
        <w:rPr>
          <w:rFonts w:ascii="Arial" w:hAnsi="Arial" w:cs="Arial" w:hint="eastAsia"/>
          <w:bCs/>
          <w:szCs w:val="21"/>
        </w:rPr>
        <w:t>元，则其可得到的基金份额计算如下：</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净认购金额</w:t>
      </w:r>
      <w:r>
        <w:rPr>
          <w:rFonts w:ascii="Arial" w:hAnsi="Arial" w:cs="Arial" w:hint="eastAsia"/>
          <w:bCs/>
          <w:szCs w:val="21"/>
        </w:rPr>
        <w:t>=100,000/</w:t>
      </w:r>
      <w:r>
        <w:rPr>
          <w:rFonts w:ascii="Arial" w:hAnsi="Arial" w:cs="Arial" w:hint="eastAsia"/>
          <w:bCs/>
          <w:szCs w:val="21"/>
        </w:rPr>
        <w:t>（</w:t>
      </w:r>
      <w:r>
        <w:rPr>
          <w:rFonts w:ascii="Arial" w:hAnsi="Arial" w:cs="Arial" w:hint="eastAsia"/>
          <w:bCs/>
          <w:szCs w:val="21"/>
        </w:rPr>
        <w:t>1+1.00%</w:t>
      </w:r>
      <w:r>
        <w:rPr>
          <w:rFonts w:ascii="Arial" w:hAnsi="Arial" w:cs="Arial" w:hint="eastAsia"/>
          <w:bCs/>
          <w:szCs w:val="21"/>
        </w:rPr>
        <w:t>）</w:t>
      </w:r>
      <w:r>
        <w:rPr>
          <w:rFonts w:ascii="Arial" w:hAnsi="Arial" w:cs="Arial" w:hint="eastAsia"/>
          <w:bCs/>
          <w:szCs w:val="21"/>
        </w:rPr>
        <w:t>= 99,009.90</w:t>
      </w:r>
      <w:r>
        <w:rPr>
          <w:rFonts w:ascii="Arial" w:hAnsi="Arial" w:cs="Arial" w:hint="eastAsia"/>
          <w:bCs/>
          <w:szCs w:val="21"/>
        </w:rPr>
        <w:t>元</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认购费用</w:t>
      </w:r>
      <w:r>
        <w:rPr>
          <w:rFonts w:ascii="Arial" w:hAnsi="Arial" w:cs="Arial" w:hint="eastAsia"/>
          <w:bCs/>
          <w:szCs w:val="21"/>
        </w:rPr>
        <w:t>=100,000</w:t>
      </w:r>
      <w:r>
        <w:rPr>
          <w:rFonts w:ascii="Arial" w:hAnsi="Arial" w:cs="Arial" w:hint="eastAsia"/>
          <w:bCs/>
          <w:szCs w:val="21"/>
        </w:rPr>
        <w:t>－</w:t>
      </w:r>
      <w:r>
        <w:rPr>
          <w:rFonts w:ascii="Arial" w:hAnsi="Arial" w:cs="Arial" w:hint="eastAsia"/>
          <w:bCs/>
          <w:szCs w:val="21"/>
        </w:rPr>
        <w:t>99,009.90=990.10</w:t>
      </w:r>
      <w:r>
        <w:rPr>
          <w:rFonts w:ascii="Arial" w:hAnsi="Arial" w:cs="Arial" w:hint="eastAsia"/>
          <w:bCs/>
          <w:szCs w:val="21"/>
        </w:rPr>
        <w:t>元</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认购份额</w:t>
      </w:r>
      <w:r>
        <w:rPr>
          <w:rFonts w:ascii="Arial" w:hAnsi="Arial" w:cs="Arial" w:hint="eastAsia"/>
          <w:bCs/>
          <w:szCs w:val="21"/>
        </w:rPr>
        <w:t>=</w:t>
      </w:r>
      <w:r>
        <w:rPr>
          <w:rFonts w:ascii="Arial" w:hAnsi="Arial" w:cs="Arial" w:hint="eastAsia"/>
          <w:bCs/>
          <w:szCs w:val="21"/>
        </w:rPr>
        <w:t>（</w:t>
      </w:r>
      <w:r>
        <w:rPr>
          <w:rFonts w:ascii="Arial" w:hAnsi="Arial" w:cs="Arial" w:hint="eastAsia"/>
          <w:bCs/>
          <w:szCs w:val="21"/>
        </w:rPr>
        <w:t>99,009.90+50</w:t>
      </w:r>
      <w:r>
        <w:rPr>
          <w:rFonts w:ascii="Arial" w:hAnsi="Arial" w:cs="Arial" w:hint="eastAsia"/>
          <w:bCs/>
          <w:szCs w:val="21"/>
        </w:rPr>
        <w:t>）</w:t>
      </w:r>
      <w:r>
        <w:rPr>
          <w:rFonts w:ascii="Arial" w:hAnsi="Arial" w:cs="Arial" w:hint="eastAsia"/>
          <w:bCs/>
          <w:szCs w:val="21"/>
        </w:rPr>
        <w:t>/1.00= 99,059.9</w:t>
      </w:r>
      <w:r>
        <w:rPr>
          <w:rFonts w:ascii="Arial" w:hAnsi="Arial" w:cs="Arial" w:hint="eastAsia"/>
          <w:bCs/>
          <w:szCs w:val="21"/>
        </w:rPr>
        <w:t>0</w:t>
      </w:r>
      <w:r>
        <w:rPr>
          <w:rFonts w:ascii="Arial" w:hAnsi="Arial" w:cs="Arial" w:hint="eastAsia"/>
          <w:bCs/>
          <w:szCs w:val="21"/>
        </w:rPr>
        <w:t>份</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即普通投资者投资</w:t>
      </w:r>
      <w:r>
        <w:rPr>
          <w:rFonts w:ascii="Arial" w:hAnsi="Arial" w:cs="Arial" w:hint="eastAsia"/>
          <w:bCs/>
          <w:szCs w:val="21"/>
        </w:rPr>
        <w:t>100,000</w:t>
      </w:r>
      <w:r>
        <w:rPr>
          <w:rFonts w:ascii="Arial" w:hAnsi="Arial" w:cs="Arial" w:hint="eastAsia"/>
          <w:bCs/>
          <w:szCs w:val="21"/>
        </w:rPr>
        <w:t>元认购本基金</w:t>
      </w:r>
      <w:r>
        <w:rPr>
          <w:rFonts w:ascii="Arial" w:hAnsi="Arial" w:cs="Arial" w:hint="eastAsia"/>
          <w:bCs/>
          <w:szCs w:val="21"/>
        </w:rPr>
        <w:t>A</w:t>
      </w:r>
      <w:r>
        <w:rPr>
          <w:rFonts w:ascii="Arial" w:hAnsi="Arial" w:cs="Arial" w:hint="eastAsia"/>
          <w:bCs/>
          <w:szCs w:val="21"/>
        </w:rPr>
        <w:t>类基金份额，加上认购资金在认购期内获得的利息，可得到</w:t>
      </w:r>
      <w:r>
        <w:rPr>
          <w:rFonts w:ascii="Arial" w:hAnsi="Arial" w:cs="Arial" w:hint="eastAsia"/>
          <w:bCs/>
          <w:szCs w:val="21"/>
        </w:rPr>
        <w:t>99,059.90</w:t>
      </w:r>
      <w:r>
        <w:rPr>
          <w:rFonts w:ascii="Arial" w:hAnsi="Arial" w:cs="Arial" w:hint="eastAsia"/>
          <w:bCs/>
          <w:szCs w:val="21"/>
        </w:rPr>
        <w:t>份</w:t>
      </w:r>
      <w:r>
        <w:rPr>
          <w:rFonts w:ascii="Arial" w:hAnsi="Arial" w:cs="Arial" w:hint="eastAsia"/>
          <w:bCs/>
          <w:szCs w:val="21"/>
        </w:rPr>
        <w:t>A</w:t>
      </w:r>
      <w:r>
        <w:rPr>
          <w:rFonts w:ascii="Arial" w:hAnsi="Arial" w:cs="Arial" w:hint="eastAsia"/>
          <w:bCs/>
          <w:szCs w:val="21"/>
        </w:rPr>
        <w:t>类基金份额。</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例</w:t>
      </w:r>
      <w:r>
        <w:rPr>
          <w:rFonts w:ascii="Arial" w:hAnsi="Arial" w:cs="Arial" w:hint="eastAsia"/>
          <w:bCs/>
          <w:szCs w:val="21"/>
        </w:rPr>
        <w:t>2</w:t>
      </w:r>
      <w:r>
        <w:rPr>
          <w:rFonts w:ascii="Arial" w:hAnsi="Arial" w:cs="Arial" w:hint="eastAsia"/>
          <w:bCs/>
          <w:szCs w:val="21"/>
        </w:rPr>
        <w:t>：某投资者投资</w:t>
      </w:r>
      <w:r>
        <w:rPr>
          <w:rFonts w:ascii="Arial" w:hAnsi="Arial" w:cs="Arial" w:hint="eastAsia"/>
          <w:bCs/>
          <w:szCs w:val="21"/>
        </w:rPr>
        <w:t>10,000</w:t>
      </w:r>
      <w:r>
        <w:rPr>
          <w:rFonts w:ascii="Arial" w:hAnsi="Arial" w:cs="Arial" w:hint="eastAsia"/>
          <w:bCs/>
          <w:szCs w:val="21"/>
        </w:rPr>
        <w:t>元认购本基金</w:t>
      </w:r>
      <w:r>
        <w:rPr>
          <w:rFonts w:ascii="Arial" w:hAnsi="Arial" w:cs="Arial" w:hint="eastAsia"/>
          <w:bCs/>
          <w:szCs w:val="21"/>
        </w:rPr>
        <w:t>C</w:t>
      </w:r>
      <w:r>
        <w:rPr>
          <w:rFonts w:ascii="Arial" w:hAnsi="Arial" w:cs="Arial" w:hint="eastAsia"/>
          <w:bCs/>
          <w:szCs w:val="21"/>
        </w:rPr>
        <w:t>类基金份额，该笔认购产生利息</w:t>
      </w:r>
      <w:r>
        <w:rPr>
          <w:rFonts w:ascii="Arial" w:hAnsi="Arial" w:cs="Arial" w:hint="eastAsia"/>
          <w:bCs/>
          <w:szCs w:val="21"/>
        </w:rPr>
        <w:t>5</w:t>
      </w:r>
      <w:r>
        <w:rPr>
          <w:rFonts w:ascii="Arial" w:hAnsi="Arial" w:cs="Arial" w:hint="eastAsia"/>
          <w:bCs/>
          <w:szCs w:val="21"/>
        </w:rPr>
        <w:t>元。则其可得到的认购份额为：</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认购份额</w:t>
      </w:r>
      <w:r>
        <w:rPr>
          <w:rFonts w:ascii="Arial" w:hAnsi="Arial" w:cs="Arial" w:hint="eastAsia"/>
          <w:bCs/>
          <w:szCs w:val="21"/>
        </w:rPr>
        <w:t>=</w:t>
      </w:r>
      <w:r>
        <w:rPr>
          <w:rFonts w:ascii="Arial" w:hAnsi="Arial" w:cs="Arial" w:hint="eastAsia"/>
          <w:bCs/>
          <w:szCs w:val="21"/>
        </w:rPr>
        <w:t>（</w:t>
      </w:r>
      <w:r>
        <w:rPr>
          <w:rFonts w:ascii="Arial" w:hAnsi="Arial" w:cs="Arial" w:hint="eastAsia"/>
          <w:bCs/>
          <w:szCs w:val="21"/>
        </w:rPr>
        <w:t>10,000</w:t>
      </w:r>
      <w:r>
        <w:rPr>
          <w:rFonts w:ascii="Arial" w:hAnsi="Arial" w:cs="Arial" w:hint="eastAsia"/>
          <w:bCs/>
          <w:szCs w:val="21"/>
        </w:rPr>
        <w:t>＋</w:t>
      </w:r>
      <w:r>
        <w:rPr>
          <w:rFonts w:ascii="Arial" w:hAnsi="Arial" w:cs="Arial" w:hint="eastAsia"/>
          <w:bCs/>
          <w:szCs w:val="21"/>
        </w:rPr>
        <w:t>5</w:t>
      </w:r>
      <w:r>
        <w:rPr>
          <w:rFonts w:ascii="Arial" w:hAnsi="Arial" w:cs="Arial" w:hint="eastAsia"/>
          <w:bCs/>
          <w:szCs w:val="21"/>
        </w:rPr>
        <w:t>）</w:t>
      </w:r>
      <w:r>
        <w:rPr>
          <w:rFonts w:ascii="Arial" w:hAnsi="Arial" w:cs="Arial" w:hint="eastAsia"/>
          <w:bCs/>
          <w:szCs w:val="21"/>
        </w:rPr>
        <w:t>/1.00 = 10,005.00</w:t>
      </w:r>
      <w:r>
        <w:rPr>
          <w:rFonts w:ascii="Arial" w:hAnsi="Arial" w:cs="Arial" w:hint="eastAsia"/>
          <w:bCs/>
          <w:szCs w:val="21"/>
        </w:rPr>
        <w:t>份</w:t>
      </w:r>
    </w:p>
    <w:p w:rsidR="00574CA4" w:rsidRDefault="006E4BF4">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即投资者投资</w:t>
      </w:r>
      <w:r>
        <w:rPr>
          <w:rFonts w:ascii="Arial" w:hAnsi="Arial" w:cs="Arial" w:hint="eastAsia"/>
          <w:bCs/>
          <w:szCs w:val="21"/>
        </w:rPr>
        <w:t>10,000</w:t>
      </w:r>
      <w:r>
        <w:rPr>
          <w:rFonts w:ascii="Arial" w:hAnsi="Arial" w:cs="Arial" w:hint="eastAsia"/>
          <w:bCs/>
          <w:szCs w:val="21"/>
        </w:rPr>
        <w:t>元认购本基金的</w:t>
      </w:r>
      <w:r>
        <w:rPr>
          <w:rFonts w:ascii="Arial" w:hAnsi="Arial" w:cs="Arial" w:hint="eastAsia"/>
          <w:bCs/>
          <w:szCs w:val="21"/>
        </w:rPr>
        <w:t>C</w:t>
      </w:r>
      <w:r>
        <w:rPr>
          <w:rFonts w:ascii="Arial" w:hAnsi="Arial" w:cs="Arial" w:hint="eastAsia"/>
          <w:bCs/>
          <w:szCs w:val="21"/>
        </w:rPr>
        <w:t>类基金份额，加上认购资金在认购期内获得的利息，可得到</w:t>
      </w:r>
      <w:r>
        <w:rPr>
          <w:rFonts w:ascii="Arial" w:hAnsi="Arial" w:cs="Arial" w:hint="eastAsia"/>
          <w:bCs/>
          <w:szCs w:val="21"/>
        </w:rPr>
        <w:t>10,005.00</w:t>
      </w:r>
      <w:r>
        <w:rPr>
          <w:rFonts w:ascii="Arial" w:hAnsi="Arial" w:cs="Arial" w:hint="eastAsia"/>
          <w:bCs/>
          <w:szCs w:val="21"/>
        </w:rPr>
        <w:t>份</w:t>
      </w:r>
      <w:r>
        <w:rPr>
          <w:rFonts w:ascii="Arial" w:hAnsi="Arial" w:cs="Arial" w:hint="eastAsia"/>
          <w:bCs/>
          <w:szCs w:val="21"/>
        </w:rPr>
        <w:t>C</w:t>
      </w:r>
      <w:r>
        <w:rPr>
          <w:rFonts w:ascii="Arial" w:hAnsi="Arial" w:cs="Arial" w:hint="eastAsia"/>
          <w:bCs/>
          <w:szCs w:val="21"/>
        </w:rPr>
        <w:t>类基金份额。</w:t>
      </w:r>
    </w:p>
    <w:p w:rsidR="00574CA4" w:rsidRDefault="006E4BF4">
      <w:pPr>
        <w:widowControl/>
        <w:adjustRightInd w:val="0"/>
        <w:snapToGrid w:val="0"/>
        <w:spacing w:line="360" w:lineRule="auto"/>
        <w:ind w:firstLineChars="200" w:firstLine="420"/>
        <w:jc w:val="left"/>
        <w:rPr>
          <w:b/>
          <w:bCs/>
          <w:sz w:val="24"/>
          <w:szCs w:val="20"/>
        </w:rPr>
      </w:pPr>
      <w:r>
        <w:rPr>
          <w:szCs w:val="20"/>
        </w:rPr>
        <w:br w:type="page"/>
      </w:r>
    </w:p>
    <w:p w:rsidR="00574CA4" w:rsidRDefault="006E4BF4">
      <w:pPr>
        <w:pStyle w:val="3"/>
        <w:numPr>
          <w:ilvl w:val="0"/>
          <w:numId w:val="1"/>
        </w:numPr>
        <w:spacing w:line="360" w:lineRule="auto"/>
        <w:rPr>
          <w:rFonts w:eastAsia="宋体"/>
          <w:szCs w:val="20"/>
        </w:rPr>
      </w:pPr>
      <w:r>
        <w:rPr>
          <w:rFonts w:eastAsia="宋体" w:hint="eastAsia"/>
          <w:szCs w:val="20"/>
        </w:rPr>
        <w:t>个人投资者的开户与认购程序</w:t>
      </w:r>
      <w:bookmarkEnd w:id="7"/>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个人投资者可以在以及销售机构的销售网点</w:t>
      </w:r>
      <w:r>
        <w:rPr>
          <w:rFonts w:ascii="Arial" w:eastAsiaTheme="minorEastAsia" w:hAnsi="Arial" w:cs="Arial" w:hint="eastAsia"/>
          <w:szCs w:val="21"/>
        </w:rPr>
        <w:t>、</w:t>
      </w:r>
      <w:r>
        <w:rPr>
          <w:rFonts w:ascii="Arial" w:eastAsiaTheme="minorEastAsia" w:hAnsi="Arial" w:cs="Arial" w:hint="eastAsia"/>
          <w:szCs w:val="21"/>
        </w:rPr>
        <w:t>本公司直销中心及本公司网上直销交易系统办理基金账户开户、认购申请。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（一）国寿安保基金管理有限公司直销中心</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1</w:t>
      </w:r>
      <w:r>
        <w:rPr>
          <w:rFonts w:ascii="Arial" w:eastAsiaTheme="minorEastAsia" w:hAnsi="Arial" w:cs="Arial"/>
          <w:szCs w:val="21"/>
        </w:rPr>
        <w:t>、本公司直销中心受理个人投资者的开户与认购申请。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2</w:t>
      </w:r>
      <w:r>
        <w:rPr>
          <w:rFonts w:ascii="Arial" w:eastAsiaTheme="minorEastAsia" w:hAnsi="Arial" w:cs="Arial"/>
          <w:szCs w:val="21"/>
        </w:rPr>
        <w:t>、受理开户和认购的时间：</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基金份额发售日的</w:t>
      </w:r>
      <w:r>
        <w:rPr>
          <w:rFonts w:ascii="Arial" w:eastAsiaTheme="minorEastAsia" w:hAnsi="Arial" w:cs="Arial"/>
          <w:szCs w:val="21"/>
        </w:rPr>
        <w:t>9</w:t>
      </w:r>
      <w:r>
        <w:rPr>
          <w:rFonts w:ascii="Arial" w:eastAsiaTheme="minorEastAsia" w:hAnsi="Arial" w:cs="Arial"/>
          <w:szCs w:val="21"/>
        </w:rPr>
        <w:t>：</w:t>
      </w:r>
      <w:r>
        <w:rPr>
          <w:rFonts w:ascii="Arial" w:eastAsiaTheme="minorEastAsia" w:hAnsi="Arial" w:cs="Arial"/>
          <w:szCs w:val="21"/>
        </w:rPr>
        <w:t>30</w:t>
      </w:r>
      <w:r>
        <w:rPr>
          <w:rFonts w:ascii="Arial" w:eastAsiaTheme="minorEastAsia" w:hAnsi="Arial" w:cs="Arial"/>
          <w:szCs w:val="21"/>
        </w:rPr>
        <w:t>—17</w:t>
      </w:r>
      <w:r>
        <w:rPr>
          <w:rFonts w:ascii="Arial" w:eastAsiaTheme="minorEastAsia" w:hAnsi="Arial" w:cs="Arial"/>
          <w:szCs w:val="21"/>
        </w:rPr>
        <w:t>：</w:t>
      </w:r>
      <w:r>
        <w:rPr>
          <w:rFonts w:ascii="Arial" w:eastAsiaTheme="minorEastAsia" w:hAnsi="Arial" w:cs="Arial"/>
          <w:szCs w:val="21"/>
        </w:rPr>
        <w:t>00</w:t>
      </w:r>
      <w:r>
        <w:rPr>
          <w:rFonts w:ascii="Arial" w:eastAsiaTheme="minorEastAsia" w:hAnsi="Arial" w:cs="Arial"/>
          <w:szCs w:val="21"/>
        </w:rPr>
        <w:t>（周六、周日</w:t>
      </w:r>
      <w:r>
        <w:rPr>
          <w:rFonts w:ascii="Arial" w:eastAsiaTheme="minorEastAsia" w:hAnsi="Arial" w:cs="Arial" w:hint="eastAsia"/>
          <w:szCs w:val="21"/>
        </w:rPr>
        <w:t>及法定节假日</w:t>
      </w:r>
      <w:r>
        <w:rPr>
          <w:rFonts w:ascii="Arial" w:eastAsiaTheme="minorEastAsia" w:hAnsi="Arial" w:cs="Arial"/>
          <w:szCs w:val="21"/>
        </w:rPr>
        <w:t>不营业）。</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3</w:t>
      </w:r>
      <w:r>
        <w:rPr>
          <w:rFonts w:ascii="Arial" w:eastAsiaTheme="minorEastAsia" w:hAnsi="Arial" w:cs="Arial" w:hint="eastAsia"/>
          <w:szCs w:val="21"/>
        </w:rPr>
        <w:t>、个人投资者办理基金交易账户和基金账户开户申请时须提交的材料：</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szCs w:val="21"/>
        </w:rPr>
        <w:t>1</w:t>
      </w:r>
      <w:r>
        <w:rPr>
          <w:rFonts w:ascii="Arial" w:eastAsiaTheme="minorEastAsia" w:hAnsi="Arial" w:cs="Arial" w:hint="eastAsia"/>
          <w:szCs w:val="21"/>
        </w:rPr>
        <w:t>）</w:t>
      </w:r>
      <w:r>
        <w:rPr>
          <w:rFonts w:ascii="Arial" w:eastAsiaTheme="minorEastAsia" w:hAnsi="Arial" w:cs="Arial"/>
          <w:szCs w:val="21"/>
        </w:rPr>
        <w:t xml:space="preserve"> </w:t>
      </w:r>
      <w:r>
        <w:rPr>
          <w:rFonts w:ascii="Arial" w:eastAsiaTheme="minorEastAsia" w:hAnsi="Arial" w:cs="Arial" w:hint="eastAsia"/>
          <w:szCs w:val="21"/>
        </w:rPr>
        <w:t>本人有效身份证件及正反两面签字复印件（开户证件类型将以最新监管要求为准）。</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szCs w:val="21"/>
        </w:rPr>
        <w:t>2</w:t>
      </w:r>
      <w:r>
        <w:rPr>
          <w:rFonts w:ascii="Arial" w:eastAsiaTheme="minorEastAsia" w:hAnsi="Arial" w:cs="Arial" w:hint="eastAsia"/>
          <w:szCs w:val="21"/>
        </w:rPr>
        <w:t>）</w:t>
      </w:r>
      <w:r>
        <w:rPr>
          <w:rFonts w:ascii="Arial" w:eastAsiaTheme="minorEastAsia" w:hAnsi="Arial" w:cs="Arial"/>
          <w:szCs w:val="21"/>
        </w:rPr>
        <w:t xml:space="preserve"> </w:t>
      </w:r>
      <w:r>
        <w:rPr>
          <w:rFonts w:ascii="Arial" w:eastAsiaTheme="minorEastAsia" w:hAnsi="Arial" w:cs="Arial" w:hint="eastAsia"/>
          <w:szCs w:val="21"/>
        </w:rPr>
        <w:t>指定银行账户的同名的银行储蓄卡、借记卡原件及加上个人签名的复印件。</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szCs w:val="21"/>
        </w:rPr>
        <w:t>3</w:t>
      </w:r>
      <w:r>
        <w:rPr>
          <w:rFonts w:ascii="Arial" w:eastAsiaTheme="minorEastAsia" w:hAnsi="Arial" w:cs="Arial" w:hint="eastAsia"/>
          <w:szCs w:val="21"/>
        </w:rPr>
        <w:t>）</w:t>
      </w:r>
      <w:r>
        <w:rPr>
          <w:rFonts w:ascii="Arial" w:eastAsiaTheme="minorEastAsia" w:hAnsi="Arial" w:cs="Arial"/>
          <w:szCs w:val="21"/>
        </w:rPr>
        <w:t xml:space="preserve"> </w:t>
      </w:r>
      <w:r>
        <w:rPr>
          <w:rFonts w:ascii="Arial" w:eastAsiaTheme="minorEastAsia" w:hAnsi="Arial" w:cs="Arial" w:hint="eastAsia"/>
          <w:szCs w:val="21"/>
        </w:rPr>
        <w:t>填写合格并且留有申请人签章的《开放式基金账户业务申请表（个人）》、《个人投资者风险承受能力调查问卷》、《风险提示函》、《个人税收居民身份声明文件》等业务表单。</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4</w:t>
      </w:r>
      <w:r>
        <w:rPr>
          <w:rFonts w:ascii="Arial" w:eastAsiaTheme="minorEastAsia" w:hAnsi="Arial" w:cs="Arial" w:hint="eastAsia"/>
          <w:szCs w:val="21"/>
        </w:rPr>
        <w:t>）</w:t>
      </w:r>
      <w:r>
        <w:rPr>
          <w:rFonts w:ascii="Arial" w:eastAsiaTheme="minorEastAsia" w:hAnsi="Arial" w:cs="Arial"/>
          <w:szCs w:val="21"/>
        </w:rPr>
        <w:t xml:space="preserve"> </w:t>
      </w:r>
      <w:r>
        <w:rPr>
          <w:rFonts w:ascii="Arial" w:eastAsiaTheme="minorEastAsia" w:hAnsi="Arial" w:cs="Arial" w:hint="eastAsia"/>
          <w:szCs w:val="21"/>
        </w:rPr>
        <w:t>本公司直销中心要求提供的其他有关材料。</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注：其中指定银行账户是指投资者开户时预留的作为赎回、分红、退款的结算账户，银行账户名称必须同投资者基金账户的户名一致。</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4</w:t>
      </w:r>
      <w:r>
        <w:rPr>
          <w:rFonts w:ascii="Arial" w:eastAsiaTheme="minorEastAsia" w:hAnsi="Arial" w:cs="Arial"/>
          <w:szCs w:val="21"/>
        </w:rPr>
        <w:t>、个人投资者办理认购申请时须提交填妥的《开放式基金交易业务申请</w:t>
      </w:r>
      <w:r>
        <w:rPr>
          <w:rFonts w:ascii="Arial" w:eastAsiaTheme="minorEastAsia" w:hAnsi="Arial" w:cs="Arial" w:hint="eastAsia"/>
          <w:szCs w:val="21"/>
        </w:rPr>
        <w:t>书</w:t>
      </w:r>
      <w:r>
        <w:rPr>
          <w:rFonts w:ascii="Arial" w:eastAsiaTheme="minorEastAsia" w:hAnsi="Arial" w:cs="Arial"/>
          <w:szCs w:val="21"/>
        </w:rPr>
        <w:t>》和投资者本人的有效证件原件及经其签字的复印件。</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5</w:t>
      </w:r>
      <w:r>
        <w:rPr>
          <w:rFonts w:ascii="Arial" w:eastAsiaTheme="minorEastAsia" w:hAnsi="Arial" w:cs="Arial"/>
          <w:szCs w:val="21"/>
        </w:rPr>
        <w:t>、认购资金的划拨</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1</w:t>
      </w:r>
      <w:r>
        <w:rPr>
          <w:rFonts w:ascii="Arial" w:eastAsiaTheme="minorEastAsia" w:hAnsi="Arial" w:cs="Arial"/>
          <w:szCs w:val="21"/>
        </w:rPr>
        <w:t>）个人投资者办理认购前应将足额认购资金汇入本</w:t>
      </w:r>
      <w:r>
        <w:rPr>
          <w:rFonts w:ascii="Arial" w:eastAsiaTheme="minorEastAsia" w:hAnsi="Arial" w:cs="Arial"/>
          <w:szCs w:val="21"/>
        </w:rPr>
        <w:t>公司指定的直销专户：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）广发银行直销专户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账户名称：</w:t>
      </w:r>
      <w:r>
        <w:rPr>
          <w:rFonts w:ascii="Arial" w:eastAsiaTheme="minorEastAsia" w:hAnsi="Arial" w:cs="Arial" w:hint="eastAsia"/>
          <w:szCs w:val="21"/>
        </w:rPr>
        <w:t>国寿安保</w:t>
      </w:r>
      <w:r>
        <w:rPr>
          <w:rFonts w:ascii="Arial" w:eastAsiaTheme="minorEastAsia" w:hAnsi="Arial" w:cs="Arial"/>
          <w:szCs w:val="21"/>
        </w:rPr>
        <w:t>基金管理有限公司</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银行全称：</w:t>
      </w:r>
      <w:r>
        <w:rPr>
          <w:rFonts w:ascii="Arial" w:eastAsiaTheme="minorEastAsia" w:hAnsi="Arial" w:cs="Arial" w:hint="eastAsia"/>
          <w:szCs w:val="21"/>
        </w:rPr>
        <w:t>广发银行北京金融街支行</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银行账号：</w:t>
      </w:r>
      <w:r>
        <w:rPr>
          <w:rFonts w:ascii="Arial" w:eastAsiaTheme="minorEastAsia" w:hAnsi="Arial" w:cs="Arial"/>
          <w:szCs w:val="21"/>
        </w:rPr>
        <w:t>9550880052717802095</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人行支付系统</w:t>
      </w:r>
      <w:r>
        <w:rPr>
          <w:rFonts w:ascii="Arial" w:eastAsiaTheme="minorEastAsia" w:hAnsi="Arial" w:cs="Arial" w:hint="eastAsia"/>
          <w:szCs w:val="21"/>
        </w:rPr>
        <w:t>行</w:t>
      </w:r>
      <w:r>
        <w:rPr>
          <w:rFonts w:ascii="Arial" w:eastAsiaTheme="minorEastAsia" w:hAnsi="Arial" w:cs="Arial"/>
          <w:szCs w:val="21"/>
        </w:rPr>
        <w:t>号：</w:t>
      </w:r>
      <w:r>
        <w:rPr>
          <w:rFonts w:ascii="Arial" w:eastAsiaTheme="minorEastAsia" w:hAnsi="Arial" w:cs="Arial" w:hint="eastAsia"/>
          <w:szCs w:val="21"/>
        </w:rPr>
        <w:t>306100004677</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w:t>
      </w:r>
      <w:r>
        <w:rPr>
          <w:rFonts w:ascii="Arial" w:eastAsiaTheme="minorEastAsia" w:hAnsi="Arial" w:cs="Arial"/>
          <w:szCs w:val="21"/>
        </w:rPr>
        <w:t>中国</w:t>
      </w:r>
      <w:r>
        <w:rPr>
          <w:rFonts w:ascii="Arial" w:eastAsiaTheme="minorEastAsia" w:hAnsi="Arial" w:cs="Arial" w:hint="eastAsia"/>
          <w:szCs w:val="21"/>
        </w:rPr>
        <w:t>工商</w:t>
      </w:r>
      <w:r>
        <w:rPr>
          <w:rFonts w:ascii="Arial" w:eastAsiaTheme="minorEastAsia" w:hAnsi="Arial" w:cs="Arial"/>
          <w:szCs w:val="21"/>
        </w:rPr>
        <w:t>银行直销专户：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账户名称：</w:t>
      </w:r>
      <w:r>
        <w:rPr>
          <w:rFonts w:ascii="Arial" w:eastAsiaTheme="minorEastAsia" w:hAnsi="Arial" w:cs="Arial" w:hint="eastAsia"/>
          <w:szCs w:val="21"/>
        </w:rPr>
        <w:t>国寿安保</w:t>
      </w:r>
      <w:r>
        <w:rPr>
          <w:rFonts w:ascii="Arial" w:eastAsiaTheme="minorEastAsia" w:hAnsi="Arial" w:cs="Arial"/>
          <w:szCs w:val="21"/>
        </w:rPr>
        <w:t>基金管理有限公司</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银行全称：中国</w:t>
      </w:r>
      <w:r>
        <w:rPr>
          <w:rFonts w:ascii="Arial" w:eastAsiaTheme="minorEastAsia" w:hAnsi="Arial" w:cs="Arial" w:hint="eastAsia"/>
          <w:szCs w:val="21"/>
        </w:rPr>
        <w:t>工商</w:t>
      </w:r>
      <w:r>
        <w:rPr>
          <w:rFonts w:ascii="Arial" w:eastAsiaTheme="minorEastAsia" w:hAnsi="Arial" w:cs="Arial"/>
          <w:szCs w:val="21"/>
        </w:rPr>
        <w:t>银行北京</w:t>
      </w:r>
      <w:r>
        <w:rPr>
          <w:rFonts w:ascii="Arial" w:eastAsiaTheme="minorEastAsia" w:hAnsi="Arial" w:cs="Arial" w:hint="eastAsia"/>
          <w:szCs w:val="21"/>
        </w:rPr>
        <w:t>市分行营业部</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银行账号：</w:t>
      </w:r>
      <w:r>
        <w:rPr>
          <w:rFonts w:ascii="Arial" w:eastAsiaTheme="minorEastAsia" w:hAnsi="Arial" w:cs="Arial"/>
          <w:szCs w:val="21"/>
        </w:rPr>
        <w:t>0200000319239146828</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人行支付系统</w:t>
      </w:r>
      <w:r>
        <w:rPr>
          <w:rFonts w:ascii="Arial" w:eastAsiaTheme="minorEastAsia" w:hAnsi="Arial" w:cs="Arial" w:hint="eastAsia"/>
          <w:szCs w:val="21"/>
        </w:rPr>
        <w:t>行</w:t>
      </w:r>
      <w:r>
        <w:rPr>
          <w:rFonts w:ascii="Arial" w:eastAsiaTheme="minorEastAsia" w:hAnsi="Arial" w:cs="Arial"/>
          <w:szCs w:val="21"/>
        </w:rPr>
        <w:t>号：</w:t>
      </w:r>
      <w:r>
        <w:rPr>
          <w:rFonts w:ascii="Arial" w:eastAsiaTheme="minorEastAsia" w:hAnsi="Arial" w:cs="Arial"/>
          <w:szCs w:val="21"/>
        </w:rPr>
        <w:t>102100000030</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w:t>
      </w:r>
      <w:r>
        <w:rPr>
          <w:rFonts w:ascii="Arial" w:eastAsiaTheme="minorEastAsia" w:hAnsi="Arial" w:cs="Arial"/>
          <w:szCs w:val="21"/>
        </w:rPr>
        <w:t>中国</w:t>
      </w:r>
      <w:r>
        <w:rPr>
          <w:rFonts w:ascii="Arial" w:eastAsiaTheme="minorEastAsia" w:hAnsi="Arial" w:cs="Arial" w:hint="eastAsia"/>
          <w:szCs w:val="21"/>
        </w:rPr>
        <w:t>建设</w:t>
      </w:r>
      <w:r>
        <w:rPr>
          <w:rFonts w:ascii="Arial" w:eastAsiaTheme="minorEastAsia" w:hAnsi="Arial" w:cs="Arial"/>
          <w:szCs w:val="21"/>
        </w:rPr>
        <w:t>银行直销专户：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账户名称：</w:t>
      </w:r>
      <w:r>
        <w:rPr>
          <w:rFonts w:ascii="Arial" w:eastAsiaTheme="minorEastAsia" w:hAnsi="Arial" w:cs="Arial" w:hint="eastAsia"/>
          <w:szCs w:val="21"/>
        </w:rPr>
        <w:t>国寿安保</w:t>
      </w:r>
      <w:r>
        <w:rPr>
          <w:rFonts w:ascii="Arial" w:eastAsiaTheme="minorEastAsia" w:hAnsi="Arial" w:cs="Arial"/>
          <w:szCs w:val="21"/>
        </w:rPr>
        <w:t>基金管理有限公司</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银行全称：中国</w:t>
      </w:r>
      <w:r>
        <w:rPr>
          <w:rFonts w:ascii="Arial" w:eastAsiaTheme="minorEastAsia" w:hAnsi="Arial" w:cs="Arial" w:hint="eastAsia"/>
          <w:szCs w:val="21"/>
        </w:rPr>
        <w:t>建设</w:t>
      </w:r>
      <w:r>
        <w:rPr>
          <w:rFonts w:ascii="Arial" w:eastAsiaTheme="minorEastAsia" w:hAnsi="Arial" w:cs="Arial"/>
          <w:szCs w:val="21"/>
        </w:rPr>
        <w:t>银行</w:t>
      </w:r>
      <w:r>
        <w:rPr>
          <w:rFonts w:ascii="Arial" w:eastAsiaTheme="minorEastAsia" w:hAnsi="Arial" w:cs="Arial" w:hint="eastAsia"/>
          <w:szCs w:val="21"/>
        </w:rPr>
        <w:t>股份有限公司</w:t>
      </w:r>
      <w:r>
        <w:rPr>
          <w:rFonts w:ascii="Arial" w:eastAsiaTheme="minorEastAsia" w:hAnsi="Arial" w:cs="Arial"/>
          <w:szCs w:val="21"/>
        </w:rPr>
        <w:t>北京</w:t>
      </w:r>
      <w:r>
        <w:rPr>
          <w:rFonts w:ascii="Arial" w:eastAsiaTheme="minorEastAsia" w:hAnsi="Arial" w:cs="Arial" w:hint="eastAsia"/>
          <w:szCs w:val="21"/>
        </w:rPr>
        <w:t>复兴</w:t>
      </w:r>
      <w:r>
        <w:rPr>
          <w:rFonts w:ascii="Arial" w:eastAsiaTheme="minorEastAsia" w:hAnsi="Arial" w:cs="Arial"/>
          <w:szCs w:val="21"/>
        </w:rPr>
        <w:t>支行</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银行账号：</w:t>
      </w:r>
      <w:r>
        <w:rPr>
          <w:rFonts w:ascii="Arial" w:eastAsiaTheme="minorEastAsia" w:hAnsi="Arial" w:cs="Arial" w:hint="eastAsia"/>
          <w:szCs w:val="21"/>
        </w:rPr>
        <w:t>11001046500059188888</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人行支付系统</w:t>
      </w:r>
      <w:r>
        <w:rPr>
          <w:rFonts w:ascii="Arial" w:eastAsiaTheme="minorEastAsia" w:hAnsi="Arial" w:cs="Arial" w:hint="eastAsia"/>
          <w:szCs w:val="21"/>
        </w:rPr>
        <w:t>行</w:t>
      </w:r>
      <w:r>
        <w:rPr>
          <w:rFonts w:ascii="Arial" w:eastAsiaTheme="minorEastAsia" w:hAnsi="Arial" w:cs="Arial"/>
          <w:szCs w:val="21"/>
        </w:rPr>
        <w:t>号：</w:t>
      </w:r>
      <w:r>
        <w:rPr>
          <w:rFonts w:ascii="Arial" w:eastAsiaTheme="minorEastAsia" w:hAnsi="Arial" w:cs="Arial" w:hint="eastAsia"/>
          <w:szCs w:val="21"/>
        </w:rPr>
        <w:t>105100008038</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4</w:t>
      </w:r>
      <w:r>
        <w:rPr>
          <w:rFonts w:ascii="Arial" w:eastAsiaTheme="minorEastAsia" w:hAnsi="Arial" w:cs="Arial" w:hint="eastAsia"/>
          <w:szCs w:val="21"/>
        </w:rPr>
        <w:t>）交通银行直销专户：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账户名称：</w:t>
      </w:r>
      <w:r>
        <w:rPr>
          <w:rFonts w:ascii="Arial" w:eastAsiaTheme="minorEastAsia" w:hAnsi="Arial" w:cs="Arial" w:hint="eastAsia"/>
          <w:szCs w:val="21"/>
        </w:rPr>
        <w:t>国寿安保</w:t>
      </w:r>
      <w:r>
        <w:rPr>
          <w:rFonts w:ascii="Arial" w:eastAsiaTheme="minorEastAsia" w:hAnsi="Arial" w:cs="Arial"/>
          <w:szCs w:val="21"/>
        </w:rPr>
        <w:t>基金管理有限公司</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银行全称：</w:t>
      </w:r>
      <w:r>
        <w:rPr>
          <w:rFonts w:ascii="Arial" w:eastAsiaTheme="minorEastAsia" w:hAnsi="Arial" w:cs="Arial" w:hint="eastAsia"/>
          <w:szCs w:val="21"/>
        </w:rPr>
        <w:t>交通</w:t>
      </w:r>
      <w:r>
        <w:rPr>
          <w:rFonts w:ascii="Arial" w:eastAsiaTheme="minorEastAsia" w:hAnsi="Arial" w:cs="Arial"/>
          <w:szCs w:val="21"/>
        </w:rPr>
        <w:t>银行</w:t>
      </w:r>
      <w:r>
        <w:rPr>
          <w:rFonts w:ascii="Arial" w:eastAsiaTheme="minorEastAsia" w:hAnsi="Arial" w:cs="Arial" w:hint="eastAsia"/>
          <w:szCs w:val="21"/>
        </w:rPr>
        <w:t>股份有限公司</w:t>
      </w:r>
      <w:r>
        <w:rPr>
          <w:rFonts w:ascii="Arial" w:eastAsiaTheme="minorEastAsia" w:hAnsi="Arial" w:cs="Arial"/>
          <w:szCs w:val="21"/>
        </w:rPr>
        <w:t>北京</w:t>
      </w:r>
      <w:r>
        <w:rPr>
          <w:rFonts w:ascii="Arial" w:eastAsiaTheme="minorEastAsia" w:hAnsi="Arial" w:cs="Arial" w:hint="eastAsia"/>
          <w:szCs w:val="21"/>
        </w:rPr>
        <w:t>石景山</w:t>
      </w:r>
      <w:r>
        <w:rPr>
          <w:rFonts w:ascii="Arial" w:eastAsiaTheme="minorEastAsia" w:hAnsi="Arial" w:cs="Arial"/>
          <w:szCs w:val="21"/>
        </w:rPr>
        <w:t>支行</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银行账号：</w:t>
      </w:r>
      <w:r>
        <w:rPr>
          <w:rFonts w:ascii="Arial" w:eastAsiaTheme="minorEastAsia" w:hAnsi="Arial" w:cs="Arial" w:hint="eastAsia"/>
          <w:szCs w:val="21"/>
        </w:rPr>
        <w:t>110060872018800000268</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人行支付系统</w:t>
      </w:r>
      <w:r>
        <w:rPr>
          <w:rFonts w:ascii="Arial" w:eastAsiaTheme="minorEastAsia" w:hAnsi="Arial" w:cs="Arial" w:hint="eastAsia"/>
          <w:szCs w:val="21"/>
        </w:rPr>
        <w:t>行</w:t>
      </w:r>
      <w:r>
        <w:rPr>
          <w:rFonts w:ascii="Arial" w:eastAsiaTheme="minorEastAsia" w:hAnsi="Arial" w:cs="Arial"/>
          <w:szCs w:val="21"/>
        </w:rPr>
        <w:t>号：</w:t>
      </w:r>
      <w:r>
        <w:rPr>
          <w:rFonts w:ascii="Arial" w:eastAsiaTheme="minorEastAsia" w:hAnsi="Arial" w:cs="Arial" w:hint="eastAsia"/>
          <w:szCs w:val="21"/>
        </w:rPr>
        <w:t>301100000371</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5</w:t>
      </w:r>
      <w:r>
        <w:rPr>
          <w:rFonts w:ascii="Arial" w:eastAsiaTheme="minorEastAsia" w:hAnsi="Arial" w:cs="Arial" w:hint="eastAsia"/>
          <w:szCs w:val="21"/>
        </w:rPr>
        <w:t>）兴业银行直销专户：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账户名称：</w:t>
      </w:r>
      <w:r>
        <w:rPr>
          <w:rFonts w:ascii="Arial" w:eastAsiaTheme="minorEastAsia" w:hAnsi="Arial" w:cs="Arial" w:hint="eastAsia"/>
          <w:szCs w:val="21"/>
        </w:rPr>
        <w:t>国寿安保</w:t>
      </w:r>
      <w:r>
        <w:rPr>
          <w:rFonts w:ascii="Arial" w:eastAsiaTheme="minorEastAsia" w:hAnsi="Arial" w:cs="Arial"/>
          <w:szCs w:val="21"/>
        </w:rPr>
        <w:t>基金管理有限公司</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银行全称：</w:t>
      </w:r>
      <w:r>
        <w:rPr>
          <w:rFonts w:ascii="Arial" w:eastAsiaTheme="minorEastAsia" w:hAnsi="Arial" w:cs="Arial" w:hint="eastAsia"/>
          <w:szCs w:val="21"/>
        </w:rPr>
        <w:t>兴业银行北京金融街支行</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银行账号：</w:t>
      </w:r>
      <w:r>
        <w:rPr>
          <w:rFonts w:ascii="Arial" w:eastAsiaTheme="minorEastAsia" w:hAnsi="Arial" w:cs="Arial"/>
          <w:szCs w:val="21"/>
        </w:rPr>
        <w:t>321500100100088115</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人行支付系统</w:t>
      </w:r>
      <w:r>
        <w:rPr>
          <w:rFonts w:ascii="Arial" w:eastAsiaTheme="minorEastAsia" w:hAnsi="Arial" w:cs="Arial" w:hint="eastAsia"/>
          <w:szCs w:val="21"/>
        </w:rPr>
        <w:t>行</w:t>
      </w:r>
      <w:r>
        <w:rPr>
          <w:rFonts w:ascii="Arial" w:eastAsiaTheme="minorEastAsia" w:hAnsi="Arial" w:cs="Arial"/>
          <w:szCs w:val="21"/>
        </w:rPr>
        <w:t>号：</w:t>
      </w:r>
      <w:r>
        <w:rPr>
          <w:rFonts w:ascii="Arial" w:eastAsiaTheme="minorEastAsia" w:hAnsi="Arial" w:cs="Arial"/>
          <w:szCs w:val="21"/>
        </w:rPr>
        <w:t>309100001508</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2</w:t>
      </w:r>
      <w:r>
        <w:rPr>
          <w:rFonts w:ascii="Arial" w:eastAsiaTheme="minorEastAsia" w:hAnsi="Arial" w:cs="Arial"/>
          <w:szCs w:val="21"/>
        </w:rPr>
        <w:t>）认购申请当日下午</w:t>
      </w:r>
      <w:r>
        <w:rPr>
          <w:rFonts w:ascii="Arial" w:eastAsiaTheme="minorEastAsia" w:hAnsi="Arial" w:cs="Arial"/>
          <w:szCs w:val="21"/>
        </w:rPr>
        <w:t>17</w:t>
      </w:r>
      <w:r>
        <w:rPr>
          <w:rFonts w:ascii="Arial" w:eastAsiaTheme="minorEastAsia" w:hAnsi="Arial" w:cs="Arial"/>
          <w:szCs w:val="21"/>
        </w:rPr>
        <w:t>：</w:t>
      </w:r>
      <w:r>
        <w:rPr>
          <w:rFonts w:ascii="Arial" w:eastAsiaTheme="minorEastAsia" w:hAnsi="Arial" w:cs="Arial"/>
          <w:szCs w:val="21"/>
        </w:rPr>
        <w:t>00</w:t>
      </w:r>
      <w:r>
        <w:rPr>
          <w:rFonts w:ascii="Arial" w:eastAsiaTheme="minorEastAsia" w:hAnsi="Arial" w:cs="Arial"/>
          <w:szCs w:val="21"/>
        </w:rPr>
        <w:t>之前，若投资者的认购资金未全额到本公司指定直销专户，则认购</w:t>
      </w:r>
      <w:r>
        <w:rPr>
          <w:rFonts w:ascii="Arial" w:eastAsiaTheme="minorEastAsia" w:hAnsi="Arial" w:cs="Arial" w:hint="eastAsia"/>
          <w:szCs w:val="21"/>
        </w:rPr>
        <w:t>申请无效</w:t>
      </w:r>
      <w:r>
        <w:rPr>
          <w:rFonts w:ascii="Arial" w:eastAsiaTheme="minorEastAsia" w:hAnsi="Arial" w:cs="Arial"/>
          <w:szCs w:val="21"/>
        </w:rPr>
        <w:t>。</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6</w:t>
      </w:r>
      <w:r>
        <w:rPr>
          <w:rFonts w:ascii="Arial" w:eastAsiaTheme="minorEastAsia" w:hAnsi="Arial" w:cs="Arial"/>
          <w:szCs w:val="21"/>
        </w:rPr>
        <w:t>、注意事项：</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1</w:t>
      </w:r>
      <w:r>
        <w:rPr>
          <w:rFonts w:ascii="Arial" w:eastAsiaTheme="minorEastAsia" w:hAnsi="Arial" w:cs="Arial"/>
          <w:szCs w:val="21"/>
        </w:rPr>
        <w:t>）基金份额发售期结束，以下将被认定为无效认购：</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w:t>
      </w:r>
      <w:r>
        <w:rPr>
          <w:rFonts w:ascii="Arial" w:eastAsiaTheme="minorEastAsia" w:hAnsi="Arial" w:cs="Arial"/>
          <w:szCs w:val="21"/>
        </w:rPr>
        <w:t>投资者划来资金，但逾期未办理开户手续或开户不成功的；</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w:t>
      </w:r>
      <w:r>
        <w:rPr>
          <w:rFonts w:ascii="Arial" w:eastAsiaTheme="minorEastAsia" w:hAnsi="Arial" w:cs="Arial"/>
          <w:szCs w:val="21"/>
        </w:rPr>
        <w:t>投资者划来资金，但逾期未办理认购手续或认购申请未被确认的；</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）投资者未足额划来认购资金；</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4</w:t>
      </w:r>
      <w:r>
        <w:rPr>
          <w:rFonts w:ascii="Arial" w:eastAsiaTheme="minorEastAsia" w:hAnsi="Arial" w:cs="Arial" w:hint="eastAsia"/>
          <w:szCs w:val="21"/>
        </w:rPr>
        <w:t>）</w:t>
      </w:r>
      <w:r>
        <w:rPr>
          <w:rFonts w:ascii="Arial" w:eastAsiaTheme="minorEastAsia" w:hAnsi="Arial" w:cs="Arial"/>
          <w:szCs w:val="21"/>
        </w:rPr>
        <w:t>本公司确认的其它无效资金或认购失败资金。</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2</w:t>
      </w:r>
      <w:r>
        <w:rPr>
          <w:rFonts w:ascii="Arial" w:eastAsiaTheme="minorEastAsia" w:hAnsi="Arial" w:cs="Arial"/>
          <w:szCs w:val="21"/>
        </w:rPr>
        <w:t>）投资者</w:t>
      </w:r>
      <w:r>
        <w:rPr>
          <w:rFonts w:ascii="Arial" w:eastAsiaTheme="minorEastAsia" w:hAnsi="Arial" w:cs="Arial"/>
          <w:szCs w:val="21"/>
        </w:rPr>
        <w:t>T</w:t>
      </w:r>
      <w:r>
        <w:rPr>
          <w:rFonts w:ascii="Arial" w:eastAsiaTheme="minorEastAsia" w:hAnsi="Arial" w:cs="Arial"/>
          <w:szCs w:val="21"/>
        </w:rPr>
        <w:t>日提交开户申请后，可于</w:t>
      </w:r>
      <w:r>
        <w:rPr>
          <w:rFonts w:ascii="Arial" w:eastAsiaTheme="minorEastAsia" w:hAnsi="Arial" w:cs="Arial"/>
          <w:szCs w:val="21"/>
        </w:rPr>
        <w:t xml:space="preserve">T+2 </w:t>
      </w:r>
      <w:r>
        <w:rPr>
          <w:rFonts w:ascii="Arial" w:eastAsiaTheme="minorEastAsia" w:hAnsi="Arial" w:cs="Arial"/>
          <w:szCs w:val="21"/>
        </w:rPr>
        <w:t>日后（包括</w:t>
      </w:r>
      <w:r>
        <w:rPr>
          <w:rFonts w:ascii="Arial" w:eastAsiaTheme="minorEastAsia" w:hAnsi="Arial" w:cs="Arial"/>
          <w:szCs w:val="21"/>
        </w:rPr>
        <w:t xml:space="preserve">T+2 </w:t>
      </w:r>
      <w:r>
        <w:rPr>
          <w:rFonts w:ascii="Arial" w:eastAsiaTheme="minorEastAsia" w:hAnsi="Arial" w:cs="Arial"/>
          <w:szCs w:val="21"/>
        </w:rPr>
        <w:t>日，如遇非工作日网点不办公则顺延）到</w:t>
      </w:r>
      <w:r>
        <w:rPr>
          <w:rFonts w:ascii="Arial" w:hAnsi="Arial" w:cs="Arial"/>
          <w:bCs/>
          <w:szCs w:val="21"/>
        </w:rPr>
        <w:t>本公司直销中心</w:t>
      </w:r>
      <w:r>
        <w:rPr>
          <w:rFonts w:ascii="Arial" w:eastAsiaTheme="minorEastAsia" w:hAnsi="Arial" w:cs="Arial"/>
          <w:szCs w:val="21"/>
        </w:rPr>
        <w:t>查询确认结果，或通过本公司客户服务中心查询。</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3</w:t>
      </w:r>
      <w:r>
        <w:rPr>
          <w:rFonts w:ascii="Arial" w:eastAsiaTheme="minorEastAsia" w:hAnsi="Arial" w:cs="Arial"/>
          <w:szCs w:val="21"/>
        </w:rPr>
        <w:t>）投资者</w:t>
      </w:r>
      <w:r>
        <w:rPr>
          <w:rFonts w:ascii="Arial" w:eastAsiaTheme="minorEastAsia" w:hAnsi="Arial" w:cs="Arial"/>
          <w:szCs w:val="21"/>
        </w:rPr>
        <w:t>T</w:t>
      </w:r>
      <w:r>
        <w:rPr>
          <w:rFonts w:ascii="Arial" w:eastAsiaTheme="minorEastAsia" w:hAnsi="Arial" w:cs="Arial"/>
          <w:szCs w:val="21"/>
        </w:rPr>
        <w:t>日提交认购申请后，可于</w:t>
      </w:r>
      <w:r>
        <w:rPr>
          <w:rFonts w:ascii="Arial" w:eastAsiaTheme="minorEastAsia" w:hAnsi="Arial" w:cs="Arial"/>
          <w:szCs w:val="21"/>
        </w:rPr>
        <w:t xml:space="preserve">T+2 </w:t>
      </w:r>
      <w:r>
        <w:rPr>
          <w:rFonts w:ascii="Arial" w:eastAsiaTheme="minorEastAsia" w:hAnsi="Arial" w:cs="Arial"/>
          <w:szCs w:val="21"/>
        </w:rPr>
        <w:t>日后（包括</w:t>
      </w:r>
      <w:r>
        <w:rPr>
          <w:rFonts w:ascii="Arial" w:eastAsiaTheme="minorEastAsia" w:hAnsi="Arial" w:cs="Arial"/>
          <w:szCs w:val="21"/>
        </w:rPr>
        <w:t xml:space="preserve">T+2 </w:t>
      </w:r>
      <w:r>
        <w:rPr>
          <w:rFonts w:ascii="Arial" w:eastAsiaTheme="minorEastAsia" w:hAnsi="Arial" w:cs="Arial"/>
          <w:szCs w:val="21"/>
        </w:rPr>
        <w:t>日，如遇非工作日网点不办公则顺延）到</w:t>
      </w:r>
      <w:r>
        <w:rPr>
          <w:rFonts w:ascii="Arial" w:hAnsi="Arial" w:cs="Arial"/>
          <w:bCs/>
          <w:szCs w:val="21"/>
        </w:rPr>
        <w:t>本公司直销中心</w:t>
      </w:r>
      <w:r>
        <w:rPr>
          <w:rFonts w:ascii="Arial" w:eastAsiaTheme="minorEastAsia" w:hAnsi="Arial" w:cs="Arial"/>
          <w:szCs w:val="21"/>
        </w:rPr>
        <w:t>查询认购接受情况，或通过本公司客户服务中心查询。</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4</w:t>
      </w:r>
      <w:r>
        <w:rPr>
          <w:rFonts w:ascii="Arial" w:eastAsiaTheme="minorEastAsia" w:hAnsi="Arial" w:cs="Arial"/>
          <w:szCs w:val="21"/>
        </w:rPr>
        <w:t>）办理汇款时，投资者</w:t>
      </w:r>
      <w:r>
        <w:rPr>
          <w:rFonts w:ascii="Arial" w:eastAsiaTheme="minorEastAsia" w:hAnsi="Arial" w:cs="Arial" w:hint="eastAsia"/>
          <w:szCs w:val="21"/>
        </w:rPr>
        <w:t>应</w:t>
      </w:r>
      <w:r>
        <w:rPr>
          <w:rFonts w:ascii="Arial" w:eastAsiaTheme="minorEastAsia" w:hAnsi="Arial" w:cs="Arial"/>
          <w:szCs w:val="21"/>
        </w:rPr>
        <w:t>注意以下事项：</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w:t>
      </w:r>
      <w:r>
        <w:rPr>
          <w:rFonts w:ascii="Arial" w:eastAsiaTheme="minorEastAsia" w:hAnsi="Arial" w:cs="Arial"/>
          <w:szCs w:val="21"/>
        </w:rPr>
        <w:t>投资者必须使用其预留账户（投资者在本公司直销开立交易账户时登记的银行账户）办理汇款，如使用非预留账户、现金或其他无法及时识别投资者身份的方式汇款，则汇款资金无效；</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w:t>
      </w:r>
      <w:r>
        <w:rPr>
          <w:rFonts w:ascii="Arial" w:eastAsiaTheme="minorEastAsia" w:hAnsi="Arial" w:cs="Arial"/>
          <w:szCs w:val="21"/>
        </w:rPr>
        <w:t>投资者应在汇款附言</w:t>
      </w:r>
      <w:r>
        <w:rPr>
          <w:rFonts w:ascii="Arial" w:eastAsiaTheme="minorEastAsia" w:hAnsi="Arial" w:cs="Arial"/>
          <w:szCs w:val="21"/>
        </w:rPr>
        <w:t>/</w:t>
      </w:r>
      <w:r>
        <w:rPr>
          <w:rFonts w:ascii="Arial" w:eastAsiaTheme="minorEastAsia" w:hAnsi="Arial" w:cs="Arial"/>
          <w:szCs w:val="21"/>
        </w:rPr>
        <w:t>用途</w:t>
      </w:r>
      <w:r>
        <w:rPr>
          <w:rFonts w:ascii="Arial" w:eastAsiaTheme="minorEastAsia" w:hAnsi="Arial" w:cs="Arial"/>
          <w:szCs w:val="21"/>
        </w:rPr>
        <w:t>/</w:t>
      </w:r>
      <w:r>
        <w:rPr>
          <w:rFonts w:ascii="Arial" w:eastAsiaTheme="minorEastAsia" w:hAnsi="Arial" w:cs="Arial"/>
          <w:szCs w:val="21"/>
        </w:rPr>
        <w:t>摘要</w:t>
      </w:r>
      <w:r>
        <w:rPr>
          <w:rFonts w:ascii="Arial" w:eastAsiaTheme="minorEastAsia" w:hAnsi="Arial" w:cs="Arial"/>
          <w:szCs w:val="21"/>
        </w:rPr>
        <w:t>/</w:t>
      </w:r>
      <w:r>
        <w:rPr>
          <w:rFonts w:ascii="Arial" w:eastAsiaTheme="minorEastAsia" w:hAnsi="Arial" w:cs="Arial"/>
          <w:szCs w:val="21"/>
        </w:rPr>
        <w:t>备注栏</w:t>
      </w:r>
      <w:r>
        <w:rPr>
          <w:rFonts w:ascii="Arial" w:eastAsiaTheme="minorEastAsia" w:hAnsi="Arial" w:cs="Arial" w:hint="eastAsia"/>
          <w:szCs w:val="21"/>
        </w:rPr>
        <w:t>注明用途</w:t>
      </w:r>
      <w:r>
        <w:rPr>
          <w:rFonts w:ascii="Arial" w:eastAsiaTheme="minorEastAsia" w:hAnsi="Arial" w:cs="Arial"/>
          <w:szCs w:val="21"/>
        </w:rPr>
        <w:t>；</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）投资者应足额汇款，</w:t>
      </w:r>
      <w:r>
        <w:rPr>
          <w:rFonts w:ascii="Arial" w:eastAsiaTheme="minorEastAsia" w:hAnsi="Arial" w:cs="Arial"/>
          <w:szCs w:val="21"/>
        </w:rPr>
        <w:t>认购申请当日下午</w:t>
      </w:r>
      <w:r>
        <w:rPr>
          <w:rFonts w:ascii="Arial" w:eastAsiaTheme="minorEastAsia" w:hAnsi="Arial" w:cs="Arial"/>
          <w:szCs w:val="21"/>
        </w:rPr>
        <w:t>1</w:t>
      </w:r>
      <w:r>
        <w:rPr>
          <w:rFonts w:ascii="Arial" w:eastAsiaTheme="minorEastAsia" w:hAnsi="Arial" w:cs="Arial"/>
          <w:szCs w:val="21"/>
        </w:rPr>
        <w:t>7</w:t>
      </w:r>
      <w:r>
        <w:rPr>
          <w:rFonts w:ascii="Arial" w:eastAsiaTheme="minorEastAsia" w:hAnsi="Arial" w:cs="Arial"/>
          <w:szCs w:val="21"/>
        </w:rPr>
        <w:t>：</w:t>
      </w:r>
      <w:r>
        <w:rPr>
          <w:rFonts w:ascii="Arial" w:eastAsiaTheme="minorEastAsia" w:hAnsi="Arial" w:cs="Arial"/>
          <w:szCs w:val="21"/>
        </w:rPr>
        <w:t>00</w:t>
      </w:r>
      <w:r>
        <w:rPr>
          <w:rFonts w:ascii="Arial" w:eastAsiaTheme="minorEastAsia" w:hAnsi="Arial" w:cs="Arial"/>
          <w:szCs w:val="21"/>
        </w:rPr>
        <w:t>之前，若投资者的认购资金未全额到本公司指定直销专户，则认购</w:t>
      </w:r>
      <w:r>
        <w:rPr>
          <w:rFonts w:ascii="Arial" w:eastAsiaTheme="minorEastAsia" w:hAnsi="Arial" w:cs="Arial" w:hint="eastAsia"/>
          <w:szCs w:val="21"/>
        </w:rPr>
        <w:t>申请无效；</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4</w:t>
      </w:r>
      <w:r>
        <w:rPr>
          <w:rFonts w:ascii="Arial" w:eastAsiaTheme="minorEastAsia" w:hAnsi="Arial" w:cs="Arial" w:hint="eastAsia"/>
          <w:szCs w:val="21"/>
        </w:rPr>
        <w:t>）</w:t>
      </w:r>
      <w:r>
        <w:rPr>
          <w:rFonts w:ascii="Arial" w:eastAsiaTheme="minorEastAsia" w:hAnsi="Arial" w:cs="Arial"/>
          <w:szCs w:val="21"/>
        </w:rPr>
        <w:t>投资者采用汇款交易方式发生的银行转账手续费由投资者自行承担</w:t>
      </w:r>
      <w:r>
        <w:rPr>
          <w:rFonts w:ascii="Arial" w:eastAsiaTheme="minorEastAsia" w:hAnsi="Arial" w:cs="Arial" w:hint="eastAsia"/>
          <w:szCs w:val="21"/>
        </w:rPr>
        <w:t>。</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（二）国寿安保基金管理有限公司网上直销交易系统</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、受理开户及认购的时间</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基金份额发售期间全天</w:t>
      </w:r>
      <w:r>
        <w:rPr>
          <w:rFonts w:ascii="Arial" w:eastAsiaTheme="minorEastAsia" w:hAnsi="Arial" w:cs="Arial" w:hint="eastAsia"/>
          <w:szCs w:val="21"/>
        </w:rPr>
        <w:t>24</w:t>
      </w:r>
      <w:r>
        <w:rPr>
          <w:rFonts w:ascii="Arial" w:eastAsiaTheme="minorEastAsia" w:hAnsi="Arial" w:cs="Arial" w:hint="eastAsia"/>
          <w:szCs w:val="21"/>
        </w:rPr>
        <w:t>小时接受开户及认购业务，工作日</w:t>
      </w:r>
      <w:r>
        <w:rPr>
          <w:rFonts w:ascii="Arial" w:eastAsiaTheme="minorEastAsia" w:hAnsi="Arial" w:cs="Arial" w:hint="eastAsia"/>
          <w:szCs w:val="21"/>
        </w:rPr>
        <w:t>17</w:t>
      </w:r>
      <w:r>
        <w:rPr>
          <w:rFonts w:ascii="Arial" w:eastAsiaTheme="minorEastAsia" w:hAnsi="Arial" w:cs="Arial" w:hint="eastAsia"/>
          <w:szCs w:val="21"/>
        </w:rPr>
        <w:t>：</w:t>
      </w:r>
      <w:r>
        <w:rPr>
          <w:rFonts w:ascii="Arial" w:eastAsiaTheme="minorEastAsia" w:hAnsi="Arial" w:cs="Arial" w:hint="eastAsia"/>
          <w:szCs w:val="21"/>
        </w:rPr>
        <w:t>00</w:t>
      </w:r>
      <w:r>
        <w:rPr>
          <w:rFonts w:ascii="Arial" w:eastAsiaTheme="minorEastAsia" w:hAnsi="Arial" w:cs="Arial" w:hint="eastAsia"/>
          <w:szCs w:val="21"/>
        </w:rPr>
        <w:t>之后以及法定节假日的认购申请，视为下一工作日提交的认购申请。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、开户及认购程序</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1</w:t>
      </w:r>
      <w:r>
        <w:rPr>
          <w:rFonts w:ascii="Arial" w:eastAsiaTheme="minorEastAsia" w:hAnsi="Arial" w:cs="Arial" w:hint="eastAsia"/>
          <w:szCs w:val="21"/>
        </w:rPr>
        <w:t>）投资者可登录本公司网站（</w:t>
      </w:r>
      <w:hyperlink r:id="rId13" w:history="1">
        <w:r>
          <w:rPr>
            <w:rStyle w:val="aa"/>
            <w:rFonts w:ascii="Arial" w:eastAsiaTheme="minorEastAsia" w:hAnsi="Arial" w:cs="Arial" w:hint="eastAsia"/>
            <w:szCs w:val="21"/>
          </w:rPr>
          <w:t>www.gsfunds.com.cn</w:t>
        </w:r>
      </w:hyperlink>
      <w:r>
        <w:rPr>
          <w:rFonts w:ascii="Arial" w:eastAsiaTheme="minorEastAsia" w:hAnsi="Arial" w:cs="Arial" w:hint="eastAsia"/>
          <w:szCs w:val="21"/>
        </w:rPr>
        <w:t>）参阅并了解《国寿安保基金管理有限公司开放式证券投资基金业务规则》、《国寿安保基金管理有限公司开放式基金网上交易业务规则》等规则；</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2</w:t>
      </w:r>
      <w:r>
        <w:rPr>
          <w:rFonts w:ascii="Arial" w:eastAsiaTheme="minorEastAsia" w:hAnsi="Arial" w:cs="Arial" w:hint="eastAsia"/>
          <w:szCs w:val="21"/>
        </w:rPr>
        <w:t>）尚未开通基金网上直销账户的个人投资者，可以登录本公司网上直销交易系统（</w:t>
      </w:r>
      <w:r>
        <w:rPr>
          <w:rFonts w:ascii="Arial" w:eastAsiaTheme="minorEastAsia" w:hAnsi="Arial" w:cs="Arial" w:hint="eastAsia"/>
          <w:szCs w:val="21"/>
        </w:rPr>
        <w:t>https://e.gsfunds.com.cn/etrading/</w:t>
      </w:r>
      <w:r>
        <w:rPr>
          <w:rFonts w:ascii="Arial" w:eastAsiaTheme="minorEastAsia" w:hAnsi="Arial" w:cs="Arial" w:hint="eastAsia"/>
          <w:szCs w:val="21"/>
        </w:rPr>
        <w:t>）、“国寿安保基金”微信服务号，与本公司达成电子交易相关协议，接受本公司有关服务条款并办理相关手续进行网上直销交易账户开户，在开户申请提交成功后，即可直接通过网上直销交易系统进行认购；</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3</w:t>
      </w:r>
      <w:r>
        <w:rPr>
          <w:rFonts w:ascii="Arial" w:eastAsiaTheme="minorEastAsia" w:hAnsi="Arial" w:cs="Arial" w:hint="eastAsia"/>
          <w:szCs w:val="21"/>
        </w:rPr>
        <w:t>）已经开通基金网上交易的个人投资者，请直接登</w:t>
      </w:r>
      <w:r>
        <w:rPr>
          <w:rFonts w:ascii="Arial" w:eastAsiaTheme="minorEastAsia" w:hAnsi="Arial" w:cs="Arial" w:hint="eastAsia"/>
          <w:szCs w:val="21"/>
        </w:rPr>
        <w:t>录本公司网上直销交易系统进行网上认购；</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4</w:t>
      </w:r>
      <w:r>
        <w:rPr>
          <w:rFonts w:ascii="Arial" w:eastAsiaTheme="minorEastAsia" w:hAnsi="Arial" w:cs="Arial" w:hint="eastAsia"/>
          <w:szCs w:val="21"/>
        </w:rPr>
        <w:t>）网上开户、认购、支付业务规则和相关公告请登录本公司网站查询。</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、认购申请当日截止时间为</w:t>
      </w:r>
      <w:r>
        <w:rPr>
          <w:rFonts w:ascii="Arial" w:eastAsiaTheme="minorEastAsia" w:hAnsi="Arial" w:cs="Arial" w:hint="eastAsia"/>
          <w:szCs w:val="21"/>
        </w:rPr>
        <w:t>17</w:t>
      </w:r>
      <w:r>
        <w:rPr>
          <w:rFonts w:ascii="Arial" w:eastAsiaTheme="minorEastAsia" w:hAnsi="Arial" w:cs="Arial" w:hint="eastAsia"/>
          <w:szCs w:val="21"/>
        </w:rPr>
        <w:t>：</w:t>
      </w:r>
      <w:r>
        <w:rPr>
          <w:rFonts w:ascii="Arial" w:eastAsiaTheme="minorEastAsia" w:hAnsi="Arial" w:cs="Arial" w:hint="eastAsia"/>
          <w:szCs w:val="21"/>
        </w:rPr>
        <w:t>00</w:t>
      </w:r>
      <w:r>
        <w:rPr>
          <w:rFonts w:ascii="Arial" w:eastAsiaTheme="minorEastAsia" w:hAnsi="Arial" w:cs="Arial" w:hint="eastAsia"/>
          <w:szCs w:val="21"/>
        </w:rPr>
        <w:t>，未在规定时间内足额支付的申请将按失败处理。</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bookmarkStart w:id="8" w:name="_Toc382228387"/>
      <w:r>
        <w:rPr>
          <w:rFonts w:ascii="Arial" w:eastAsiaTheme="minorEastAsia" w:hAnsi="Arial" w:cs="Arial" w:hint="eastAsia"/>
          <w:szCs w:val="21"/>
        </w:rPr>
        <w:t>（三）通过销售机构办理开户和认购的程序</w:t>
      </w:r>
      <w:r>
        <w:rPr>
          <w:rFonts w:ascii="Arial" w:eastAsiaTheme="minorEastAsia" w:hAnsi="Arial" w:cs="Arial" w:hint="eastAsia"/>
          <w:szCs w:val="21"/>
        </w:rPr>
        <w:t xml:space="preserve"> </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个人投资者在销售机构的开户与认购程序以各销售机构的规定为准。</w:t>
      </w:r>
    </w:p>
    <w:p w:rsidR="00574CA4" w:rsidRDefault="006E4BF4">
      <w:pPr>
        <w:rPr>
          <w:szCs w:val="20"/>
        </w:rPr>
      </w:pPr>
      <w:r>
        <w:rPr>
          <w:rFonts w:hint="eastAsia"/>
          <w:szCs w:val="20"/>
        </w:rPr>
        <w:br w:type="page"/>
      </w:r>
    </w:p>
    <w:p w:rsidR="00574CA4" w:rsidRDefault="006E4BF4">
      <w:pPr>
        <w:pStyle w:val="3"/>
        <w:spacing w:line="360" w:lineRule="auto"/>
        <w:rPr>
          <w:rFonts w:eastAsia="宋体"/>
          <w:szCs w:val="20"/>
        </w:rPr>
      </w:pPr>
      <w:r>
        <w:rPr>
          <w:rFonts w:eastAsia="宋体" w:hint="eastAsia"/>
          <w:szCs w:val="20"/>
        </w:rPr>
        <w:t>三、机构投资者的开户与认购程序</w:t>
      </w:r>
      <w:bookmarkEnd w:id="8"/>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机构投资者可以在</w:t>
      </w:r>
      <w:r>
        <w:rPr>
          <w:rFonts w:ascii="Arial" w:eastAsiaTheme="minorEastAsia" w:hAnsi="Arial" w:cs="Arial" w:hint="eastAsia"/>
          <w:szCs w:val="21"/>
        </w:rPr>
        <w:t>销售机构的销售网点及</w:t>
      </w:r>
      <w:r>
        <w:rPr>
          <w:rFonts w:ascii="Arial" w:eastAsiaTheme="minorEastAsia" w:hAnsi="Arial" w:cs="Arial" w:hint="eastAsia"/>
          <w:szCs w:val="21"/>
        </w:rPr>
        <w:t>本公司直销中心办理基金账户开户、认购申请。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（一）本公司直销中心受理机构投资者的开户与认购申请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1</w:t>
      </w:r>
      <w:r>
        <w:rPr>
          <w:rFonts w:ascii="Arial" w:eastAsiaTheme="minorEastAsia" w:hAnsi="Arial" w:cs="Arial"/>
          <w:szCs w:val="21"/>
        </w:rPr>
        <w:t>、开户和认购的时间：</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基金份额发售日的</w:t>
      </w:r>
      <w:r>
        <w:rPr>
          <w:rFonts w:ascii="Arial" w:eastAsiaTheme="minorEastAsia" w:hAnsi="Arial" w:cs="Arial"/>
          <w:szCs w:val="21"/>
        </w:rPr>
        <w:t>9</w:t>
      </w:r>
      <w:r>
        <w:rPr>
          <w:rFonts w:ascii="Arial" w:eastAsiaTheme="minorEastAsia" w:hAnsi="Arial" w:cs="Arial"/>
          <w:szCs w:val="21"/>
        </w:rPr>
        <w:t>：</w:t>
      </w:r>
      <w:r>
        <w:rPr>
          <w:rFonts w:ascii="Arial" w:eastAsiaTheme="minorEastAsia" w:hAnsi="Arial" w:cs="Arial"/>
          <w:szCs w:val="21"/>
        </w:rPr>
        <w:t>30</w:t>
      </w:r>
      <w:r>
        <w:rPr>
          <w:rFonts w:ascii="Arial" w:eastAsiaTheme="minorEastAsia" w:hAnsi="Arial" w:cs="Arial"/>
          <w:szCs w:val="21"/>
        </w:rPr>
        <w:t>—17</w:t>
      </w:r>
      <w:r>
        <w:rPr>
          <w:rFonts w:ascii="Arial" w:eastAsiaTheme="minorEastAsia" w:hAnsi="Arial" w:cs="Arial"/>
          <w:szCs w:val="21"/>
        </w:rPr>
        <w:t>：</w:t>
      </w:r>
      <w:r>
        <w:rPr>
          <w:rFonts w:ascii="Arial" w:eastAsiaTheme="minorEastAsia" w:hAnsi="Arial" w:cs="Arial"/>
          <w:szCs w:val="21"/>
        </w:rPr>
        <w:t>00</w:t>
      </w:r>
      <w:r>
        <w:rPr>
          <w:rFonts w:ascii="Arial" w:eastAsiaTheme="minorEastAsia" w:hAnsi="Arial" w:cs="Arial"/>
          <w:szCs w:val="21"/>
        </w:rPr>
        <w:t>（周六、周日</w:t>
      </w:r>
      <w:r>
        <w:rPr>
          <w:rFonts w:ascii="Arial" w:eastAsiaTheme="minorEastAsia" w:hAnsi="Arial" w:cs="Arial" w:hint="eastAsia"/>
          <w:szCs w:val="21"/>
        </w:rPr>
        <w:t>及法定节假日</w:t>
      </w:r>
      <w:r>
        <w:rPr>
          <w:rFonts w:ascii="Arial" w:eastAsiaTheme="minorEastAsia" w:hAnsi="Arial" w:cs="Arial"/>
          <w:szCs w:val="21"/>
        </w:rPr>
        <w:t>不营业）。</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2</w:t>
      </w:r>
      <w:r>
        <w:rPr>
          <w:rFonts w:ascii="Arial" w:eastAsiaTheme="minorEastAsia" w:hAnsi="Arial" w:cs="Arial"/>
          <w:szCs w:val="21"/>
        </w:rPr>
        <w:t>、</w:t>
      </w:r>
      <w:r>
        <w:rPr>
          <w:rFonts w:ascii="Arial" w:eastAsiaTheme="minorEastAsia" w:hAnsi="Arial" w:cs="Arial" w:hint="eastAsia"/>
          <w:szCs w:val="21"/>
        </w:rPr>
        <w:t>机构投资者</w:t>
      </w:r>
      <w:r>
        <w:rPr>
          <w:rFonts w:ascii="Arial" w:eastAsiaTheme="minorEastAsia" w:hAnsi="Arial" w:cs="Arial"/>
          <w:szCs w:val="21"/>
        </w:rPr>
        <w:t>办理基金交易账户和基金账户开户申请时须提交的材料：</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1</w:t>
      </w:r>
      <w:r>
        <w:rPr>
          <w:rFonts w:ascii="Arial" w:eastAsiaTheme="minorEastAsia" w:hAnsi="Arial" w:cs="Arial" w:hint="eastAsia"/>
          <w:szCs w:val="21"/>
        </w:rPr>
        <w:t>）普通</w:t>
      </w:r>
      <w:r>
        <w:rPr>
          <w:rFonts w:ascii="Arial" w:eastAsiaTheme="minorEastAsia" w:hAnsi="Arial" w:cs="Arial" w:hint="eastAsia"/>
          <w:szCs w:val="21"/>
        </w:rPr>
        <w:t>法人</w:t>
      </w:r>
      <w:r>
        <w:rPr>
          <w:rFonts w:ascii="Arial" w:eastAsiaTheme="minorEastAsia" w:hAnsi="Arial" w:cs="Arial" w:hint="eastAsia"/>
          <w:szCs w:val="21"/>
        </w:rPr>
        <w:t>机构</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1</w:t>
      </w:r>
      <w:r>
        <w:rPr>
          <w:rFonts w:ascii="Arial" w:eastAsiaTheme="minorEastAsia" w:hAnsi="Arial" w:cs="Arial" w:hint="eastAsia"/>
          <w:szCs w:val="21"/>
        </w:rPr>
        <w:t>）企业法人提交加盖单位公章的企业营业执照复印件及副本复印件；事业法人、社会团体或其他组织提供民政部门或主管部门颁发的加盖公章的注册登记证书复印件。开户单位为分支机构的，应提交法人授权的书面证明。（加盖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2</w:t>
      </w:r>
      <w:r>
        <w:rPr>
          <w:rFonts w:ascii="Arial" w:eastAsiaTheme="minorEastAsia" w:hAnsi="Arial" w:cs="Arial" w:hint="eastAsia"/>
          <w:szCs w:val="21"/>
        </w:rPr>
        <w:t>）机构资质证明文件。（加盖公章）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3</w:t>
      </w:r>
      <w:r>
        <w:rPr>
          <w:rFonts w:ascii="Arial" w:eastAsiaTheme="minorEastAsia" w:hAnsi="Arial" w:cs="Arial" w:hint="eastAsia"/>
          <w:szCs w:val="21"/>
        </w:rPr>
        <w:t>）指定银行账户《开户许可证》或指定银行出具的开户证明复印件。（加盖公章）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4</w:t>
      </w:r>
      <w:r>
        <w:rPr>
          <w:rFonts w:ascii="Arial" w:eastAsiaTheme="minorEastAsia" w:hAnsi="Arial" w:cs="Arial" w:hint="eastAsia"/>
          <w:szCs w:val="21"/>
        </w:rPr>
        <w:t>）法定代表人有效身份证件正反面复印件。（加盖公章）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5</w:t>
      </w:r>
      <w:r>
        <w:rPr>
          <w:rFonts w:ascii="Arial" w:eastAsiaTheme="minorEastAsia" w:hAnsi="Arial" w:cs="Arial" w:hint="eastAsia"/>
          <w:szCs w:val="21"/>
        </w:rPr>
        <w:t>）经办人有效身份证件正反面复印件。（加盖公章）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6</w:t>
      </w:r>
      <w:r>
        <w:rPr>
          <w:rFonts w:ascii="Arial" w:eastAsiaTheme="minorEastAsia" w:hAnsi="Arial" w:cs="Arial" w:hint="eastAsia"/>
          <w:szCs w:val="21"/>
        </w:rPr>
        <w:t>）加盖公章和法定代表人签章或负责人签章的《基金业务授权委托书》、《开放式基金账户业务申请表（机构）》、《传真交易协议书》。（《开放式基金账户业务申请表（机构）》、《传真交易协议书》如需回寄，请提供一式两份）。如为法定代表人授权代表签章，则须有法定代表人对该授权代表的授权委托书复印件。（加盖公章）</w:t>
      </w:r>
      <w:r>
        <w:rPr>
          <w:rFonts w:ascii="Arial" w:eastAsiaTheme="minorEastAsia" w:hAnsi="Arial" w:cs="Arial"/>
          <w:szCs w:val="21"/>
        </w:rPr>
        <w:t xml:space="preserve"> </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7</w:t>
      </w:r>
      <w:r>
        <w:rPr>
          <w:rFonts w:ascii="Arial" w:eastAsiaTheme="minorEastAsia" w:hAnsi="Arial" w:cs="Arial" w:hint="eastAsia"/>
          <w:szCs w:val="21"/>
        </w:rPr>
        <w:t>）填妥并加盖公章的《开放式基金业务印鉴卡》、《风险承受能力调查问卷》、《风险提示函》</w:t>
      </w:r>
      <w:r>
        <w:rPr>
          <w:rFonts w:ascii="Arial" w:eastAsiaTheme="minorEastAsia" w:hAnsi="Arial" w:cs="Arial"/>
          <w:szCs w:val="21"/>
        </w:rPr>
        <w:t> </w:t>
      </w:r>
      <w:r>
        <w:rPr>
          <w:rFonts w:ascii="Arial" w:eastAsiaTheme="minorEastAsia" w:hAnsi="Arial" w:cs="Arial" w:hint="eastAsia"/>
          <w:szCs w:val="21"/>
        </w:rPr>
        <w:t>。</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8</w:t>
      </w:r>
      <w:r>
        <w:rPr>
          <w:rFonts w:ascii="Arial" w:eastAsiaTheme="minorEastAsia" w:hAnsi="Arial" w:cs="Arial" w:hint="eastAsia"/>
          <w:szCs w:val="21"/>
        </w:rPr>
        <w:t>）加盖公章和法定代表人签章的《国寿安保</w:t>
      </w:r>
      <w:r>
        <w:rPr>
          <w:rFonts w:ascii="Arial" w:eastAsiaTheme="minorEastAsia" w:hAnsi="Arial" w:cs="Arial"/>
          <w:szCs w:val="21"/>
        </w:rPr>
        <w:t>-</w:t>
      </w:r>
      <w:r>
        <w:rPr>
          <w:rFonts w:ascii="Arial" w:eastAsiaTheme="minorEastAsia" w:hAnsi="Arial" w:cs="Arial" w:hint="eastAsia"/>
          <w:szCs w:val="21"/>
        </w:rPr>
        <w:t>非自然人客户受益所有人信息登</w:t>
      </w:r>
      <w:r>
        <w:rPr>
          <w:rFonts w:ascii="Arial" w:eastAsiaTheme="minorEastAsia" w:hAnsi="Arial" w:cs="Arial" w:hint="eastAsia"/>
          <w:szCs w:val="21"/>
        </w:rPr>
        <w:t>记表》及加盖公章的相关证明资料。</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9</w:t>
      </w:r>
      <w:r>
        <w:rPr>
          <w:rFonts w:ascii="Arial" w:eastAsiaTheme="minorEastAsia" w:hAnsi="Arial" w:cs="Arial" w:hint="eastAsia"/>
          <w:szCs w:val="21"/>
        </w:rPr>
        <w:t>）填妥并加盖公章的《机构税收居民身份声明文件》。</w:t>
      </w:r>
    </w:p>
    <w:p w:rsidR="00574CA4" w:rsidRDefault="006E4BF4">
      <w:pPr>
        <w:autoSpaceDE w:val="0"/>
        <w:autoSpaceDN w:val="0"/>
        <w:adjustRightInd w:val="0"/>
        <w:snapToGrid w:val="0"/>
        <w:spacing w:line="360" w:lineRule="auto"/>
        <w:ind w:firstLineChars="200" w:firstLine="420"/>
        <w:rPr>
          <w:rFonts w:ascii="Calibri" w:hAnsi="Calibri" w:cs="Calibri"/>
          <w:kern w:val="0"/>
          <w:szCs w:val="21"/>
        </w:rPr>
      </w:pPr>
      <w:r>
        <w:rPr>
          <w:rFonts w:ascii="Arial" w:eastAsiaTheme="minorEastAsia" w:hAnsi="Arial" w:cs="Arial"/>
          <w:szCs w:val="21"/>
        </w:rPr>
        <w:t>1</w:t>
      </w:r>
      <w:r>
        <w:rPr>
          <w:rFonts w:ascii="Arial" w:eastAsiaTheme="minorEastAsia" w:hAnsi="Arial" w:cs="Arial" w:hint="eastAsia"/>
          <w:szCs w:val="21"/>
        </w:rPr>
        <w:t>0</w:t>
      </w:r>
      <w:r>
        <w:rPr>
          <w:rFonts w:ascii="Arial" w:eastAsiaTheme="minorEastAsia" w:hAnsi="Arial" w:cs="Arial" w:hint="eastAsia"/>
          <w:szCs w:val="21"/>
        </w:rPr>
        <w:t>）上海证券交易所及深圳证券交易所</w:t>
      </w:r>
      <w:r>
        <w:rPr>
          <w:rFonts w:ascii="Arial" w:eastAsiaTheme="minorEastAsia" w:hAnsi="Arial" w:cs="Arial"/>
          <w:szCs w:val="21"/>
        </w:rPr>
        <w:t>A</w:t>
      </w:r>
      <w:r>
        <w:rPr>
          <w:rFonts w:ascii="Arial" w:eastAsiaTheme="minorEastAsia" w:hAnsi="Arial" w:cs="Arial" w:hint="eastAsia"/>
          <w:szCs w:val="21"/>
        </w:rPr>
        <w:t>股账户卡或证券投资基金账户卡复印件（需开立中登账户时提供），及投资者开户券商营业部的席位号（需开立中登账户时提供）。</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11</w:t>
      </w:r>
      <w:r>
        <w:rPr>
          <w:rFonts w:ascii="Arial" w:eastAsiaTheme="minorEastAsia" w:hAnsi="Arial" w:cs="Arial" w:hint="eastAsia"/>
          <w:szCs w:val="21"/>
        </w:rPr>
        <w:t>）本公司直销中心要求提供的其他有关材料。</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2</w:t>
      </w:r>
      <w:r>
        <w:rPr>
          <w:rFonts w:ascii="Arial" w:eastAsiaTheme="minorEastAsia" w:hAnsi="Arial" w:cs="Arial" w:hint="eastAsia"/>
          <w:szCs w:val="21"/>
        </w:rPr>
        <w:t>）金融产品类</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1</w:t>
      </w:r>
      <w:r>
        <w:rPr>
          <w:rFonts w:ascii="Arial" w:eastAsiaTheme="minorEastAsia" w:hAnsi="Arial" w:cs="Arial" w:hint="eastAsia"/>
          <w:szCs w:val="21"/>
        </w:rPr>
        <w:t>）管理人负责开户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A</w:t>
      </w:r>
      <w:r>
        <w:rPr>
          <w:rFonts w:ascii="Arial" w:eastAsiaTheme="minorEastAsia" w:hAnsi="Arial" w:cs="Arial" w:hint="eastAsia"/>
          <w:szCs w:val="21"/>
        </w:rPr>
        <w:t>）</w:t>
      </w:r>
      <w:r>
        <w:rPr>
          <w:rFonts w:ascii="Arial" w:eastAsiaTheme="minorEastAsia" w:hAnsi="Arial" w:cs="Arial"/>
          <w:szCs w:val="21"/>
        </w:rPr>
        <w:t xml:space="preserve"> </w:t>
      </w:r>
      <w:r>
        <w:rPr>
          <w:rFonts w:ascii="Arial" w:eastAsiaTheme="minorEastAsia" w:hAnsi="Arial" w:cs="Arial" w:hint="eastAsia"/>
          <w:szCs w:val="21"/>
        </w:rPr>
        <w:t>根据产品管理人的机构类型，企业法人提交加盖单位公章的企业营业执照复印件及副本复印件；事业法人、社会团体或其他组织提供民政部门或主管部门颁发的加盖公章的注册登记证书复印件。开户单位为分支机构的，应提交法人授权的书面证明。</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B</w:t>
      </w:r>
      <w:r>
        <w:rPr>
          <w:rFonts w:ascii="Arial" w:eastAsiaTheme="minorEastAsia" w:hAnsi="Arial" w:cs="Arial" w:hint="eastAsia"/>
          <w:szCs w:val="21"/>
        </w:rPr>
        <w:t>）</w:t>
      </w:r>
      <w:r>
        <w:rPr>
          <w:rFonts w:ascii="Arial" w:eastAsiaTheme="minorEastAsia" w:hAnsi="Arial" w:cs="Arial"/>
          <w:szCs w:val="21"/>
        </w:rPr>
        <w:t xml:space="preserve"> </w:t>
      </w:r>
      <w:r>
        <w:rPr>
          <w:rFonts w:ascii="Arial" w:eastAsiaTheme="minorEastAsia" w:hAnsi="Arial" w:cs="Arial" w:hint="eastAsia"/>
          <w:szCs w:val="21"/>
        </w:rPr>
        <w:t>管理人的资产管理业务资格的证明文件复印件。</w:t>
      </w:r>
      <w:r>
        <w:rPr>
          <w:rFonts w:ascii="Arial" w:eastAsiaTheme="minorEastAsia" w:hAnsi="Arial" w:cs="Arial"/>
          <w:szCs w:val="21"/>
        </w:rPr>
        <w:t>(</w:t>
      </w:r>
      <w:r>
        <w:rPr>
          <w:rFonts w:ascii="Arial" w:eastAsiaTheme="minorEastAsia" w:hAnsi="Arial" w:cs="Arial" w:hint="eastAsia"/>
          <w:szCs w:val="21"/>
        </w:rPr>
        <w:t>加盖公章</w:t>
      </w:r>
      <w:r>
        <w:rPr>
          <w:rFonts w:ascii="Arial" w:eastAsiaTheme="minorEastAsia" w:hAnsi="Arial" w:cs="Arial"/>
          <w:szCs w:val="21"/>
        </w:rPr>
        <w:t>)</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C</w:t>
      </w:r>
      <w:r>
        <w:rPr>
          <w:rFonts w:ascii="Arial" w:eastAsiaTheme="minorEastAsia" w:hAnsi="Arial" w:cs="Arial" w:hint="eastAsia"/>
          <w:szCs w:val="21"/>
        </w:rPr>
        <w:t>）指定银行账户的账户证明或《开立银行账户申请表》复印件。</w:t>
      </w:r>
      <w:r>
        <w:rPr>
          <w:rFonts w:ascii="Arial" w:eastAsiaTheme="minorEastAsia" w:hAnsi="Arial" w:cs="Arial"/>
          <w:szCs w:val="21"/>
        </w:rPr>
        <w:t>(</w:t>
      </w:r>
      <w:r>
        <w:rPr>
          <w:rFonts w:ascii="Arial" w:eastAsiaTheme="minorEastAsia" w:hAnsi="Arial" w:cs="Arial" w:hint="eastAsia"/>
          <w:szCs w:val="21"/>
        </w:rPr>
        <w:t>加盖公章</w:t>
      </w:r>
      <w:r>
        <w:rPr>
          <w:rFonts w:ascii="Arial" w:eastAsiaTheme="minorEastAsia" w:hAnsi="Arial" w:cs="Arial"/>
          <w:szCs w:val="21"/>
        </w:rPr>
        <w:t>)</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D</w:t>
      </w:r>
      <w:r>
        <w:rPr>
          <w:rFonts w:ascii="Arial" w:eastAsiaTheme="minorEastAsia" w:hAnsi="Arial" w:cs="Arial" w:hint="eastAsia"/>
          <w:szCs w:val="21"/>
        </w:rPr>
        <w:t>）管理人机构的法定代表人或负责人有效身份证件正反面复印件。</w:t>
      </w:r>
      <w:r>
        <w:rPr>
          <w:rFonts w:ascii="Arial" w:eastAsiaTheme="minorEastAsia" w:hAnsi="Arial" w:cs="Arial"/>
          <w:szCs w:val="21"/>
        </w:rPr>
        <w:t>(</w:t>
      </w:r>
      <w:r>
        <w:rPr>
          <w:rFonts w:ascii="Arial" w:eastAsiaTheme="minorEastAsia" w:hAnsi="Arial" w:cs="Arial" w:hint="eastAsia"/>
          <w:szCs w:val="21"/>
        </w:rPr>
        <w:t>加盖公章</w:t>
      </w:r>
      <w:r>
        <w:rPr>
          <w:rFonts w:ascii="Arial" w:eastAsiaTheme="minorEastAsia" w:hAnsi="Arial" w:cs="Arial"/>
          <w:szCs w:val="21"/>
        </w:rPr>
        <w:t>)</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E</w:t>
      </w:r>
      <w:r>
        <w:rPr>
          <w:rFonts w:ascii="Arial" w:eastAsiaTheme="minorEastAsia" w:hAnsi="Arial" w:cs="Arial" w:hint="eastAsia"/>
          <w:szCs w:val="21"/>
        </w:rPr>
        <w:t>）管理人机构的经办人有效身份证件正反面复印件。</w:t>
      </w:r>
      <w:r>
        <w:rPr>
          <w:rFonts w:ascii="Arial" w:eastAsiaTheme="minorEastAsia" w:hAnsi="Arial" w:cs="Arial"/>
          <w:szCs w:val="21"/>
        </w:rPr>
        <w:t>(</w:t>
      </w:r>
      <w:r>
        <w:rPr>
          <w:rFonts w:ascii="Arial" w:eastAsiaTheme="minorEastAsia" w:hAnsi="Arial" w:cs="Arial" w:hint="eastAsia"/>
          <w:szCs w:val="21"/>
        </w:rPr>
        <w:t>加盖公章</w:t>
      </w:r>
      <w:r>
        <w:rPr>
          <w:rFonts w:ascii="Arial" w:eastAsiaTheme="minorEastAsia" w:hAnsi="Arial" w:cs="Arial"/>
          <w:szCs w:val="21"/>
        </w:rPr>
        <w:t>)</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F</w:t>
      </w:r>
      <w:r>
        <w:rPr>
          <w:rFonts w:ascii="Arial" w:eastAsiaTheme="minorEastAsia" w:hAnsi="Arial" w:cs="Arial" w:hint="eastAsia"/>
          <w:szCs w:val="21"/>
        </w:rPr>
        <w:t>）资产管理计划的管理合同或资产托管协议的首末页。（加盖公章）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G</w:t>
      </w:r>
      <w:r>
        <w:rPr>
          <w:rFonts w:ascii="Arial" w:eastAsiaTheme="minorEastAsia" w:hAnsi="Arial" w:cs="Arial" w:hint="eastAsia"/>
          <w:szCs w:val="21"/>
        </w:rPr>
        <w:t>）产品计划向监管部门报备的书面文件材料或相关证明文件复印件。（加盖公章）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H</w:t>
      </w:r>
      <w:r>
        <w:rPr>
          <w:rFonts w:ascii="Arial" w:eastAsiaTheme="minorEastAsia" w:hAnsi="Arial" w:cs="Arial" w:hint="eastAsia"/>
          <w:szCs w:val="21"/>
        </w:rPr>
        <w:t>）加盖公章和法定代表人签章或负责人签章的《基金业务授权委托书》、《开放式基金账户业务申请表（产品）》、《传真交易协议书》。（《开放式基金账户业务申请表（产品）》、《传真交易协议书》如需回寄，请提供一式两份）。如为法定代表人授权代表签章，则须有法定代表人对该授权代表的授权委托书复印件。（加盖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I</w:t>
      </w:r>
      <w:r>
        <w:rPr>
          <w:rFonts w:ascii="Arial" w:eastAsiaTheme="minorEastAsia" w:hAnsi="Arial" w:cs="Arial" w:hint="eastAsia"/>
          <w:szCs w:val="21"/>
        </w:rPr>
        <w:t>）填妥并加盖公章的《开放式基金业务印鉴卡》、《风险承受能力调查问卷》、</w:t>
      </w:r>
      <w:r>
        <w:rPr>
          <w:rFonts w:ascii="Arial" w:eastAsiaTheme="minorEastAsia" w:hAnsi="Arial" w:cs="Arial" w:hint="eastAsia"/>
          <w:szCs w:val="21"/>
        </w:rPr>
        <w:t>《风险提示函》</w:t>
      </w:r>
      <w:r>
        <w:rPr>
          <w:rFonts w:ascii="Arial" w:eastAsiaTheme="minorEastAsia" w:hAnsi="Arial" w:cs="Arial"/>
          <w:szCs w:val="21"/>
        </w:rPr>
        <w:t> </w:t>
      </w:r>
      <w:r>
        <w:rPr>
          <w:rFonts w:ascii="Arial" w:eastAsiaTheme="minorEastAsia" w:hAnsi="Arial" w:cs="Arial" w:hint="eastAsia"/>
          <w:szCs w:val="21"/>
        </w:rPr>
        <w:t>。</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J</w:t>
      </w:r>
      <w:r>
        <w:rPr>
          <w:rFonts w:ascii="Arial" w:eastAsiaTheme="minorEastAsia" w:hAnsi="Arial" w:cs="Arial" w:hint="eastAsia"/>
          <w:szCs w:val="21"/>
        </w:rPr>
        <w:t>）加盖公章和法定代表人签章的《国寿安保</w:t>
      </w:r>
      <w:r>
        <w:rPr>
          <w:rFonts w:ascii="Arial" w:eastAsiaTheme="minorEastAsia" w:hAnsi="Arial" w:cs="Arial"/>
          <w:szCs w:val="21"/>
        </w:rPr>
        <w:t>-</w:t>
      </w:r>
      <w:r>
        <w:rPr>
          <w:rFonts w:ascii="Arial" w:eastAsiaTheme="minorEastAsia" w:hAnsi="Arial" w:cs="Arial" w:hint="eastAsia"/>
          <w:szCs w:val="21"/>
        </w:rPr>
        <w:t>非自然人客户受益所有人信息登记表》及加盖公章的相关证明资料。</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K</w:t>
      </w:r>
      <w:r>
        <w:rPr>
          <w:rFonts w:ascii="Arial" w:eastAsiaTheme="minorEastAsia" w:hAnsi="Arial" w:cs="Arial" w:hint="eastAsia"/>
          <w:szCs w:val="21"/>
        </w:rPr>
        <w:t>）填妥并加盖公章的《机构税收居民身份声明文件》。</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2</w:t>
      </w:r>
      <w:r>
        <w:rPr>
          <w:rFonts w:ascii="Arial" w:eastAsiaTheme="minorEastAsia" w:hAnsi="Arial" w:cs="Arial" w:hint="eastAsia"/>
          <w:szCs w:val="21"/>
        </w:rPr>
        <w:t>）托管人负责开立，除以上材料外需补充：</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A</w:t>
      </w:r>
      <w:r>
        <w:rPr>
          <w:rFonts w:ascii="Arial" w:eastAsiaTheme="minorEastAsia" w:hAnsi="Arial" w:cs="Arial" w:hint="eastAsia"/>
          <w:szCs w:val="21"/>
        </w:rPr>
        <w:t>）托管人的营业执照副本复印件（最新年检过的副本）或民政部门等颁发的注册登记书复印件。（加盖公章）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B</w:t>
      </w:r>
      <w:r>
        <w:rPr>
          <w:rFonts w:ascii="Arial" w:eastAsiaTheme="minorEastAsia" w:hAnsi="Arial" w:cs="Arial" w:hint="eastAsia"/>
          <w:szCs w:val="21"/>
        </w:rPr>
        <w:t>）托管人出具的《基金业务授权委托书》（加盖公章和法定代表人签章或负责人签章），如为法定代表人授权代表签章，则须有法定代表人对该授权代表的授权委托书复印件。（加盖公章）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C</w:t>
      </w:r>
      <w:r>
        <w:rPr>
          <w:rFonts w:ascii="Arial" w:eastAsiaTheme="minorEastAsia" w:hAnsi="Arial" w:cs="Arial" w:hint="eastAsia"/>
          <w:szCs w:val="21"/>
        </w:rPr>
        <w:t>）托管人出具的《预留印</w:t>
      </w:r>
      <w:r>
        <w:rPr>
          <w:rFonts w:ascii="Arial" w:eastAsiaTheme="minorEastAsia" w:hAnsi="Arial" w:cs="Arial" w:hint="eastAsia"/>
          <w:szCs w:val="21"/>
        </w:rPr>
        <w:t>鉴》。</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D</w:t>
      </w:r>
      <w:r>
        <w:rPr>
          <w:rFonts w:ascii="Arial" w:eastAsiaTheme="minorEastAsia" w:hAnsi="Arial" w:cs="Arial" w:hint="eastAsia"/>
          <w:szCs w:val="21"/>
        </w:rPr>
        <w:t>）托管人出具的经办人有效身份证件原件及正反面复印件。（加盖公章）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E</w:t>
      </w:r>
      <w:r>
        <w:rPr>
          <w:rFonts w:ascii="Arial" w:eastAsiaTheme="minorEastAsia" w:hAnsi="Arial" w:cs="Arial" w:hint="eastAsia"/>
          <w:szCs w:val="21"/>
        </w:rPr>
        <w:t>）托管人出具的法定代表人或负责人有效身份证件正反面复印件。（加盖公章）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）社保组合开户资料</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在上述托管类资产开户资料基础上，还需提供：</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社保理事会确定管理人及相应投资组合的确认函复印件；或社保理事会分别与托管人、投管人分别签署的托管合同和投资管理合同首末页。（加盖托管人或投管人公章）</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4</w:t>
      </w:r>
      <w:r>
        <w:rPr>
          <w:rFonts w:ascii="Arial" w:eastAsiaTheme="minorEastAsia" w:hAnsi="Arial" w:cs="Arial" w:hint="eastAsia"/>
          <w:szCs w:val="21"/>
        </w:rPr>
        <w:t>）其他机构（合格境外机构开户</w:t>
      </w:r>
      <w:r>
        <w:rPr>
          <w:rFonts w:ascii="Arial" w:eastAsiaTheme="minorEastAsia" w:hAnsi="Arial" w:cs="Arial"/>
          <w:szCs w:val="21"/>
        </w:rPr>
        <w:t>QFII</w:t>
      </w:r>
      <w:r>
        <w:rPr>
          <w:rFonts w:ascii="Arial" w:eastAsiaTheme="minorEastAsia" w:hAnsi="Arial" w:cs="Arial" w:hint="eastAsia"/>
          <w:szCs w:val="21"/>
        </w:rPr>
        <w:t>），应提供监管机构颁发的</w:t>
      </w:r>
      <w:r>
        <w:rPr>
          <w:rFonts w:ascii="Arial" w:eastAsiaTheme="minorEastAsia" w:hAnsi="Arial" w:cs="Arial"/>
          <w:szCs w:val="21"/>
        </w:rPr>
        <w:t xml:space="preserve"> QFII </w:t>
      </w:r>
      <w:r>
        <w:rPr>
          <w:rFonts w:ascii="Arial" w:eastAsiaTheme="minorEastAsia" w:hAnsi="Arial" w:cs="Arial" w:hint="eastAsia"/>
          <w:szCs w:val="21"/>
        </w:rPr>
        <w:t>证券投资业务许可证的复印件；</w:t>
      </w:r>
      <w:r>
        <w:rPr>
          <w:rFonts w:ascii="Arial" w:eastAsiaTheme="minorEastAsia" w:hAnsi="Arial" w:cs="Arial"/>
          <w:szCs w:val="21"/>
        </w:rPr>
        <w:t xml:space="preserve">QFII </w:t>
      </w:r>
      <w:r>
        <w:rPr>
          <w:rFonts w:ascii="Arial" w:eastAsiaTheme="minorEastAsia" w:hAnsi="Arial" w:cs="Arial" w:hint="eastAsia"/>
          <w:szCs w:val="21"/>
        </w:rPr>
        <w:t>机构提供的授权书，其中应包含授权对</w:t>
      </w:r>
      <w:r>
        <w:rPr>
          <w:rFonts w:ascii="Arial" w:eastAsiaTheme="minorEastAsia" w:hAnsi="Arial" w:cs="Arial" w:hint="eastAsia"/>
          <w:szCs w:val="21"/>
        </w:rPr>
        <w:t>象、授权对象可代理的业务、授权期限等内容，由</w:t>
      </w:r>
      <w:r>
        <w:rPr>
          <w:rFonts w:ascii="Arial" w:eastAsiaTheme="minorEastAsia" w:hAnsi="Arial" w:cs="Arial"/>
          <w:szCs w:val="21"/>
        </w:rPr>
        <w:t xml:space="preserve"> QFII </w:t>
      </w:r>
      <w:r>
        <w:rPr>
          <w:rFonts w:ascii="Arial" w:eastAsiaTheme="minorEastAsia" w:hAnsi="Arial" w:cs="Arial" w:hint="eastAsia"/>
          <w:szCs w:val="21"/>
        </w:rPr>
        <w:t>机构的负责人签名确认；监管机构出具的关于托管机构</w:t>
      </w:r>
      <w:r>
        <w:rPr>
          <w:rFonts w:ascii="Arial" w:eastAsiaTheme="minorEastAsia" w:hAnsi="Arial" w:cs="Arial"/>
          <w:szCs w:val="21"/>
        </w:rPr>
        <w:t xml:space="preserve"> QFII </w:t>
      </w:r>
      <w:r>
        <w:rPr>
          <w:rFonts w:ascii="Arial" w:eastAsiaTheme="minorEastAsia" w:hAnsi="Arial" w:cs="Arial" w:hint="eastAsia"/>
          <w:szCs w:val="21"/>
        </w:rPr>
        <w:t>托管人资格的批复复印件。</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、机构投资者办理认购申请时须提交填妥的《开放式基金交易业务申请书》，并加盖预留交易印鉴，同时提供经办人有效身份证件原件及经其签字复印件。</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1</w:t>
      </w:r>
      <w:r>
        <w:rPr>
          <w:rFonts w:ascii="Arial" w:eastAsiaTheme="minorEastAsia" w:hAnsi="Arial" w:cs="Arial"/>
          <w:szCs w:val="21"/>
        </w:rPr>
        <w:t>）认购资金的划拨</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通过开户预留账户</w:t>
      </w:r>
      <w:r>
        <w:rPr>
          <w:rFonts w:ascii="Arial" w:eastAsiaTheme="minorEastAsia" w:hAnsi="Arial" w:cs="Arial"/>
          <w:szCs w:val="21"/>
        </w:rPr>
        <w:t>将足额认购资金汇入本公司指定的直销专户：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）广发银行直销专户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账户名称：</w:t>
      </w:r>
      <w:r>
        <w:rPr>
          <w:rFonts w:ascii="Arial" w:eastAsiaTheme="minorEastAsia" w:hAnsi="Arial" w:cs="Arial" w:hint="eastAsia"/>
          <w:szCs w:val="21"/>
        </w:rPr>
        <w:t>国寿安保</w:t>
      </w:r>
      <w:r>
        <w:rPr>
          <w:rFonts w:ascii="Arial" w:eastAsiaTheme="minorEastAsia" w:hAnsi="Arial" w:cs="Arial"/>
          <w:szCs w:val="21"/>
        </w:rPr>
        <w:t>基金管理有限公司</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银行全称：</w:t>
      </w:r>
      <w:r>
        <w:rPr>
          <w:rFonts w:ascii="Arial" w:eastAsiaTheme="minorEastAsia" w:hAnsi="Arial" w:cs="Arial" w:hint="eastAsia"/>
          <w:szCs w:val="21"/>
        </w:rPr>
        <w:t>广发银行北京金融街支行</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银行账号：</w:t>
      </w:r>
      <w:r>
        <w:rPr>
          <w:rFonts w:ascii="Arial" w:eastAsiaTheme="minorEastAsia" w:hAnsi="Arial" w:cs="Arial"/>
          <w:szCs w:val="21"/>
        </w:rPr>
        <w:t>9550880052717802095</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人行支付系统</w:t>
      </w:r>
      <w:r>
        <w:rPr>
          <w:rFonts w:ascii="Arial" w:eastAsiaTheme="minorEastAsia" w:hAnsi="Arial" w:cs="Arial" w:hint="eastAsia"/>
          <w:szCs w:val="21"/>
        </w:rPr>
        <w:t>行</w:t>
      </w:r>
      <w:r>
        <w:rPr>
          <w:rFonts w:ascii="Arial" w:eastAsiaTheme="minorEastAsia" w:hAnsi="Arial" w:cs="Arial"/>
          <w:szCs w:val="21"/>
        </w:rPr>
        <w:t>号：</w:t>
      </w:r>
      <w:r>
        <w:rPr>
          <w:rFonts w:ascii="Arial" w:eastAsiaTheme="minorEastAsia" w:hAnsi="Arial" w:cs="Arial" w:hint="eastAsia"/>
          <w:szCs w:val="21"/>
        </w:rPr>
        <w:t>306100004677</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w:t>
      </w:r>
      <w:r>
        <w:rPr>
          <w:rFonts w:ascii="Arial" w:eastAsiaTheme="minorEastAsia" w:hAnsi="Arial" w:cs="Arial"/>
          <w:szCs w:val="21"/>
        </w:rPr>
        <w:t>中国</w:t>
      </w:r>
      <w:r>
        <w:rPr>
          <w:rFonts w:ascii="Arial" w:eastAsiaTheme="minorEastAsia" w:hAnsi="Arial" w:cs="Arial" w:hint="eastAsia"/>
          <w:szCs w:val="21"/>
        </w:rPr>
        <w:t>工商</w:t>
      </w:r>
      <w:r>
        <w:rPr>
          <w:rFonts w:ascii="Arial" w:eastAsiaTheme="minorEastAsia" w:hAnsi="Arial" w:cs="Arial"/>
          <w:szCs w:val="21"/>
        </w:rPr>
        <w:t>银行直销专户：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账户名称：</w:t>
      </w:r>
      <w:r>
        <w:rPr>
          <w:rFonts w:ascii="Arial" w:eastAsiaTheme="minorEastAsia" w:hAnsi="Arial" w:cs="Arial" w:hint="eastAsia"/>
          <w:szCs w:val="21"/>
        </w:rPr>
        <w:t>国寿安保</w:t>
      </w:r>
      <w:r>
        <w:rPr>
          <w:rFonts w:ascii="Arial" w:eastAsiaTheme="minorEastAsia" w:hAnsi="Arial" w:cs="Arial"/>
          <w:szCs w:val="21"/>
        </w:rPr>
        <w:t>基金管理有限公司</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银行全称：中国</w:t>
      </w:r>
      <w:r>
        <w:rPr>
          <w:rFonts w:ascii="Arial" w:eastAsiaTheme="minorEastAsia" w:hAnsi="Arial" w:cs="Arial" w:hint="eastAsia"/>
          <w:szCs w:val="21"/>
        </w:rPr>
        <w:t>工商</w:t>
      </w:r>
      <w:r>
        <w:rPr>
          <w:rFonts w:ascii="Arial" w:eastAsiaTheme="minorEastAsia" w:hAnsi="Arial" w:cs="Arial"/>
          <w:szCs w:val="21"/>
        </w:rPr>
        <w:t>银行北京</w:t>
      </w:r>
      <w:r>
        <w:rPr>
          <w:rFonts w:ascii="Arial" w:eastAsiaTheme="minorEastAsia" w:hAnsi="Arial" w:cs="Arial" w:hint="eastAsia"/>
          <w:szCs w:val="21"/>
        </w:rPr>
        <w:t>市分行营业部</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银行账号：</w:t>
      </w:r>
      <w:r>
        <w:rPr>
          <w:rFonts w:ascii="Arial" w:eastAsiaTheme="minorEastAsia" w:hAnsi="Arial" w:cs="Arial"/>
          <w:szCs w:val="21"/>
        </w:rPr>
        <w:t>0200000319239146828</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人行支付系统</w:t>
      </w:r>
      <w:r>
        <w:rPr>
          <w:rFonts w:ascii="Arial" w:eastAsiaTheme="minorEastAsia" w:hAnsi="Arial" w:cs="Arial" w:hint="eastAsia"/>
          <w:szCs w:val="21"/>
        </w:rPr>
        <w:t>行</w:t>
      </w:r>
      <w:r>
        <w:rPr>
          <w:rFonts w:ascii="Arial" w:eastAsiaTheme="minorEastAsia" w:hAnsi="Arial" w:cs="Arial"/>
          <w:szCs w:val="21"/>
        </w:rPr>
        <w:t>号：</w:t>
      </w:r>
      <w:r>
        <w:rPr>
          <w:rFonts w:ascii="Arial" w:eastAsiaTheme="minorEastAsia" w:hAnsi="Arial" w:cs="Arial"/>
          <w:szCs w:val="21"/>
        </w:rPr>
        <w:t>102100000030</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w:t>
      </w:r>
      <w:r>
        <w:rPr>
          <w:rFonts w:ascii="Arial" w:eastAsiaTheme="minorEastAsia" w:hAnsi="Arial" w:cs="Arial"/>
          <w:szCs w:val="21"/>
        </w:rPr>
        <w:t>中国</w:t>
      </w:r>
      <w:r>
        <w:rPr>
          <w:rFonts w:ascii="Arial" w:eastAsiaTheme="minorEastAsia" w:hAnsi="Arial" w:cs="Arial" w:hint="eastAsia"/>
          <w:szCs w:val="21"/>
        </w:rPr>
        <w:t>建设</w:t>
      </w:r>
      <w:r>
        <w:rPr>
          <w:rFonts w:ascii="Arial" w:eastAsiaTheme="minorEastAsia" w:hAnsi="Arial" w:cs="Arial"/>
          <w:szCs w:val="21"/>
        </w:rPr>
        <w:t>银行直销专户：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账户名称：</w:t>
      </w:r>
      <w:r>
        <w:rPr>
          <w:rFonts w:ascii="Arial" w:eastAsiaTheme="minorEastAsia" w:hAnsi="Arial" w:cs="Arial" w:hint="eastAsia"/>
          <w:szCs w:val="21"/>
        </w:rPr>
        <w:t>国寿安保</w:t>
      </w:r>
      <w:r>
        <w:rPr>
          <w:rFonts w:ascii="Arial" w:eastAsiaTheme="minorEastAsia" w:hAnsi="Arial" w:cs="Arial"/>
          <w:szCs w:val="21"/>
        </w:rPr>
        <w:t>基金管理有限公司</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银行全称：中国</w:t>
      </w:r>
      <w:r>
        <w:rPr>
          <w:rFonts w:ascii="Arial" w:eastAsiaTheme="minorEastAsia" w:hAnsi="Arial" w:cs="Arial" w:hint="eastAsia"/>
          <w:szCs w:val="21"/>
        </w:rPr>
        <w:t>建设</w:t>
      </w:r>
      <w:r>
        <w:rPr>
          <w:rFonts w:ascii="Arial" w:eastAsiaTheme="minorEastAsia" w:hAnsi="Arial" w:cs="Arial"/>
          <w:szCs w:val="21"/>
        </w:rPr>
        <w:t>银行</w:t>
      </w:r>
      <w:r>
        <w:rPr>
          <w:rFonts w:ascii="Arial" w:eastAsiaTheme="minorEastAsia" w:hAnsi="Arial" w:cs="Arial" w:hint="eastAsia"/>
          <w:szCs w:val="21"/>
        </w:rPr>
        <w:t>股份有限公司</w:t>
      </w:r>
      <w:r>
        <w:rPr>
          <w:rFonts w:ascii="Arial" w:eastAsiaTheme="minorEastAsia" w:hAnsi="Arial" w:cs="Arial"/>
          <w:szCs w:val="21"/>
        </w:rPr>
        <w:t>北京</w:t>
      </w:r>
      <w:r>
        <w:rPr>
          <w:rFonts w:ascii="Arial" w:eastAsiaTheme="minorEastAsia" w:hAnsi="Arial" w:cs="Arial" w:hint="eastAsia"/>
          <w:szCs w:val="21"/>
        </w:rPr>
        <w:t>复兴</w:t>
      </w:r>
      <w:r>
        <w:rPr>
          <w:rFonts w:ascii="Arial" w:eastAsiaTheme="minorEastAsia" w:hAnsi="Arial" w:cs="Arial"/>
          <w:szCs w:val="21"/>
        </w:rPr>
        <w:t>支行</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银行账号：</w:t>
      </w:r>
      <w:r>
        <w:rPr>
          <w:rFonts w:ascii="Arial" w:eastAsiaTheme="minorEastAsia" w:hAnsi="Arial" w:cs="Arial" w:hint="eastAsia"/>
          <w:szCs w:val="21"/>
        </w:rPr>
        <w:t>11001046500059188888</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人行支付系统</w:t>
      </w:r>
      <w:r>
        <w:rPr>
          <w:rFonts w:ascii="Arial" w:eastAsiaTheme="minorEastAsia" w:hAnsi="Arial" w:cs="Arial" w:hint="eastAsia"/>
          <w:szCs w:val="21"/>
        </w:rPr>
        <w:t>行</w:t>
      </w:r>
      <w:r>
        <w:rPr>
          <w:rFonts w:ascii="Arial" w:eastAsiaTheme="minorEastAsia" w:hAnsi="Arial" w:cs="Arial"/>
          <w:szCs w:val="21"/>
        </w:rPr>
        <w:t>号：</w:t>
      </w:r>
      <w:r>
        <w:rPr>
          <w:rFonts w:ascii="Arial" w:eastAsiaTheme="minorEastAsia" w:hAnsi="Arial" w:cs="Arial" w:hint="eastAsia"/>
          <w:szCs w:val="21"/>
        </w:rPr>
        <w:t>105100008038</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4</w:t>
      </w:r>
      <w:r>
        <w:rPr>
          <w:rFonts w:ascii="Arial" w:eastAsiaTheme="minorEastAsia" w:hAnsi="Arial" w:cs="Arial" w:hint="eastAsia"/>
          <w:szCs w:val="21"/>
        </w:rPr>
        <w:t>）交通银行直销专户：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账户名称：</w:t>
      </w:r>
      <w:r>
        <w:rPr>
          <w:rFonts w:ascii="Arial" w:eastAsiaTheme="minorEastAsia" w:hAnsi="Arial" w:cs="Arial" w:hint="eastAsia"/>
          <w:szCs w:val="21"/>
        </w:rPr>
        <w:t>国寿安保</w:t>
      </w:r>
      <w:r>
        <w:rPr>
          <w:rFonts w:ascii="Arial" w:eastAsiaTheme="minorEastAsia" w:hAnsi="Arial" w:cs="Arial"/>
          <w:szCs w:val="21"/>
        </w:rPr>
        <w:t>基金管理有限公司</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银行全称：</w:t>
      </w:r>
      <w:r>
        <w:rPr>
          <w:rFonts w:ascii="Arial" w:eastAsiaTheme="minorEastAsia" w:hAnsi="Arial" w:cs="Arial" w:hint="eastAsia"/>
          <w:szCs w:val="21"/>
        </w:rPr>
        <w:t>交通</w:t>
      </w:r>
      <w:r>
        <w:rPr>
          <w:rFonts w:ascii="Arial" w:eastAsiaTheme="minorEastAsia" w:hAnsi="Arial" w:cs="Arial"/>
          <w:szCs w:val="21"/>
        </w:rPr>
        <w:t>银行</w:t>
      </w:r>
      <w:r>
        <w:rPr>
          <w:rFonts w:ascii="Arial" w:eastAsiaTheme="minorEastAsia" w:hAnsi="Arial" w:cs="Arial" w:hint="eastAsia"/>
          <w:szCs w:val="21"/>
        </w:rPr>
        <w:t>股份有限公司</w:t>
      </w:r>
      <w:r>
        <w:rPr>
          <w:rFonts w:ascii="Arial" w:eastAsiaTheme="minorEastAsia" w:hAnsi="Arial" w:cs="Arial"/>
          <w:szCs w:val="21"/>
        </w:rPr>
        <w:t>北京</w:t>
      </w:r>
      <w:r>
        <w:rPr>
          <w:rFonts w:ascii="Arial" w:eastAsiaTheme="minorEastAsia" w:hAnsi="Arial" w:cs="Arial" w:hint="eastAsia"/>
          <w:szCs w:val="21"/>
        </w:rPr>
        <w:t>石景山</w:t>
      </w:r>
      <w:r>
        <w:rPr>
          <w:rFonts w:ascii="Arial" w:eastAsiaTheme="minorEastAsia" w:hAnsi="Arial" w:cs="Arial"/>
          <w:szCs w:val="21"/>
        </w:rPr>
        <w:t>支行</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银行账号：</w:t>
      </w:r>
      <w:r>
        <w:rPr>
          <w:rFonts w:ascii="Arial" w:eastAsiaTheme="minorEastAsia" w:hAnsi="Arial" w:cs="Arial" w:hint="eastAsia"/>
          <w:szCs w:val="21"/>
        </w:rPr>
        <w:t>110060872018800000268</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人行支付系统</w:t>
      </w:r>
      <w:r>
        <w:rPr>
          <w:rFonts w:ascii="Arial" w:eastAsiaTheme="minorEastAsia" w:hAnsi="Arial" w:cs="Arial" w:hint="eastAsia"/>
          <w:szCs w:val="21"/>
        </w:rPr>
        <w:t>行</w:t>
      </w:r>
      <w:r>
        <w:rPr>
          <w:rFonts w:ascii="Arial" w:eastAsiaTheme="minorEastAsia" w:hAnsi="Arial" w:cs="Arial"/>
          <w:szCs w:val="21"/>
        </w:rPr>
        <w:t>号：</w:t>
      </w:r>
      <w:r>
        <w:rPr>
          <w:rFonts w:ascii="Arial" w:eastAsiaTheme="minorEastAsia" w:hAnsi="Arial" w:cs="Arial" w:hint="eastAsia"/>
          <w:szCs w:val="21"/>
        </w:rPr>
        <w:t>301100000371</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5</w:t>
      </w:r>
      <w:r>
        <w:rPr>
          <w:rFonts w:ascii="Arial" w:eastAsiaTheme="minorEastAsia" w:hAnsi="Arial" w:cs="Arial" w:hint="eastAsia"/>
          <w:szCs w:val="21"/>
        </w:rPr>
        <w:t>）兴业银行直销专户：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账户名称：</w:t>
      </w:r>
      <w:r>
        <w:rPr>
          <w:rFonts w:ascii="Arial" w:eastAsiaTheme="minorEastAsia" w:hAnsi="Arial" w:cs="Arial" w:hint="eastAsia"/>
          <w:szCs w:val="21"/>
        </w:rPr>
        <w:t>国寿安保</w:t>
      </w:r>
      <w:r>
        <w:rPr>
          <w:rFonts w:ascii="Arial" w:eastAsiaTheme="minorEastAsia" w:hAnsi="Arial" w:cs="Arial"/>
          <w:szCs w:val="21"/>
        </w:rPr>
        <w:t>基金管理有限公司</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银行全称：</w:t>
      </w:r>
      <w:r>
        <w:rPr>
          <w:rFonts w:ascii="Arial" w:eastAsiaTheme="minorEastAsia" w:hAnsi="Arial" w:cs="Arial" w:hint="eastAsia"/>
          <w:szCs w:val="21"/>
        </w:rPr>
        <w:t>兴业银行北京金融街支行</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银行账号：</w:t>
      </w:r>
      <w:r>
        <w:rPr>
          <w:rFonts w:ascii="Arial" w:eastAsiaTheme="minorEastAsia" w:hAnsi="Arial" w:cs="Arial" w:hint="eastAsia"/>
          <w:szCs w:val="21"/>
        </w:rPr>
        <w:t>321500100100088115</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人行支付系统</w:t>
      </w:r>
      <w:r>
        <w:rPr>
          <w:rFonts w:ascii="Arial" w:eastAsiaTheme="minorEastAsia" w:hAnsi="Arial" w:cs="Arial" w:hint="eastAsia"/>
          <w:szCs w:val="21"/>
        </w:rPr>
        <w:t>行</w:t>
      </w:r>
      <w:r>
        <w:rPr>
          <w:rFonts w:ascii="Arial" w:eastAsiaTheme="minorEastAsia" w:hAnsi="Arial" w:cs="Arial"/>
          <w:szCs w:val="21"/>
        </w:rPr>
        <w:t>号：</w:t>
      </w:r>
      <w:r>
        <w:rPr>
          <w:rFonts w:ascii="Arial" w:eastAsiaTheme="minorEastAsia" w:hAnsi="Arial" w:cs="Arial" w:hint="eastAsia"/>
          <w:szCs w:val="21"/>
        </w:rPr>
        <w:t>309100001508</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2</w:t>
      </w:r>
      <w:r>
        <w:rPr>
          <w:rFonts w:ascii="Arial" w:eastAsiaTheme="minorEastAsia" w:hAnsi="Arial" w:cs="Arial"/>
          <w:szCs w:val="21"/>
        </w:rPr>
        <w:t>）认购申请当日下午</w:t>
      </w:r>
      <w:r>
        <w:rPr>
          <w:rFonts w:ascii="Arial" w:eastAsiaTheme="minorEastAsia" w:hAnsi="Arial" w:cs="Arial"/>
          <w:szCs w:val="21"/>
        </w:rPr>
        <w:t>17</w:t>
      </w:r>
      <w:r>
        <w:rPr>
          <w:rFonts w:ascii="Arial" w:eastAsiaTheme="minorEastAsia" w:hAnsi="Arial" w:cs="Arial"/>
          <w:szCs w:val="21"/>
        </w:rPr>
        <w:t>：</w:t>
      </w:r>
      <w:r>
        <w:rPr>
          <w:rFonts w:ascii="Arial" w:eastAsiaTheme="minorEastAsia" w:hAnsi="Arial" w:cs="Arial"/>
          <w:szCs w:val="21"/>
        </w:rPr>
        <w:t>00</w:t>
      </w:r>
      <w:r>
        <w:rPr>
          <w:rFonts w:ascii="Arial" w:eastAsiaTheme="minorEastAsia" w:hAnsi="Arial" w:cs="Arial"/>
          <w:szCs w:val="21"/>
        </w:rPr>
        <w:t>之前，若投资者的认购资金未全额到本公司指定直销专户，则当日申请</w:t>
      </w:r>
      <w:r>
        <w:rPr>
          <w:rFonts w:ascii="Arial" w:eastAsiaTheme="minorEastAsia" w:hAnsi="Arial" w:cs="Arial" w:hint="eastAsia"/>
          <w:szCs w:val="21"/>
        </w:rPr>
        <w:t>无效</w:t>
      </w:r>
      <w:r>
        <w:rPr>
          <w:rFonts w:ascii="Arial" w:eastAsiaTheme="minorEastAsia" w:hAnsi="Arial" w:cs="Arial"/>
          <w:szCs w:val="21"/>
        </w:rPr>
        <w:t>。</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4</w:t>
      </w:r>
      <w:r>
        <w:rPr>
          <w:rFonts w:ascii="Arial" w:eastAsiaTheme="minorEastAsia" w:hAnsi="Arial" w:cs="Arial"/>
          <w:szCs w:val="21"/>
        </w:rPr>
        <w:t>、注意事项：</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1</w:t>
      </w:r>
      <w:r>
        <w:rPr>
          <w:rFonts w:ascii="Arial" w:eastAsiaTheme="minorEastAsia" w:hAnsi="Arial" w:cs="Arial"/>
          <w:szCs w:val="21"/>
        </w:rPr>
        <w:t>）基金份额发售期结束，以下情况将被认定为无效认购：</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w:t>
      </w:r>
      <w:r>
        <w:rPr>
          <w:rFonts w:ascii="Arial" w:eastAsiaTheme="minorEastAsia" w:hAnsi="Arial" w:cs="Arial"/>
          <w:szCs w:val="21"/>
        </w:rPr>
        <w:t>投资者划来资金，但逾期未办理开户手续或开户不成功的；</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w:t>
      </w:r>
      <w:r>
        <w:rPr>
          <w:rFonts w:ascii="Arial" w:eastAsiaTheme="minorEastAsia" w:hAnsi="Arial" w:cs="Arial"/>
          <w:szCs w:val="21"/>
        </w:rPr>
        <w:t>投资者划来资金，但逾期未办理认购手续或认购申请未被确认的；</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）投资者未足额划来认购资金；</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4</w:t>
      </w:r>
      <w:r>
        <w:rPr>
          <w:rFonts w:ascii="Arial" w:eastAsiaTheme="minorEastAsia" w:hAnsi="Arial" w:cs="Arial" w:hint="eastAsia"/>
          <w:szCs w:val="21"/>
        </w:rPr>
        <w:t>）</w:t>
      </w:r>
      <w:r>
        <w:rPr>
          <w:rFonts w:ascii="Arial" w:eastAsiaTheme="minorEastAsia" w:hAnsi="Arial" w:cs="Arial"/>
          <w:szCs w:val="21"/>
        </w:rPr>
        <w:t>本公司确认的其它无效资金或认购失败资金。</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2</w:t>
      </w:r>
      <w:r>
        <w:rPr>
          <w:rFonts w:ascii="Arial" w:eastAsiaTheme="minorEastAsia" w:hAnsi="Arial" w:cs="Arial"/>
          <w:szCs w:val="21"/>
        </w:rPr>
        <w:t>）投资者</w:t>
      </w:r>
      <w:r>
        <w:rPr>
          <w:rFonts w:ascii="Arial" w:eastAsiaTheme="minorEastAsia" w:hAnsi="Arial" w:cs="Arial"/>
          <w:szCs w:val="21"/>
        </w:rPr>
        <w:t>T</w:t>
      </w:r>
      <w:r>
        <w:rPr>
          <w:rFonts w:ascii="Arial" w:eastAsiaTheme="minorEastAsia" w:hAnsi="Arial" w:cs="Arial"/>
          <w:szCs w:val="21"/>
        </w:rPr>
        <w:t>日提交开户申请后，可于</w:t>
      </w:r>
      <w:r>
        <w:rPr>
          <w:rFonts w:ascii="Arial" w:eastAsiaTheme="minorEastAsia" w:hAnsi="Arial" w:cs="Arial"/>
          <w:szCs w:val="21"/>
        </w:rPr>
        <w:t>T+2</w:t>
      </w:r>
      <w:r>
        <w:rPr>
          <w:rFonts w:ascii="Arial" w:eastAsiaTheme="minorEastAsia" w:hAnsi="Arial" w:cs="Arial"/>
          <w:szCs w:val="21"/>
        </w:rPr>
        <w:t>日到本公司直销中心查询确认结果，或通过本公司客户服务中心查询。</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3</w:t>
      </w:r>
      <w:r>
        <w:rPr>
          <w:rFonts w:ascii="Arial" w:eastAsiaTheme="minorEastAsia" w:hAnsi="Arial" w:cs="Arial"/>
          <w:szCs w:val="21"/>
        </w:rPr>
        <w:t>）投资者</w:t>
      </w:r>
      <w:r>
        <w:rPr>
          <w:rFonts w:ascii="Arial" w:eastAsiaTheme="minorEastAsia" w:hAnsi="Arial" w:cs="Arial"/>
          <w:szCs w:val="21"/>
        </w:rPr>
        <w:t>T</w:t>
      </w:r>
      <w:r>
        <w:rPr>
          <w:rFonts w:ascii="Arial" w:eastAsiaTheme="minorEastAsia" w:hAnsi="Arial" w:cs="Arial"/>
          <w:szCs w:val="21"/>
        </w:rPr>
        <w:t>日提交认购申请后，可于</w:t>
      </w:r>
      <w:r>
        <w:rPr>
          <w:rFonts w:ascii="Arial" w:eastAsiaTheme="minorEastAsia" w:hAnsi="Arial" w:cs="Arial"/>
          <w:szCs w:val="21"/>
        </w:rPr>
        <w:t>T+2</w:t>
      </w:r>
      <w:r>
        <w:rPr>
          <w:rFonts w:ascii="Arial" w:eastAsiaTheme="minorEastAsia" w:hAnsi="Arial" w:cs="Arial"/>
          <w:szCs w:val="21"/>
        </w:rPr>
        <w:t>日到本公司直销中心查询认购接受结果，或通过本公司客户服务中心查询。</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w:t>
      </w:r>
      <w:r>
        <w:rPr>
          <w:rFonts w:ascii="Arial" w:eastAsiaTheme="minorEastAsia" w:hAnsi="Arial" w:cs="Arial"/>
          <w:szCs w:val="21"/>
        </w:rPr>
        <w:t>4</w:t>
      </w:r>
      <w:r>
        <w:rPr>
          <w:rFonts w:ascii="Arial" w:eastAsiaTheme="minorEastAsia" w:hAnsi="Arial" w:cs="Arial"/>
          <w:szCs w:val="21"/>
        </w:rPr>
        <w:t>）办理汇款时，投资者必须注意以下事项：</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w:t>
      </w:r>
      <w:r>
        <w:rPr>
          <w:rFonts w:ascii="Arial" w:eastAsiaTheme="minorEastAsia" w:hAnsi="Arial" w:cs="Arial"/>
          <w:szCs w:val="21"/>
        </w:rPr>
        <w:t>投资者应在汇款附言</w:t>
      </w:r>
      <w:r>
        <w:rPr>
          <w:rFonts w:ascii="Arial" w:eastAsiaTheme="minorEastAsia" w:hAnsi="Arial" w:cs="Arial"/>
          <w:szCs w:val="21"/>
        </w:rPr>
        <w:t>/</w:t>
      </w:r>
      <w:r>
        <w:rPr>
          <w:rFonts w:ascii="Arial" w:eastAsiaTheme="minorEastAsia" w:hAnsi="Arial" w:cs="Arial"/>
          <w:szCs w:val="21"/>
        </w:rPr>
        <w:t>用途</w:t>
      </w:r>
      <w:r>
        <w:rPr>
          <w:rFonts w:ascii="Arial" w:eastAsiaTheme="minorEastAsia" w:hAnsi="Arial" w:cs="Arial"/>
          <w:szCs w:val="21"/>
        </w:rPr>
        <w:t>/</w:t>
      </w:r>
      <w:r>
        <w:rPr>
          <w:rFonts w:ascii="Arial" w:eastAsiaTheme="minorEastAsia" w:hAnsi="Arial" w:cs="Arial"/>
          <w:szCs w:val="21"/>
        </w:rPr>
        <w:t>摘要</w:t>
      </w:r>
      <w:r>
        <w:rPr>
          <w:rFonts w:ascii="Arial" w:eastAsiaTheme="minorEastAsia" w:hAnsi="Arial" w:cs="Arial"/>
          <w:szCs w:val="21"/>
        </w:rPr>
        <w:t>/</w:t>
      </w:r>
      <w:r>
        <w:rPr>
          <w:rFonts w:ascii="Arial" w:eastAsiaTheme="minorEastAsia" w:hAnsi="Arial" w:cs="Arial"/>
          <w:szCs w:val="21"/>
        </w:rPr>
        <w:t>备注栏</w:t>
      </w:r>
      <w:r>
        <w:rPr>
          <w:rFonts w:ascii="Arial" w:eastAsiaTheme="minorEastAsia" w:hAnsi="Arial" w:cs="Arial" w:hint="eastAsia"/>
          <w:szCs w:val="21"/>
        </w:rPr>
        <w:t>注明用途</w:t>
      </w:r>
      <w:r>
        <w:rPr>
          <w:rFonts w:ascii="Arial" w:eastAsiaTheme="minorEastAsia" w:hAnsi="Arial" w:cs="Arial"/>
          <w:szCs w:val="21"/>
        </w:rPr>
        <w:t>；</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）投资者应足额汇款，</w:t>
      </w:r>
      <w:r>
        <w:rPr>
          <w:rFonts w:ascii="Arial" w:eastAsiaTheme="minorEastAsia" w:hAnsi="Arial" w:cs="Arial"/>
          <w:szCs w:val="21"/>
        </w:rPr>
        <w:t>认购申请当日下午</w:t>
      </w:r>
      <w:r>
        <w:rPr>
          <w:rFonts w:ascii="Arial" w:eastAsiaTheme="minorEastAsia" w:hAnsi="Arial" w:cs="Arial"/>
          <w:szCs w:val="21"/>
        </w:rPr>
        <w:t>17</w:t>
      </w:r>
      <w:r>
        <w:rPr>
          <w:rFonts w:ascii="Arial" w:eastAsiaTheme="minorEastAsia" w:hAnsi="Arial" w:cs="Arial"/>
          <w:szCs w:val="21"/>
        </w:rPr>
        <w:t>：</w:t>
      </w:r>
      <w:r>
        <w:rPr>
          <w:rFonts w:ascii="Arial" w:eastAsiaTheme="minorEastAsia" w:hAnsi="Arial" w:cs="Arial"/>
          <w:szCs w:val="21"/>
        </w:rPr>
        <w:t>00</w:t>
      </w:r>
      <w:r>
        <w:rPr>
          <w:rFonts w:ascii="Arial" w:eastAsiaTheme="minorEastAsia" w:hAnsi="Arial" w:cs="Arial"/>
          <w:szCs w:val="21"/>
        </w:rPr>
        <w:t>之前，若投资者的认购资金未全额到本公司指定直销专户，则认购</w:t>
      </w:r>
      <w:r>
        <w:rPr>
          <w:rFonts w:ascii="Arial" w:eastAsiaTheme="minorEastAsia" w:hAnsi="Arial" w:cs="Arial" w:hint="eastAsia"/>
          <w:szCs w:val="21"/>
        </w:rPr>
        <w:t>申请无效。</w:t>
      </w:r>
    </w:p>
    <w:p w:rsidR="00574CA4" w:rsidRDefault="006E4BF4">
      <w:pPr>
        <w:autoSpaceDE w:val="0"/>
        <w:autoSpaceDN w:val="0"/>
        <w:adjustRightInd w:val="0"/>
        <w:snapToGrid w:val="0"/>
        <w:spacing w:line="360" w:lineRule="auto"/>
        <w:ind w:firstLineChars="200" w:firstLine="420"/>
        <w:rPr>
          <w:szCs w:val="21"/>
        </w:rPr>
      </w:pPr>
      <w:bookmarkStart w:id="9" w:name="_Toc382228388"/>
      <w:r>
        <w:rPr>
          <w:rFonts w:cs="宋体" w:hint="eastAsia"/>
          <w:szCs w:val="21"/>
          <w:lang/>
        </w:rPr>
        <w:t>（二）机构投资者通过销售机构办理开户和认购的程序</w:t>
      </w:r>
      <w:r>
        <w:rPr>
          <w:szCs w:val="21"/>
          <w:lang/>
        </w:rPr>
        <w:t xml:space="preserve"> </w:t>
      </w:r>
    </w:p>
    <w:p w:rsidR="00574CA4" w:rsidRDefault="006E4BF4">
      <w:pPr>
        <w:widowControl/>
        <w:ind w:firstLineChars="200" w:firstLine="420"/>
        <w:jc w:val="left"/>
        <w:rPr>
          <w:b/>
          <w:bCs/>
          <w:sz w:val="24"/>
          <w:szCs w:val="20"/>
        </w:rPr>
      </w:pPr>
      <w:r>
        <w:rPr>
          <w:rFonts w:cs="宋体" w:hint="eastAsia"/>
          <w:szCs w:val="21"/>
          <w:lang/>
        </w:rPr>
        <w:t>机构投资者在销售机构的开户与认购程序以各销售机构的规定为准。</w:t>
      </w:r>
    </w:p>
    <w:p w:rsidR="00574CA4" w:rsidRDefault="006E4BF4">
      <w:pPr>
        <w:widowControl/>
        <w:jc w:val="left"/>
        <w:rPr>
          <w:b/>
          <w:bCs/>
          <w:sz w:val="24"/>
          <w:szCs w:val="20"/>
        </w:rPr>
      </w:pPr>
      <w:r>
        <w:rPr>
          <w:szCs w:val="20"/>
        </w:rPr>
        <w:br w:type="page"/>
      </w:r>
    </w:p>
    <w:p w:rsidR="00574CA4" w:rsidRDefault="006E4BF4">
      <w:pPr>
        <w:pStyle w:val="3"/>
        <w:spacing w:line="360" w:lineRule="auto"/>
        <w:rPr>
          <w:rFonts w:eastAsia="宋体"/>
          <w:szCs w:val="20"/>
        </w:rPr>
      </w:pPr>
      <w:r>
        <w:rPr>
          <w:rFonts w:eastAsia="宋体" w:hint="eastAsia"/>
          <w:szCs w:val="20"/>
        </w:rPr>
        <w:t>四、清算与交割</w:t>
      </w:r>
      <w:bookmarkEnd w:id="9"/>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（一）基金合同生效前，全部认购资金将被存放在本基金募集专户中，认购资金产生的银行存款利息在募集期结束后折算成基金份额，归投资者所有。投资者认购资金的利息结转份额以登记机构的计算为准。</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（二）本基金权益登记由基金登记机构在发售结束后完成。</w:t>
      </w:r>
    </w:p>
    <w:p w:rsidR="00574CA4" w:rsidRDefault="006E4BF4">
      <w:pPr>
        <w:widowControl/>
        <w:jc w:val="left"/>
        <w:rPr>
          <w:b/>
          <w:bCs/>
          <w:sz w:val="24"/>
          <w:szCs w:val="20"/>
        </w:rPr>
      </w:pPr>
      <w:bookmarkStart w:id="10" w:name="_Toc382228389"/>
      <w:r>
        <w:rPr>
          <w:szCs w:val="20"/>
        </w:rPr>
        <w:br w:type="page"/>
      </w:r>
    </w:p>
    <w:p w:rsidR="00574CA4" w:rsidRDefault="006E4BF4">
      <w:pPr>
        <w:pStyle w:val="3"/>
        <w:numPr>
          <w:ilvl w:val="0"/>
          <w:numId w:val="2"/>
        </w:numPr>
        <w:spacing w:line="360" w:lineRule="auto"/>
        <w:rPr>
          <w:rFonts w:eastAsia="宋体"/>
          <w:szCs w:val="20"/>
        </w:rPr>
      </w:pPr>
      <w:r>
        <w:rPr>
          <w:rFonts w:eastAsia="宋体" w:hint="eastAsia"/>
          <w:szCs w:val="20"/>
        </w:rPr>
        <w:t>基金的验资与基金合同的生效</w:t>
      </w:r>
      <w:bookmarkEnd w:id="10"/>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、本基金募集期限届满，由基金管理人按规定</w:t>
      </w:r>
      <w:r>
        <w:rPr>
          <w:rFonts w:ascii="Arial" w:eastAsiaTheme="minorEastAsia" w:hAnsi="Arial" w:cs="Arial"/>
          <w:szCs w:val="21"/>
        </w:rPr>
        <w:t>聘请法定验资机构</w:t>
      </w:r>
      <w:r>
        <w:rPr>
          <w:rFonts w:ascii="Arial" w:eastAsiaTheme="minorEastAsia" w:hAnsi="Arial" w:cs="Arial" w:hint="eastAsia"/>
          <w:szCs w:val="21"/>
        </w:rPr>
        <w:t>对认购资金进行验资并出具验资报告，基金登记机构出具认购户数证明。</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w:t>
      </w:r>
      <w:r>
        <w:rPr>
          <w:rFonts w:ascii="Arial" w:eastAsiaTheme="minorEastAsia" w:hAnsi="Arial" w:cs="Arial"/>
          <w:szCs w:val="21"/>
        </w:rPr>
        <w:t>基金管理人应当按照规定办理基金</w:t>
      </w:r>
      <w:r>
        <w:rPr>
          <w:rFonts w:ascii="Arial" w:eastAsiaTheme="minorEastAsia" w:hAnsi="Arial" w:cs="Arial" w:hint="eastAsia"/>
          <w:szCs w:val="21"/>
        </w:rPr>
        <w:t>备案</w:t>
      </w:r>
      <w:r>
        <w:rPr>
          <w:rFonts w:ascii="Arial" w:eastAsiaTheme="minorEastAsia" w:hAnsi="Arial" w:cs="Arial"/>
          <w:szCs w:val="21"/>
        </w:rPr>
        <w:t>手续</w:t>
      </w:r>
      <w:r>
        <w:rPr>
          <w:rFonts w:ascii="Arial" w:eastAsiaTheme="minorEastAsia" w:hAnsi="Arial" w:cs="Arial" w:hint="eastAsia"/>
          <w:szCs w:val="21"/>
        </w:rPr>
        <w:t>；</w:t>
      </w:r>
      <w:r>
        <w:rPr>
          <w:rFonts w:ascii="Arial" w:eastAsiaTheme="minorEastAsia" w:hAnsi="Arial" w:cs="Arial"/>
          <w:szCs w:val="21"/>
        </w:rPr>
        <w:t>自中国证监会书面确认之日起，基金</w:t>
      </w:r>
      <w:r>
        <w:rPr>
          <w:rFonts w:ascii="Arial" w:eastAsiaTheme="minorEastAsia" w:hAnsi="Arial" w:cs="Arial" w:hint="eastAsia"/>
          <w:szCs w:val="21"/>
        </w:rPr>
        <w:t>备案</w:t>
      </w:r>
      <w:r>
        <w:rPr>
          <w:rFonts w:ascii="Arial" w:eastAsiaTheme="minorEastAsia" w:hAnsi="Arial" w:cs="Arial"/>
          <w:szCs w:val="21"/>
        </w:rPr>
        <w:t>手续办理完毕，基金合同生效。</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w:t>
      </w:r>
      <w:r>
        <w:rPr>
          <w:rFonts w:ascii="Arial" w:eastAsiaTheme="minorEastAsia" w:hAnsi="Arial" w:cs="Arial"/>
          <w:szCs w:val="21"/>
        </w:rPr>
        <w:t>基金管理人应当在收到中国证监会确认文件的次日予以公告。</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4</w:t>
      </w:r>
      <w:r>
        <w:rPr>
          <w:rFonts w:ascii="Arial" w:eastAsiaTheme="minorEastAsia" w:hAnsi="Arial" w:cs="Arial" w:hint="eastAsia"/>
          <w:szCs w:val="21"/>
        </w:rPr>
        <w:t>、</w:t>
      </w:r>
      <w:r>
        <w:rPr>
          <w:rFonts w:ascii="Arial" w:eastAsiaTheme="minorEastAsia" w:hAnsi="Arial" w:cs="Arial"/>
          <w:szCs w:val="21"/>
        </w:rPr>
        <w:t>募集期限届满，</w:t>
      </w:r>
      <w:r>
        <w:rPr>
          <w:rFonts w:ascii="Arial" w:eastAsiaTheme="minorEastAsia" w:hAnsi="Arial" w:cs="Arial" w:hint="eastAsia"/>
          <w:szCs w:val="21"/>
        </w:rPr>
        <w:t>若本基金</w:t>
      </w:r>
      <w:r>
        <w:rPr>
          <w:rFonts w:ascii="Arial" w:eastAsiaTheme="minorEastAsia" w:hAnsi="Arial" w:cs="Arial"/>
          <w:szCs w:val="21"/>
        </w:rPr>
        <w:t>不能满足</w:t>
      </w:r>
      <w:r>
        <w:rPr>
          <w:rFonts w:ascii="Arial" w:eastAsiaTheme="minorEastAsia" w:hAnsi="Arial" w:cs="Arial" w:hint="eastAsia"/>
          <w:szCs w:val="21"/>
        </w:rPr>
        <w:t>基金备案</w:t>
      </w:r>
      <w:r>
        <w:rPr>
          <w:rFonts w:ascii="Arial" w:eastAsiaTheme="minorEastAsia" w:hAnsi="Arial" w:cs="Arial"/>
          <w:szCs w:val="21"/>
        </w:rPr>
        <w:t>的</w:t>
      </w:r>
      <w:r>
        <w:rPr>
          <w:rFonts w:ascii="Arial" w:eastAsiaTheme="minorEastAsia" w:hAnsi="Arial" w:cs="Arial" w:hint="eastAsia"/>
          <w:szCs w:val="21"/>
        </w:rPr>
        <w:t>条件，</w:t>
      </w:r>
      <w:r>
        <w:rPr>
          <w:rFonts w:ascii="Arial" w:eastAsiaTheme="minorEastAsia" w:hAnsi="Arial" w:cs="Arial"/>
          <w:szCs w:val="21"/>
        </w:rPr>
        <w:t>基金管理人</w:t>
      </w:r>
      <w:r>
        <w:rPr>
          <w:rFonts w:ascii="Arial" w:eastAsiaTheme="minorEastAsia" w:hAnsi="Arial" w:cs="Arial" w:hint="eastAsia"/>
          <w:szCs w:val="21"/>
        </w:rPr>
        <w:t>将</w:t>
      </w:r>
      <w:r>
        <w:rPr>
          <w:rFonts w:ascii="Arial" w:eastAsiaTheme="minorEastAsia" w:hAnsi="Arial" w:cs="Arial"/>
          <w:szCs w:val="21"/>
        </w:rPr>
        <w:t>以其固有财产承担因募集行为而产生的债务和费用；在基金募集期限届满后三十日内返还投资者已缴纳的</w:t>
      </w:r>
      <w:r>
        <w:rPr>
          <w:rFonts w:ascii="Arial" w:eastAsiaTheme="minorEastAsia" w:hAnsi="Arial" w:cs="Arial" w:hint="eastAsia"/>
          <w:szCs w:val="21"/>
        </w:rPr>
        <w:t>认购</w:t>
      </w:r>
      <w:r>
        <w:rPr>
          <w:rFonts w:ascii="Arial" w:eastAsiaTheme="minorEastAsia" w:hAnsi="Arial" w:cs="Arial"/>
          <w:szCs w:val="21"/>
        </w:rPr>
        <w:t>款项，并加计银行同期</w:t>
      </w:r>
      <w:r>
        <w:rPr>
          <w:rFonts w:ascii="Arial" w:eastAsiaTheme="minorEastAsia" w:hAnsi="Arial" w:cs="Arial" w:hint="eastAsia"/>
          <w:szCs w:val="21"/>
        </w:rPr>
        <w:t>活期</w:t>
      </w:r>
      <w:r>
        <w:rPr>
          <w:rFonts w:ascii="Arial" w:eastAsiaTheme="minorEastAsia" w:hAnsi="Arial" w:cs="Arial"/>
          <w:szCs w:val="21"/>
        </w:rPr>
        <w:t>存款利息</w:t>
      </w:r>
      <w:r>
        <w:rPr>
          <w:rFonts w:ascii="Arial" w:eastAsiaTheme="minorEastAsia" w:hAnsi="Arial" w:cs="Arial" w:hint="eastAsia"/>
          <w:szCs w:val="21"/>
        </w:rPr>
        <w:t>；基金管理人、基金托管人及销售机构不得请求报酬，基金管理人、基金托管人和销售机构为基金募集支付的一切费用应由各方各自承担。</w:t>
      </w:r>
    </w:p>
    <w:p w:rsidR="00574CA4" w:rsidRDefault="006E4BF4">
      <w:pPr>
        <w:widowControl/>
        <w:jc w:val="left"/>
        <w:rPr>
          <w:b/>
          <w:bCs/>
          <w:sz w:val="24"/>
          <w:szCs w:val="20"/>
        </w:rPr>
      </w:pPr>
      <w:bookmarkStart w:id="11" w:name="_Toc382228390"/>
      <w:r>
        <w:rPr>
          <w:szCs w:val="20"/>
        </w:rPr>
        <w:br w:type="page"/>
      </w:r>
    </w:p>
    <w:p w:rsidR="00574CA4" w:rsidRDefault="006E4BF4">
      <w:pPr>
        <w:pStyle w:val="3"/>
        <w:spacing w:line="360" w:lineRule="auto"/>
        <w:rPr>
          <w:rFonts w:eastAsia="宋体"/>
          <w:szCs w:val="20"/>
        </w:rPr>
      </w:pPr>
      <w:r>
        <w:rPr>
          <w:rFonts w:eastAsia="宋体" w:hint="eastAsia"/>
          <w:szCs w:val="20"/>
        </w:rPr>
        <w:t>六、发售费用</w:t>
      </w:r>
      <w:bookmarkEnd w:id="11"/>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基金募集期间的信息披露费、会计师费、律师费以及其他费用，不得从基金财产中列支。</w:t>
      </w:r>
    </w:p>
    <w:p w:rsidR="00574CA4" w:rsidRDefault="006E4BF4">
      <w:pPr>
        <w:widowControl/>
        <w:jc w:val="left"/>
        <w:rPr>
          <w:b/>
          <w:bCs/>
          <w:sz w:val="24"/>
          <w:szCs w:val="20"/>
        </w:rPr>
      </w:pPr>
      <w:bookmarkStart w:id="12" w:name="_Toc382228391"/>
      <w:r>
        <w:rPr>
          <w:szCs w:val="20"/>
        </w:rPr>
        <w:br w:type="page"/>
      </w:r>
    </w:p>
    <w:p w:rsidR="00574CA4" w:rsidRDefault="006E4BF4">
      <w:pPr>
        <w:pStyle w:val="3"/>
        <w:spacing w:line="360" w:lineRule="auto"/>
        <w:rPr>
          <w:rFonts w:eastAsia="宋体"/>
          <w:szCs w:val="20"/>
        </w:rPr>
      </w:pPr>
      <w:r>
        <w:rPr>
          <w:rFonts w:eastAsia="宋体" w:hint="eastAsia"/>
          <w:szCs w:val="20"/>
        </w:rPr>
        <w:t>七、本次发售当事人或中介机构</w:t>
      </w:r>
      <w:bookmarkEnd w:id="12"/>
    </w:p>
    <w:p w:rsidR="00574CA4" w:rsidRDefault="006E4BF4">
      <w:pPr>
        <w:autoSpaceDE w:val="0"/>
        <w:autoSpaceDN w:val="0"/>
        <w:adjustRightInd w:val="0"/>
        <w:snapToGrid w:val="0"/>
        <w:spacing w:line="360" w:lineRule="auto"/>
        <w:ind w:firstLineChars="200" w:firstLine="420"/>
        <w:jc w:val="left"/>
        <w:rPr>
          <w:rFonts w:ascii="Arial" w:eastAsiaTheme="minorEastAsia" w:hAnsi="Arial" w:cs="Arial"/>
          <w:szCs w:val="21"/>
        </w:rPr>
      </w:pPr>
      <w:r>
        <w:rPr>
          <w:rFonts w:ascii="Arial" w:eastAsiaTheme="minorEastAsia" w:hAnsi="Arial" w:cs="Arial" w:hint="eastAsia"/>
          <w:szCs w:val="21"/>
        </w:rPr>
        <w:t>（一）基金管理人</w:t>
      </w:r>
    </w:p>
    <w:p w:rsidR="00574CA4" w:rsidRDefault="006E4BF4">
      <w:pPr>
        <w:autoSpaceDE w:val="0"/>
        <w:autoSpaceDN w:val="0"/>
        <w:adjustRightInd w:val="0"/>
        <w:snapToGrid w:val="0"/>
        <w:spacing w:line="360" w:lineRule="auto"/>
        <w:ind w:firstLineChars="200" w:firstLine="420"/>
        <w:jc w:val="left"/>
        <w:rPr>
          <w:rFonts w:ascii="Arial" w:eastAsiaTheme="minorEastAsia" w:hAnsi="Arial" w:cs="Arial"/>
          <w:szCs w:val="21"/>
        </w:rPr>
      </w:pPr>
      <w:r>
        <w:rPr>
          <w:rFonts w:ascii="Arial" w:eastAsiaTheme="minorEastAsia" w:hAnsi="Arial" w:cs="Arial" w:hint="eastAsia"/>
          <w:szCs w:val="21"/>
        </w:rPr>
        <w:t>基金管理人：国寿安保基金管理有限公司</w:t>
      </w:r>
    </w:p>
    <w:p w:rsidR="00574CA4" w:rsidRDefault="006E4BF4">
      <w:pPr>
        <w:autoSpaceDE w:val="0"/>
        <w:autoSpaceDN w:val="0"/>
        <w:adjustRightInd w:val="0"/>
        <w:snapToGrid w:val="0"/>
        <w:spacing w:line="360" w:lineRule="auto"/>
        <w:ind w:firstLineChars="200" w:firstLine="420"/>
        <w:jc w:val="left"/>
        <w:rPr>
          <w:rFonts w:ascii="Arial" w:eastAsiaTheme="minorEastAsia" w:hAnsi="Arial" w:cs="Arial"/>
          <w:szCs w:val="21"/>
        </w:rPr>
      </w:pPr>
      <w:r>
        <w:rPr>
          <w:rFonts w:ascii="Arial" w:eastAsiaTheme="minorEastAsia" w:hAnsi="Arial" w:cs="Arial" w:hint="eastAsia"/>
          <w:szCs w:val="21"/>
        </w:rPr>
        <w:t>注册地址：上海市虹口区丰镇路</w:t>
      </w:r>
      <w:r>
        <w:rPr>
          <w:rFonts w:ascii="Arial" w:eastAsiaTheme="minorEastAsia" w:hAnsi="Arial" w:cs="Arial"/>
          <w:szCs w:val="21"/>
        </w:rPr>
        <w:t>806</w:t>
      </w:r>
      <w:r>
        <w:rPr>
          <w:rFonts w:ascii="Arial" w:eastAsiaTheme="minorEastAsia" w:hAnsi="Arial" w:cs="Arial" w:hint="eastAsia"/>
          <w:szCs w:val="21"/>
        </w:rPr>
        <w:t>号</w:t>
      </w:r>
      <w:r>
        <w:rPr>
          <w:rFonts w:ascii="Arial" w:eastAsiaTheme="minorEastAsia" w:hAnsi="Arial" w:cs="Arial"/>
          <w:szCs w:val="21"/>
        </w:rPr>
        <w:t>3</w:t>
      </w:r>
      <w:r>
        <w:rPr>
          <w:rFonts w:ascii="Arial" w:eastAsiaTheme="minorEastAsia" w:hAnsi="Arial" w:cs="Arial" w:hint="eastAsia"/>
          <w:szCs w:val="21"/>
        </w:rPr>
        <w:t>幢</w:t>
      </w:r>
      <w:r>
        <w:rPr>
          <w:rFonts w:ascii="Arial" w:eastAsiaTheme="minorEastAsia" w:hAnsi="Arial" w:cs="Arial"/>
          <w:szCs w:val="21"/>
        </w:rPr>
        <w:t>306</w:t>
      </w:r>
      <w:r>
        <w:rPr>
          <w:rFonts w:ascii="Arial" w:eastAsiaTheme="minorEastAsia" w:hAnsi="Arial" w:cs="Arial" w:hint="eastAsia"/>
          <w:szCs w:val="21"/>
        </w:rPr>
        <w:t>号</w:t>
      </w:r>
    </w:p>
    <w:p w:rsidR="00574CA4" w:rsidRDefault="006E4BF4">
      <w:pPr>
        <w:autoSpaceDE w:val="0"/>
        <w:autoSpaceDN w:val="0"/>
        <w:adjustRightInd w:val="0"/>
        <w:snapToGrid w:val="0"/>
        <w:spacing w:line="360" w:lineRule="auto"/>
        <w:ind w:firstLineChars="200" w:firstLine="420"/>
        <w:jc w:val="left"/>
        <w:rPr>
          <w:rFonts w:ascii="Arial" w:eastAsiaTheme="minorEastAsia" w:hAnsi="Arial" w:cs="Arial"/>
          <w:szCs w:val="21"/>
        </w:rPr>
      </w:pPr>
      <w:r>
        <w:rPr>
          <w:rFonts w:ascii="Arial" w:eastAsiaTheme="minorEastAsia" w:hAnsi="Arial" w:cs="Arial" w:hint="eastAsia"/>
          <w:szCs w:val="21"/>
        </w:rPr>
        <w:t>办公地址：北京市西城区金融大街</w:t>
      </w:r>
      <w:r>
        <w:rPr>
          <w:rFonts w:ascii="Arial" w:eastAsiaTheme="minorEastAsia" w:hAnsi="Arial" w:cs="Arial" w:hint="eastAsia"/>
          <w:bCs/>
          <w:szCs w:val="21"/>
        </w:rPr>
        <w:t>28</w:t>
      </w:r>
      <w:r>
        <w:rPr>
          <w:rFonts w:ascii="Arial" w:eastAsiaTheme="minorEastAsia" w:hAnsi="Arial" w:cs="Arial" w:hint="eastAsia"/>
          <w:bCs/>
          <w:szCs w:val="21"/>
        </w:rPr>
        <w:t>号院盈泰商务中心</w:t>
      </w:r>
      <w:r>
        <w:rPr>
          <w:rFonts w:ascii="Arial" w:eastAsiaTheme="minorEastAsia" w:hAnsi="Arial" w:cs="Arial" w:hint="eastAsia"/>
          <w:bCs/>
          <w:szCs w:val="21"/>
        </w:rPr>
        <w:t>2</w:t>
      </w:r>
      <w:r>
        <w:rPr>
          <w:rFonts w:ascii="Arial" w:eastAsiaTheme="minorEastAsia" w:hAnsi="Arial" w:cs="Arial" w:hint="eastAsia"/>
          <w:bCs/>
          <w:szCs w:val="21"/>
        </w:rPr>
        <w:t>号楼</w:t>
      </w:r>
      <w:r>
        <w:rPr>
          <w:rFonts w:ascii="Arial" w:eastAsiaTheme="minorEastAsia" w:hAnsi="Arial" w:cs="Arial" w:hint="eastAsia"/>
          <w:bCs/>
          <w:szCs w:val="21"/>
        </w:rPr>
        <w:t>10</w:t>
      </w:r>
      <w:r>
        <w:rPr>
          <w:rFonts w:ascii="Arial" w:eastAsiaTheme="minorEastAsia" w:hAnsi="Arial" w:cs="Arial" w:hint="eastAsia"/>
          <w:bCs/>
          <w:szCs w:val="21"/>
        </w:rPr>
        <w:t>、</w:t>
      </w:r>
      <w:r>
        <w:rPr>
          <w:rFonts w:ascii="Arial" w:eastAsiaTheme="minorEastAsia" w:hAnsi="Arial" w:cs="Arial" w:hint="eastAsia"/>
          <w:bCs/>
          <w:szCs w:val="21"/>
        </w:rPr>
        <w:t>11</w:t>
      </w:r>
      <w:r>
        <w:rPr>
          <w:rFonts w:ascii="Arial" w:eastAsiaTheme="minorEastAsia" w:hAnsi="Arial" w:cs="Arial" w:hint="eastAsia"/>
          <w:bCs/>
          <w:szCs w:val="21"/>
        </w:rPr>
        <w:t>、</w:t>
      </w:r>
      <w:r>
        <w:rPr>
          <w:rFonts w:ascii="Arial" w:eastAsiaTheme="minorEastAsia" w:hAnsi="Arial" w:cs="Arial" w:hint="eastAsia"/>
          <w:bCs/>
          <w:szCs w:val="21"/>
        </w:rPr>
        <w:t>12</w:t>
      </w:r>
      <w:r>
        <w:rPr>
          <w:rFonts w:ascii="Arial" w:eastAsiaTheme="minorEastAsia" w:hAnsi="Arial" w:cs="Arial" w:hint="eastAsia"/>
          <w:bCs/>
          <w:szCs w:val="21"/>
        </w:rPr>
        <w:t>层</w:t>
      </w:r>
    </w:p>
    <w:p w:rsidR="00574CA4" w:rsidRDefault="006E4BF4">
      <w:pPr>
        <w:autoSpaceDE w:val="0"/>
        <w:autoSpaceDN w:val="0"/>
        <w:adjustRightInd w:val="0"/>
        <w:snapToGrid w:val="0"/>
        <w:spacing w:line="360" w:lineRule="auto"/>
        <w:ind w:firstLineChars="200" w:firstLine="420"/>
        <w:jc w:val="left"/>
        <w:rPr>
          <w:rFonts w:ascii="Arial" w:eastAsiaTheme="minorEastAsia" w:hAnsi="Arial" w:cs="Arial"/>
          <w:szCs w:val="21"/>
        </w:rPr>
      </w:pPr>
      <w:r>
        <w:rPr>
          <w:rFonts w:ascii="Arial" w:eastAsiaTheme="minorEastAsia" w:hAnsi="Arial" w:cs="Arial" w:hint="eastAsia"/>
          <w:szCs w:val="21"/>
        </w:rPr>
        <w:t>法定代表人：</w:t>
      </w:r>
      <w:r>
        <w:rPr>
          <w:rFonts w:ascii="Arial" w:eastAsiaTheme="minorEastAsia" w:hAnsi="Arial" w:cs="Arial" w:hint="eastAsia"/>
          <w:szCs w:val="21"/>
        </w:rPr>
        <w:t>于泳</w:t>
      </w:r>
    </w:p>
    <w:p w:rsidR="00574CA4" w:rsidRDefault="006E4BF4">
      <w:pPr>
        <w:autoSpaceDE w:val="0"/>
        <w:autoSpaceDN w:val="0"/>
        <w:adjustRightInd w:val="0"/>
        <w:snapToGrid w:val="0"/>
        <w:spacing w:line="360" w:lineRule="auto"/>
        <w:ind w:firstLineChars="200" w:firstLine="420"/>
        <w:jc w:val="left"/>
        <w:rPr>
          <w:rFonts w:ascii="Arial" w:eastAsiaTheme="minorEastAsia" w:hAnsi="Arial" w:cs="Arial"/>
          <w:szCs w:val="21"/>
        </w:rPr>
      </w:pPr>
      <w:r>
        <w:rPr>
          <w:rFonts w:ascii="Arial" w:eastAsiaTheme="minorEastAsia" w:hAnsi="Arial" w:cs="Arial" w:hint="eastAsia"/>
          <w:szCs w:val="21"/>
        </w:rPr>
        <w:t>电话：</w:t>
      </w:r>
      <w:r>
        <w:rPr>
          <w:rFonts w:ascii="Arial" w:eastAsiaTheme="minorEastAsia" w:hAnsi="Arial" w:cs="Arial" w:hint="eastAsia"/>
          <w:szCs w:val="21"/>
        </w:rPr>
        <w:t>010-50850723</w:t>
      </w:r>
    </w:p>
    <w:p w:rsidR="00574CA4" w:rsidRDefault="006E4BF4">
      <w:pPr>
        <w:autoSpaceDE w:val="0"/>
        <w:autoSpaceDN w:val="0"/>
        <w:adjustRightInd w:val="0"/>
        <w:snapToGrid w:val="0"/>
        <w:spacing w:line="360" w:lineRule="auto"/>
        <w:ind w:firstLineChars="200" w:firstLine="420"/>
        <w:jc w:val="left"/>
        <w:rPr>
          <w:rFonts w:ascii="Arial" w:eastAsiaTheme="minorEastAsia" w:hAnsi="Arial" w:cs="Arial"/>
          <w:szCs w:val="21"/>
        </w:rPr>
      </w:pPr>
      <w:r>
        <w:rPr>
          <w:rFonts w:ascii="Arial" w:eastAsiaTheme="minorEastAsia" w:hAnsi="Arial" w:cs="Arial" w:hint="eastAsia"/>
          <w:szCs w:val="21"/>
        </w:rPr>
        <w:t>传真：</w:t>
      </w:r>
      <w:r>
        <w:rPr>
          <w:rFonts w:ascii="Arial" w:eastAsiaTheme="minorEastAsia" w:hAnsi="Arial" w:cs="Arial" w:hint="eastAsia"/>
          <w:szCs w:val="21"/>
        </w:rPr>
        <w:t>010-50850777</w:t>
      </w:r>
    </w:p>
    <w:p w:rsidR="00574CA4" w:rsidRDefault="006E4BF4">
      <w:pPr>
        <w:autoSpaceDE w:val="0"/>
        <w:autoSpaceDN w:val="0"/>
        <w:adjustRightInd w:val="0"/>
        <w:snapToGrid w:val="0"/>
        <w:spacing w:line="360" w:lineRule="auto"/>
        <w:ind w:firstLineChars="200" w:firstLine="420"/>
        <w:jc w:val="left"/>
        <w:rPr>
          <w:rFonts w:ascii="Arial" w:eastAsiaTheme="minorEastAsia" w:hAnsi="Arial" w:cs="Arial"/>
          <w:szCs w:val="21"/>
        </w:rPr>
      </w:pPr>
      <w:r>
        <w:rPr>
          <w:rFonts w:ascii="Arial" w:eastAsiaTheme="minorEastAsia" w:hAnsi="Arial" w:cs="Arial" w:hint="eastAsia"/>
          <w:szCs w:val="21"/>
        </w:rPr>
        <w:t>联系人：孙瑶</w:t>
      </w:r>
    </w:p>
    <w:p w:rsidR="00574CA4" w:rsidRDefault="006E4BF4">
      <w:pPr>
        <w:autoSpaceDE w:val="0"/>
        <w:autoSpaceDN w:val="0"/>
        <w:adjustRightInd w:val="0"/>
        <w:snapToGrid w:val="0"/>
        <w:spacing w:line="360" w:lineRule="auto"/>
        <w:ind w:firstLineChars="200" w:firstLine="420"/>
        <w:jc w:val="left"/>
        <w:rPr>
          <w:rFonts w:ascii="Arial" w:eastAsiaTheme="minorEastAsia" w:hAnsi="Arial" w:cs="Arial"/>
          <w:szCs w:val="21"/>
        </w:rPr>
      </w:pPr>
      <w:r>
        <w:rPr>
          <w:rFonts w:ascii="Arial" w:eastAsiaTheme="minorEastAsia" w:hAnsi="Arial" w:cs="Arial" w:hint="eastAsia"/>
          <w:szCs w:val="21"/>
        </w:rPr>
        <w:t>客户服务中心电话：</w:t>
      </w:r>
      <w:r>
        <w:rPr>
          <w:rFonts w:ascii="Arial" w:eastAsiaTheme="minorEastAsia" w:hAnsi="Arial" w:cs="Arial" w:hint="eastAsia"/>
          <w:szCs w:val="21"/>
        </w:rPr>
        <w:t>4009-258-258</w:t>
      </w:r>
    </w:p>
    <w:p w:rsidR="00574CA4" w:rsidRDefault="006E4BF4">
      <w:pPr>
        <w:autoSpaceDE w:val="0"/>
        <w:autoSpaceDN w:val="0"/>
        <w:adjustRightInd w:val="0"/>
        <w:snapToGrid w:val="0"/>
        <w:spacing w:line="360" w:lineRule="auto"/>
        <w:ind w:firstLineChars="200" w:firstLine="420"/>
        <w:jc w:val="left"/>
        <w:rPr>
          <w:rFonts w:ascii="Arial" w:eastAsiaTheme="minorEastAsia" w:hAnsi="Arial" w:cs="Arial"/>
          <w:szCs w:val="21"/>
        </w:rPr>
      </w:pPr>
      <w:r>
        <w:rPr>
          <w:rFonts w:ascii="Arial" w:eastAsiaTheme="minorEastAsia" w:hAnsi="Arial" w:cs="Arial" w:hint="eastAsia"/>
          <w:szCs w:val="21"/>
        </w:rPr>
        <w:t>公司网址：</w:t>
      </w:r>
      <w:r>
        <w:rPr>
          <w:rFonts w:ascii="Arial" w:eastAsiaTheme="minorEastAsia" w:hAnsi="Arial" w:cs="Arial" w:hint="eastAsia"/>
          <w:szCs w:val="21"/>
        </w:rPr>
        <w:t>www.gsfunds.com.cn</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（二）基金托管人</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名称：交通银行股份有限公司（简称：交通银行）</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住所：中国（上海）自由贸易试验区银城中路</w:t>
      </w:r>
      <w:r>
        <w:rPr>
          <w:rFonts w:ascii="Arial" w:eastAsiaTheme="minorEastAsia" w:hAnsi="Arial" w:cs="Arial" w:hint="eastAsia"/>
          <w:szCs w:val="21"/>
        </w:rPr>
        <w:t>188</w:t>
      </w:r>
      <w:r>
        <w:rPr>
          <w:rFonts w:ascii="Arial" w:eastAsiaTheme="minorEastAsia" w:hAnsi="Arial" w:cs="Arial" w:hint="eastAsia"/>
          <w:szCs w:val="21"/>
        </w:rPr>
        <w:t>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办公地址：上海市长宁区仙霞路</w:t>
      </w:r>
      <w:r>
        <w:rPr>
          <w:rFonts w:ascii="Arial" w:eastAsiaTheme="minorEastAsia" w:hAnsi="Arial" w:cs="Arial" w:hint="eastAsia"/>
          <w:szCs w:val="21"/>
        </w:rPr>
        <w:t>18</w:t>
      </w:r>
      <w:r>
        <w:rPr>
          <w:rFonts w:ascii="Arial" w:eastAsiaTheme="minorEastAsia" w:hAnsi="Arial" w:cs="Arial" w:hint="eastAsia"/>
          <w:szCs w:val="21"/>
        </w:rPr>
        <w:t>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法定代表人：任德奇</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成立时间：</w:t>
      </w:r>
      <w:r>
        <w:rPr>
          <w:rFonts w:ascii="Arial" w:eastAsiaTheme="minorEastAsia" w:hAnsi="Arial" w:cs="Arial" w:hint="eastAsia"/>
          <w:szCs w:val="21"/>
        </w:rPr>
        <w:t>1987</w:t>
      </w:r>
      <w:r>
        <w:rPr>
          <w:rFonts w:ascii="Arial" w:eastAsiaTheme="minorEastAsia" w:hAnsi="Arial" w:cs="Arial" w:hint="eastAsia"/>
          <w:szCs w:val="21"/>
        </w:rPr>
        <w:t>年</w:t>
      </w:r>
      <w:r>
        <w:rPr>
          <w:rFonts w:ascii="Arial" w:eastAsiaTheme="minorEastAsia" w:hAnsi="Arial" w:cs="Arial" w:hint="eastAsia"/>
          <w:szCs w:val="21"/>
        </w:rPr>
        <w:t>3</w:t>
      </w:r>
      <w:r>
        <w:rPr>
          <w:rFonts w:ascii="Arial" w:eastAsiaTheme="minorEastAsia" w:hAnsi="Arial" w:cs="Arial" w:hint="eastAsia"/>
          <w:szCs w:val="21"/>
        </w:rPr>
        <w:t>月</w:t>
      </w:r>
      <w:r>
        <w:rPr>
          <w:rFonts w:ascii="Arial" w:eastAsiaTheme="minorEastAsia" w:hAnsi="Arial" w:cs="Arial" w:hint="eastAsia"/>
          <w:szCs w:val="21"/>
        </w:rPr>
        <w:t>30</w:t>
      </w:r>
      <w:r>
        <w:rPr>
          <w:rFonts w:ascii="Arial" w:eastAsiaTheme="minorEastAsia" w:hAnsi="Arial" w:cs="Arial" w:hint="eastAsia"/>
          <w:szCs w:val="21"/>
        </w:rPr>
        <w:t>日</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批准设立机关及批准设立文号：国务院国发</w:t>
      </w:r>
      <w:r>
        <w:rPr>
          <w:rFonts w:ascii="Arial" w:eastAsiaTheme="minorEastAsia" w:hAnsi="Arial" w:cs="Arial" w:hint="eastAsia"/>
          <w:szCs w:val="21"/>
        </w:rPr>
        <w:t>(1986)</w:t>
      </w:r>
      <w:r>
        <w:rPr>
          <w:rFonts w:ascii="Arial" w:eastAsiaTheme="minorEastAsia" w:hAnsi="Arial" w:cs="Arial" w:hint="eastAsia"/>
          <w:szCs w:val="21"/>
        </w:rPr>
        <w:t>字第</w:t>
      </w:r>
      <w:r>
        <w:rPr>
          <w:rFonts w:ascii="Arial" w:eastAsiaTheme="minorEastAsia" w:hAnsi="Arial" w:cs="Arial" w:hint="eastAsia"/>
          <w:szCs w:val="21"/>
        </w:rPr>
        <w:t>81</w:t>
      </w:r>
      <w:r>
        <w:rPr>
          <w:rFonts w:ascii="Arial" w:eastAsiaTheme="minorEastAsia" w:hAnsi="Arial" w:cs="Arial" w:hint="eastAsia"/>
          <w:szCs w:val="21"/>
        </w:rPr>
        <w:t>号文和中国人民银行银发［</w:t>
      </w:r>
      <w:r>
        <w:rPr>
          <w:rFonts w:ascii="Arial" w:eastAsiaTheme="minorEastAsia" w:hAnsi="Arial" w:cs="Arial" w:hint="eastAsia"/>
          <w:szCs w:val="21"/>
        </w:rPr>
        <w:t>1987</w:t>
      </w:r>
      <w:r>
        <w:rPr>
          <w:rFonts w:ascii="Arial" w:eastAsiaTheme="minorEastAsia" w:hAnsi="Arial" w:cs="Arial" w:hint="eastAsia"/>
          <w:szCs w:val="21"/>
        </w:rPr>
        <w:t>］</w:t>
      </w:r>
      <w:r>
        <w:rPr>
          <w:rFonts w:ascii="Arial" w:eastAsiaTheme="minorEastAsia" w:hAnsi="Arial" w:cs="Arial" w:hint="eastAsia"/>
          <w:szCs w:val="21"/>
        </w:rPr>
        <w:t>40</w:t>
      </w:r>
      <w:r>
        <w:rPr>
          <w:rFonts w:ascii="Arial" w:eastAsiaTheme="minorEastAsia" w:hAnsi="Arial" w:cs="Arial" w:hint="eastAsia"/>
          <w:szCs w:val="21"/>
        </w:rPr>
        <w:t>号文</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基金托管资格批文及文号：中国证监会证监基字［</w:t>
      </w:r>
      <w:r>
        <w:rPr>
          <w:rFonts w:ascii="Arial" w:eastAsiaTheme="minorEastAsia" w:hAnsi="Arial" w:cs="Arial" w:hint="eastAsia"/>
          <w:szCs w:val="21"/>
        </w:rPr>
        <w:t>1998</w:t>
      </w:r>
      <w:r>
        <w:rPr>
          <w:rFonts w:ascii="Arial" w:eastAsiaTheme="minorEastAsia" w:hAnsi="Arial" w:cs="Arial" w:hint="eastAsia"/>
          <w:szCs w:val="21"/>
        </w:rPr>
        <w:t>］</w:t>
      </w:r>
      <w:r>
        <w:rPr>
          <w:rFonts w:ascii="Arial" w:eastAsiaTheme="minorEastAsia" w:hAnsi="Arial" w:cs="Arial" w:hint="eastAsia"/>
          <w:szCs w:val="21"/>
        </w:rPr>
        <w:t>25</w:t>
      </w:r>
      <w:r>
        <w:rPr>
          <w:rFonts w:ascii="Arial" w:eastAsiaTheme="minorEastAsia" w:hAnsi="Arial" w:cs="Arial" w:hint="eastAsia"/>
          <w:szCs w:val="21"/>
        </w:rPr>
        <w:t>号</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注册资本</w:t>
      </w:r>
      <w:r>
        <w:rPr>
          <w:rFonts w:ascii="Arial" w:eastAsiaTheme="minorEastAsia" w:hAnsi="Arial" w:cs="Arial" w:hint="eastAsia"/>
          <w:szCs w:val="21"/>
        </w:rPr>
        <w:t>：</w:t>
      </w:r>
      <w:r>
        <w:rPr>
          <w:rFonts w:ascii="Arial" w:eastAsiaTheme="minorEastAsia" w:hAnsi="Arial" w:cs="Arial" w:hint="eastAsia"/>
          <w:szCs w:val="21"/>
        </w:rPr>
        <w:t>742.63</w:t>
      </w:r>
      <w:r>
        <w:rPr>
          <w:rFonts w:ascii="Arial" w:eastAsiaTheme="minorEastAsia" w:hAnsi="Arial" w:cs="Arial" w:hint="eastAsia"/>
          <w:szCs w:val="21"/>
        </w:rPr>
        <w:t>亿元人民币</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组织形式：股份有限公司</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存续期间：持续经营</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（三）销售机构</w:t>
      </w:r>
    </w:p>
    <w:p w:rsidR="00574CA4" w:rsidRDefault="006E4BF4">
      <w:pPr>
        <w:autoSpaceDE w:val="0"/>
        <w:autoSpaceDN w:val="0"/>
        <w:adjustRightInd w:val="0"/>
        <w:snapToGrid w:val="0"/>
        <w:spacing w:line="360" w:lineRule="auto"/>
        <w:ind w:firstLineChars="200" w:firstLine="420"/>
        <w:rPr>
          <w:rFonts w:ascii="Arial" w:hAnsi="Arial" w:cs="Arial"/>
          <w:bCs/>
          <w:szCs w:val="21"/>
        </w:rPr>
      </w:pPr>
      <w:r>
        <w:rPr>
          <w:rFonts w:ascii="Arial" w:eastAsiaTheme="minorEastAsia" w:hAnsi="Arial" w:cs="Arial" w:hint="eastAsia"/>
          <w:szCs w:val="21"/>
        </w:rPr>
        <w:t>1</w:t>
      </w:r>
      <w:r>
        <w:rPr>
          <w:rFonts w:ascii="Arial" w:eastAsiaTheme="minorEastAsia" w:hAnsi="Arial" w:cs="Arial" w:hint="eastAsia"/>
          <w:szCs w:val="21"/>
        </w:rPr>
        <w:t>、</w:t>
      </w:r>
      <w:r>
        <w:rPr>
          <w:rFonts w:ascii="Arial" w:eastAsiaTheme="minorEastAsia" w:hAnsi="Arial" w:cs="Arial" w:hint="eastAsia"/>
          <w:szCs w:val="21"/>
        </w:rPr>
        <w:t>国寿安保基金管理有限公司直销中心及</w:t>
      </w:r>
      <w:r>
        <w:rPr>
          <w:rFonts w:ascii="Arial" w:hAnsi="Arial" w:cs="Arial" w:hint="eastAsia"/>
          <w:szCs w:val="21"/>
        </w:rPr>
        <w:t>网上直销交易系统</w:t>
      </w:r>
      <w:r>
        <w:rPr>
          <w:rFonts w:ascii="Arial" w:hAnsi="Arial" w:cs="Arial" w:hint="eastAsia"/>
          <w:bCs/>
          <w:szCs w:val="21"/>
        </w:rPr>
        <w:t>，有关内容同基金管理人。</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、其他销售机构</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w:t>
      </w:r>
      <w:r>
        <w:rPr>
          <w:rFonts w:ascii="Arial" w:hAnsi="Arial" w:cs="Arial" w:hint="eastAsia"/>
          <w:bCs w:val="0"/>
          <w:sz w:val="21"/>
          <w:szCs w:val="21"/>
          <w:lang w:val="en-US"/>
        </w:rPr>
        <w:t>1</w:t>
      </w:r>
      <w:r>
        <w:rPr>
          <w:rFonts w:ascii="Arial" w:hAnsi="Arial" w:cs="Arial" w:hint="eastAsia"/>
          <w:bCs w:val="0"/>
          <w:sz w:val="21"/>
          <w:szCs w:val="21"/>
          <w:lang w:val="en-US"/>
        </w:rPr>
        <w:t>）交通银行股份有限公司</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注册地址：上海市银城中路</w:t>
      </w:r>
      <w:r>
        <w:rPr>
          <w:rFonts w:ascii="Arial" w:hAnsi="Arial" w:cs="Arial" w:hint="eastAsia"/>
          <w:bCs w:val="0"/>
          <w:sz w:val="21"/>
          <w:szCs w:val="21"/>
          <w:lang w:val="en-US"/>
        </w:rPr>
        <w:t>188</w:t>
      </w:r>
      <w:r>
        <w:rPr>
          <w:rFonts w:ascii="Arial" w:hAnsi="Arial" w:cs="Arial" w:hint="eastAsia"/>
          <w:bCs w:val="0"/>
          <w:sz w:val="21"/>
          <w:szCs w:val="21"/>
          <w:lang w:val="en-US"/>
        </w:rPr>
        <w:t>号</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办公地址：上海市银城中路</w:t>
      </w:r>
      <w:r>
        <w:rPr>
          <w:rFonts w:ascii="Arial" w:hAnsi="Arial" w:cs="Arial" w:hint="eastAsia"/>
          <w:bCs w:val="0"/>
          <w:sz w:val="21"/>
          <w:szCs w:val="21"/>
          <w:lang w:val="en-US"/>
        </w:rPr>
        <w:t>188</w:t>
      </w:r>
      <w:r>
        <w:rPr>
          <w:rFonts w:ascii="Arial" w:hAnsi="Arial" w:cs="Arial" w:hint="eastAsia"/>
          <w:bCs w:val="0"/>
          <w:sz w:val="21"/>
          <w:szCs w:val="21"/>
          <w:lang w:val="en-US"/>
        </w:rPr>
        <w:t>号</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法定代表人：任德奇</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联系人：张蕊</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客服电话：</w:t>
      </w:r>
      <w:r>
        <w:rPr>
          <w:rFonts w:ascii="Arial" w:hAnsi="Arial" w:cs="Arial" w:hint="eastAsia"/>
          <w:bCs w:val="0"/>
          <w:sz w:val="21"/>
          <w:szCs w:val="21"/>
          <w:lang w:val="en-US"/>
        </w:rPr>
        <w:t>95559</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网址：</w:t>
      </w:r>
      <w:r>
        <w:rPr>
          <w:rFonts w:ascii="Arial" w:hAnsi="Arial" w:cs="Arial" w:hint="eastAsia"/>
          <w:bCs w:val="0"/>
          <w:sz w:val="21"/>
          <w:szCs w:val="21"/>
          <w:lang w:val="en-US"/>
        </w:rPr>
        <w:t>www.bankcomm.com</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w:t>
      </w:r>
      <w:r>
        <w:rPr>
          <w:rFonts w:ascii="Arial" w:hAnsi="Arial" w:cs="Arial" w:hint="eastAsia"/>
          <w:bCs w:val="0"/>
          <w:sz w:val="21"/>
          <w:szCs w:val="21"/>
          <w:lang w:val="en-US"/>
        </w:rPr>
        <w:t>2</w:t>
      </w:r>
      <w:r>
        <w:rPr>
          <w:rFonts w:ascii="Arial" w:hAnsi="Arial" w:cs="Arial" w:hint="eastAsia"/>
          <w:bCs w:val="0"/>
          <w:sz w:val="21"/>
          <w:szCs w:val="21"/>
          <w:lang w:val="en-US"/>
        </w:rPr>
        <w:t>）山西证券股份有限公司</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注册地址：太原市府西街</w:t>
      </w:r>
      <w:r>
        <w:rPr>
          <w:rFonts w:ascii="Arial" w:hAnsi="Arial" w:cs="Arial" w:hint="eastAsia"/>
          <w:bCs w:val="0"/>
          <w:sz w:val="21"/>
          <w:szCs w:val="21"/>
          <w:lang w:val="en-US"/>
        </w:rPr>
        <w:t>69</w:t>
      </w:r>
      <w:r>
        <w:rPr>
          <w:rFonts w:ascii="Arial" w:hAnsi="Arial" w:cs="Arial" w:hint="eastAsia"/>
          <w:bCs w:val="0"/>
          <w:sz w:val="21"/>
          <w:szCs w:val="21"/>
          <w:lang w:val="en-US"/>
        </w:rPr>
        <w:t>号山西国际贸易中心东塔楼</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办公地址：太原市府西街</w:t>
      </w:r>
      <w:r>
        <w:rPr>
          <w:rFonts w:ascii="Arial" w:hAnsi="Arial" w:cs="Arial" w:hint="eastAsia"/>
          <w:bCs w:val="0"/>
          <w:sz w:val="21"/>
          <w:szCs w:val="21"/>
          <w:lang w:val="en-US"/>
        </w:rPr>
        <w:t>69</w:t>
      </w:r>
      <w:r>
        <w:rPr>
          <w:rFonts w:ascii="Arial" w:hAnsi="Arial" w:cs="Arial" w:hint="eastAsia"/>
          <w:bCs w:val="0"/>
          <w:sz w:val="21"/>
          <w:szCs w:val="21"/>
          <w:lang w:val="en-US"/>
        </w:rPr>
        <w:t>号山西国际贸易中心东塔楼</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法定代表人：王怡里</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联系人：王谷雨</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客服电话：</w:t>
      </w:r>
      <w:r>
        <w:rPr>
          <w:rFonts w:ascii="Arial" w:hAnsi="Arial" w:cs="Arial" w:hint="eastAsia"/>
          <w:bCs w:val="0"/>
          <w:sz w:val="21"/>
          <w:szCs w:val="21"/>
          <w:lang w:val="en-US"/>
        </w:rPr>
        <w:t>95573</w:t>
      </w:r>
    </w:p>
    <w:p w:rsidR="00574CA4" w:rsidRDefault="006E4BF4">
      <w:pPr>
        <w:pStyle w:val="ac"/>
        <w:adjustRightInd w:val="0"/>
        <w:snapToGrid w:val="0"/>
        <w:ind w:firstLine="420"/>
        <w:rPr>
          <w:rFonts w:ascii="Arial" w:hAnsi="Arial" w:cs="Arial"/>
          <w:bCs w:val="0"/>
          <w:sz w:val="21"/>
          <w:szCs w:val="21"/>
          <w:lang w:val="en-US"/>
        </w:rPr>
      </w:pPr>
      <w:r>
        <w:rPr>
          <w:rFonts w:ascii="Arial" w:hAnsi="Arial" w:cs="Arial" w:hint="eastAsia"/>
          <w:bCs w:val="0"/>
          <w:sz w:val="21"/>
          <w:szCs w:val="21"/>
          <w:lang w:val="en-US"/>
        </w:rPr>
        <w:t>机构网址：</w:t>
      </w:r>
      <w:r>
        <w:rPr>
          <w:rFonts w:ascii="Arial" w:hAnsi="Arial" w:cs="Arial" w:hint="eastAsia"/>
          <w:bCs w:val="0"/>
          <w:sz w:val="21"/>
          <w:szCs w:val="21"/>
          <w:lang w:val="en-US"/>
        </w:rPr>
        <w:t>www.i618.com.cn</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基金管理人可根据有关法律、法规的要求，选择其他符合要求的销售机构销售本基金，并在管理人网站公示。</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szCs w:val="21"/>
        </w:rPr>
        <w:t>（四）登记机构</w:t>
      </w:r>
    </w:p>
    <w:p w:rsidR="00574CA4" w:rsidRDefault="006E4BF4">
      <w:pPr>
        <w:pStyle w:val="ac"/>
        <w:adjustRightInd w:val="0"/>
        <w:snapToGrid w:val="0"/>
        <w:ind w:firstLine="420"/>
        <w:rPr>
          <w:rFonts w:ascii="Arial" w:hAnsi="Arial" w:cs="Arial"/>
          <w:bCs w:val="0"/>
          <w:sz w:val="21"/>
          <w:szCs w:val="21"/>
        </w:rPr>
      </w:pPr>
      <w:r>
        <w:rPr>
          <w:rFonts w:ascii="Arial" w:hAnsi="Arial" w:cs="Arial"/>
          <w:bCs w:val="0"/>
          <w:sz w:val="21"/>
          <w:szCs w:val="21"/>
        </w:rPr>
        <w:t>名称：国寿安保基金管理有限公司</w:t>
      </w:r>
    </w:p>
    <w:p w:rsidR="00574CA4" w:rsidRDefault="006E4BF4">
      <w:pPr>
        <w:pStyle w:val="ac"/>
        <w:adjustRightInd w:val="0"/>
        <w:snapToGrid w:val="0"/>
        <w:ind w:firstLine="420"/>
        <w:rPr>
          <w:rFonts w:ascii="Arial" w:hAnsi="Arial" w:cs="Arial"/>
          <w:bCs w:val="0"/>
          <w:sz w:val="21"/>
          <w:szCs w:val="21"/>
        </w:rPr>
      </w:pPr>
      <w:r>
        <w:rPr>
          <w:rFonts w:ascii="Arial" w:hAnsi="Arial" w:cs="Arial" w:hint="eastAsia"/>
          <w:bCs w:val="0"/>
          <w:sz w:val="21"/>
          <w:szCs w:val="21"/>
        </w:rPr>
        <w:t>住所：上海市虹口区丰镇路</w:t>
      </w:r>
      <w:r>
        <w:rPr>
          <w:rFonts w:ascii="Arial" w:hAnsi="Arial" w:cs="Arial" w:hint="eastAsia"/>
          <w:bCs w:val="0"/>
          <w:sz w:val="21"/>
          <w:szCs w:val="21"/>
        </w:rPr>
        <w:t>806</w:t>
      </w:r>
      <w:r>
        <w:rPr>
          <w:rFonts w:ascii="Arial" w:hAnsi="Arial" w:cs="Arial" w:hint="eastAsia"/>
          <w:bCs w:val="0"/>
          <w:sz w:val="21"/>
          <w:szCs w:val="21"/>
        </w:rPr>
        <w:t>号</w:t>
      </w:r>
      <w:r>
        <w:rPr>
          <w:rFonts w:ascii="Arial" w:hAnsi="Arial" w:cs="Arial" w:hint="eastAsia"/>
          <w:bCs w:val="0"/>
          <w:sz w:val="21"/>
          <w:szCs w:val="21"/>
        </w:rPr>
        <w:t>3</w:t>
      </w:r>
      <w:r>
        <w:rPr>
          <w:rFonts w:ascii="Arial" w:hAnsi="Arial" w:cs="Arial" w:hint="eastAsia"/>
          <w:bCs w:val="0"/>
          <w:sz w:val="21"/>
          <w:szCs w:val="21"/>
        </w:rPr>
        <w:t>幢</w:t>
      </w:r>
      <w:r>
        <w:rPr>
          <w:rFonts w:ascii="Arial" w:hAnsi="Arial" w:cs="Arial" w:hint="eastAsia"/>
          <w:bCs w:val="0"/>
          <w:sz w:val="21"/>
          <w:szCs w:val="21"/>
        </w:rPr>
        <w:t>306</w:t>
      </w:r>
      <w:r>
        <w:rPr>
          <w:rFonts w:ascii="Arial" w:hAnsi="Arial" w:cs="Arial" w:hint="eastAsia"/>
          <w:bCs w:val="0"/>
          <w:sz w:val="21"/>
          <w:szCs w:val="21"/>
        </w:rPr>
        <w:t>号</w:t>
      </w:r>
    </w:p>
    <w:p w:rsidR="00574CA4" w:rsidRDefault="006E4BF4">
      <w:pPr>
        <w:autoSpaceDE w:val="0"/>
        <w:autoSpaceDN w:val="0"/>
        <w:adjustRightInd w:val="0"/>
        <w:snapToGrid w:val="0"/>
        <w:spacing w:line="360" w:lineRule="auto"/>
        <w:ind w:firstLineChars="200" w:firstLine="420"/>
        <w:rPr>
          <w:rFonts w:ascii="Arial" w:hAnsi="Arial" w:cs="Arial"/>
          <w:szCs w:val="21"/>
        </w:rPr>
      </w:pPr>
      <w:r>
        <w:rPr>
          <w:rFonts w:ascii="Arial" w:hAnsi="Arial" w:cs="Arial"/>
          <w:szCs w:val="21"/>
        </w:rPr>
        <w:t>办公地址：北京市</w:t>
      </w:r>
      <w:r>
        <w:rPr>
          <w:rFonts w:ascii="Arial" w:eastAsiaTheme="minorEastAsia" w:hAnsi="Arial" w:cs="Arial"/>
          <w:szCs w:val="21"/>
        </w:rPr>
        <w:t>西城区</w:t>
      </w:r>
      <w:r>
        <w:rPr>
          <w:rFonts w:ascii="Arial" w:hAnsi="Arial" w:cs="Arial"/>
          <w:szCs w:val="21"/>
        </w:rPr>
        <w:t>金融大街</w:t>
      </w:r>
      <w:r>
        <w:rPr>
          <w:rFonts w:ascii="Arial" w:hAnsi="Arial" w:cs="Arial" w:hint="eastAsia"/>
          <w:szCs w:val="21"/>
        </w:rPr>
        <w:t>28</w:t>
      </w:r>
      <w:r>
        <w:rPr>
          <w:rFonts w:ascii="Arial" w:hAnsi="Arial" w:cs="Arial" w:hint="eastAsia"/>
          <w:szCs w:val="21"/>
        </w:rPr>
        <w:t>号院盈泰商务中心</w:t>
      </w:r>
      <w:r>
        <w:rPr>
          <w:rFonts w:ascii="Arial" w:hAnsi="Arial" w:cs="Arial" w:hint="eastAsia"/>
          <w:szCs w:val="21"/>
        </w:rPr>
        <w:t>2</w:t>
      </w:r>
      <w:r>
        <w:rPr>
          <w:rFonts w:ascii="Arial" w:hAnsi="Arial" w:cs="Arial" w:hint="eastAsia"/>
          <w:szCs w:val="21"/>
        </w:rPr>
        <w:t>号楼</w:t>
      </w:r>
      <w:r>
        <w:rPr>
          <w:rFonts w:ascii="Arial" w:hAnsi="Arial" w:cs="Arial" w:hint="eastAsia"/>
          <w:szCs w:val="21"/>
        </w:rPr>
        <w:t>10</w:t>
      </w:r>
      <w:r>
        <w:rPr>
          <w:rFonts w:ascii="Arial" w:hAnsi="Arial" w:cs="Arial" w:hint="eastAsia"/>
          <w:szCs w:val="21"/>
        </w:rPr>
        <w:t>、</w:t>
      </w:r>
      <w:r>
        <w:rPr>
          <w:rFonts w:ascii="Arial" w:hAnsi="Arial" w:cs="Arial" w:hint="eastAsia"/>
          <w:szCs w:val="21"/>
        </w:rPr>
        <w:t>11</w:t>
      </w:r>
      <w:r>
        <w:rPr>
          <w:rFonts w:ascii="Arial" w:hAnsi="Arial" w:cs="Arial" w:hint="eastAsia"/>
          <w:szCs w:val="21"/>
        </w:rPr>
        <w:t>、</w:t>
      </w:r>
      <w:r>
        <w:rPr>
          <w:rFonts w:ascii="Arial" w:hAnsi="Arial" w:cs="Arial" w:hint="eastAsia"/>
          <w:szCs w:val="21"/>
        </w:rPr>
        <w:t>12</w:t>
      </w:r>
      <w:r>
        <w:rPr>
          <w:rFonts w:ascii="Arial" w:hAnsi="Arial" w:cs="Arial" w:hint="eastAsia"/>
          <w:szCs w:val="21"/>
        </w:rPr>
        <w:t>层</w:t>
      </w:r>
    </w:p>
    <w:p w:rsidR="00574CA4" w:rsidRDefault="006E4BF4">
      <w:pPr>
        <w:pStyle w:val="ac"/>
        <w:adjustRightInd w:val="0"/>
        <w:snapToGrid w:val="0"/>
        <w:ind w:firstLine="420"/>
        <w:rPr>
          <w:rFonts w:ascii="Arial" w:hAnsi="Arial" w:cs="Arial"/>
          <w:bCs w:val="0"/>
          <w:sz w:val="21"/>
          <w:szCs w:val="21"/>
        </w:rPr>
      </w:pPr>
      <w:r>
        <w:rPr>
          <w:rFonts w:ascii="Arial" w:hAnsi="Arial" w:cs="Arial"/>
          <w:bCs w:val="0"/>
          <w:sz w:val="21"/>
          <w:szCs w:val="21"/>
        </w:rPr>
        <w:t>法定代表人：</w:t>
      </w:r>
      <w:r>
        <w:rPr>
          <w:rFonts w:ascii="Arial" w:hAnsi="Arial" w:cs="Arial" w:hint="eastAsia"/>
          <w:bCs w:val="0"/>
          <w:sz w:val="21"/>
          <w:szCs w:val="21"/>
        </w:rPr>
        <w:t>于泳</w:t>
      </w:r>
    </w:p>
    <w:p w:rsidR="00574CA4" w:rsidRDefault="006E4BF4">
      <w:pPr>
        <w:pStyle w:val="ac"/>
        <w:adjustRightInd w:val="0"/>
        <w:snapToGrid w:val="0"/>
        <w:ind w:firstLine="420"/>
        <w:rPr>
          <w:rFonts w:ascii="Arial" w:hAnsi="Arial" w:cs="Arial"/>
          <w:bCs w:val="0"/>
          <w:sz w:val="21"/>
          <w:szCs w:val="21"/>
        </w:rPr>
      </w:pPr>
      <w:r>
        <w:rPr>
          <w:rFonts w:ascii="Arial" w:hAnsi="Arial" w:cs="Arial" w:hint="eastAsia"/>
          <w:bCs w:val="0"/>
          <w:sz w:val="21"/>
          <w:szCs w:val="21"/>
        </w:rPr>
        <w:t>客户服务</w:t>
      </w:r>
      <w:r>
        <w:rPr>
          <w:rFonts w:ascii="Arial" w:hAnsi="Arial" w:cs="Arial"/>
          <w:bCs w:val="0"/>
          <w:sz w:val="21"/>
          <w:szCs w:val="21"/>
        </w:rPr>
        <w:t>电话：</w:t>
      </w:r>
      <w:r>
        <w:rPr>
          <w:rFonts w:ascii="Arial" w:hAnsi="Arial" w:cs="Arial" w:hint="eastAsia"/>
          <w:bCs w:val="0"/>
          <w:sz w:val="21"/>
          <w:szCs w:val="21"/>
        </w:rPr>
        <w:t>4009-258-258</w:t>
      </w:r>
    </w:p>
    <w:p w:rsidR="00574CA4" w:rsidRDefault="006E4BF4">
      <w:pPr>
        <w:pStyle w:val="ac"/>
        <w:adjustRightInd w:val="0"/>
        <w:snapToGrid w:val="0"/>
        <w:ind w:firstLine="420"/>
        <w:rPr>
          <w:rFonts w:ascii="Arial" w:hAnsi="Arial" w:cs="Arial"/>
          <w:bCs w:val="0"/>
          <w:sz w:val="21"/>
          <w:szCs w:val="21"/>
        </w:rPr>
      </w:pPr>
      <w:r>
        <w:rPr>
          <w:rFonts w:ascii="Arial" w:hAnsi="Arial" w:cs="Arial"/>
          <w:bCs w:val="0"/>
          <w:sz w:val="21"/>
          <w:szCs w:val="21"/>
        </w:rPr>
        <w:t>传真：</w:t>
      </w:r>
      <w:r>
        <w:rPr>
          <w:rFonts w:ascii="Arial" w:hAnsi="Arial" w:cs="Arial" w:hint="eastAsia"/>
          <w:bCs w:val="0"/>
          <w:sz w:val="21"/>
          <w:szCs w:val="21"/>
        </w:rPr>
        <w:t>010-50850966</w:t>
      </w:r>
    </w:p>
    <w:p w:rsidR="00574CA4" w:rsidRDefault="006E4BF4">
      <w:pPr>
        <w:autoSpaceDE w:val="0"/>
        <w:autoSpaceDN w:val="0"/>
        <w:adjustRightInd w:val="0"/>
        <w:snapToGrid w:val="0"/>
        <w:spacing w:line="360" w:lineRule="auto"/>
        <w:ind w:firstLineChars="200" w:firstLine="420"/>
        <w:rPr>
          <w:rFonts w:ascii="Arial" w:hAnsi="Arial" w:cs="Arial"/>
          <w:szCs w:val="21"/>
        </w:rPr>
      </w:pPr>
      <w:r>
        <w:rPr>
          <w:rFonts w:ascii="Arial" w:hAnsi="Arial" w:cs="Arial"/>
          <w:bCs/>
          <w:szCs w:val="21"/>
        </w:rPr>
        <w:t>联系人：</w:t>
      </w:r>
      <w:r>
        <w:rPr>
          <w:rFonts w:ascii="Arial" w:hAnsi="Arial" w:cs="Arial" w:hint="eastAsia"/>
          <w:bCs/>
          <w:szCs w:val="21"/>
        </w:rPr>
        <w:t>干晓树</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（五）出具法律意见书的律师事务所</w:t>
      </w:r>
    </w:p>
    <w:p w:rsidR="00574CA4" w:rsidRDefault="006E4BF4">
      <w:pPr>
        <w:autoSpaceDE w:val="0"/>
        <w:autoSpaceDN w:val="0"/>
        <w:adjustRightInd w:val="0"/>
        <w:snapToGrid w:val="0"/>
        <w:spacing w:line="360" w:lineRule="auto"/>
        <w:ind w:firstLineChars="200" w:firstLine="420"/>
        <w:rPr>
          <w:szCs w:val="21"/>
        </w:rPr>
      </w:pPr>
      <w:r>
        <w:rPr>
          <w:szCs w:val="21"/>
        </w:rPr>
        <w:t>名称：上海市通力律师事务所</w:t>
      </w:r>
    </w:p>
    <w:p w:rsidR="00574CA4" w:rsidRDefault="006E4BF4">
      <w:pPr>
        <w:autoSpaceDE w:val="0"/>
        <w:autoSpaceDN w:val="0"/>
        <w:adjustRightInd w:val="0"/>
        <w:snapToGrid w:val="0"/>
        <w:spacing w:line="360" w:lineRule="auto"/>
        <w:ind w:firstLineChars="200" w:firstLine="420"/>
        <w:rPr>
          <w:szCs w:val="21"/>
        </w:rPr>
      </w:pPr>
      <w:r>
        <w:rPr>
          <w:szCs w:val="21"/>
        </w:rPr>
        <w:t>注册地址：上海市银城中路</w:t>
      </w:r>
      <w:r>
        <w:rPr>
          <w:szCs w:val="21"/>
        </w:rPr>
        <w:t>68</w:t>
      </w:r>
      <w:r>
        <w:rPr>
          <w:szCs w:val="21"/>
        </w:rPr>
        <w:t>号时代金融中心</w:t>
      </w:r>
      <w:r>
        <w:rPr>
          <w:szCs w:val="21"/>
        </w:rPr>
        <w:t>19</w:t>
      </w:r>
      <w:r>
        <w:rPr>
          <w:szCs w:val="21"/>
        </w:rPr>
        <w:t>楼</w:t>
      </w:r>
    </w:p>
    <w:p w:rsidR="00574CA4" w:rsidRDefault="006E4BF4">
      <w:pPr>
        <w:autoSpaceDE w:val="0"/>
        <w:autoSpaceDN w:val="0"/>
        <w:adjustRightInd w:val="0"/>
        <w:snapToGrid w:val="0"/>
        <w:spacing w:line="360" w:lineRule="auto"/>
        <w:ind w:firstLineChars="200" w:firstLine="420"/>
        <w:rPr>
          <w:szCs w:val="21"/>
        </w:rPr>
      </w:pPr>
      <w:r>
        <w:rPr>
          <w:szCs w:val="21"/>
        </w:rPr>
        <w:t>办公地址：上海市银城中路</w:t>
      </w:r>
      <w:r>
        <w:rPr>
          <w:szCs w:val="21"/>
        </w:rPr>
        <w:t>68</w:t>
      </w:r>
      <w:r>
        <w:rPr>
          <w:szCs w:val="21"/>
        </w:rPr>
        <w:t>号时代金融中心</w:t>
      </w:r>
      <w:r>
        <w:rPr>
          <w:szCs w:val="21"/>
        </w:rPr>
        <w:t>19</w:t>
      </w:r>
      <w:r>
        <w:rPr>
          <w:szCs w:val="21"/>
        </w:rPr>
        <w:t>楼</w:t>
      </w:r>
    </w:p>
    <w:p w:rsidR="00574CA4" w:rsidRDefault="006E4BF4">
      <w:pPr>
        <w:autoSpaceDE w:val="0"/>
        <w:autoSpaceDN w:val="0"/>
        <w:adjustRightInd w:val="0"/>
        <w:snapToGrid w:val="0"/>
        <w:spacing w:line="360" w:lineRule="auto"/>
        <w:ind w:firstLineChars="200" w:firstLine="420"/>
        <w:rPr>
          <w:szCs w:val="21"/>
        </w:rPr>
      </w:pPr>
      <w:r>
        <w:rPr>
          <w:szCs w:val="21"/>
        </w:rPr>
        <w:t>负责人：韩炯</w:t>
      </w:r>
    </w:p>
    <w:p w:rsidR="00574CA4" w:rsidRDefault="006E4BF4">
      <w:pPr>
        <w:autoSpaceDE w:val="0"/>
        <w:autoSpaceDN w:val="0"/>
        <w:adjustRightInd w:val="0"/>
        <w:snapToGrid w:val="0"/>
        <w:spacing w:line="360" w:lineRule="auto"/>
        <w:ind w:firstLineChars="200" w:firstLine="420"/>
        <w:rPr>
          <w:szCs w:val="21"/>
        </w:rPr>
      </w:pPr>
      <w:r>
        <w:rPr>
          <w:szCs w:val="21"/>
        </w:rPr>
        <w:t>电话：</w:t>
      </w:r>
      <w:r>
        <w:rPr>
          <w:szCs w:val="21"/>
        </w:rPr>
        <w:t>021-31358666</w:t>
      </w:r>
    </w:p>
    <w:p w:rsidR="00574CA4" w:rsidRDefault="006E4BF4">
      <w:pPr>
        <w:autoSpaceDE w:val="0"/>
        <w:autoSpaceDN w:val="0"/>
        <w:adjustRightInd w:val="0"/>
        <w:snapToGrid w:val="0"/>
        <w:spacing w:line="360" w:lineRule="auto"/>
        <w:ind w:firstLineChars="200" w:firstLine="420"/>
        <w:rPr>
          <w:szCs w:val="21"/>
        </w:rPr>
      </w:pPr>
      <w:r>
        <w:rPr>
          <w:szCs w:val="21"/>
        </w:rPr>
        <w:t>传真：</w:t>
      </w:r>
      <w:r>
        <w:rPr>
          <w:szCs w:val="21"/>
        </w:rPr>
        <w:t>021-31358600</w:t>
      </w:r>
    </w:p>
    <w:p w:rsidR="00574CA4" w:rsidRDefault="006E4BF4">
      <w:pPr>
        <w:autoSpaceDE w:val="0"/>
        <w:autoSpaceDN w:val="0"/>
        <w:adjustRightInd w:val="0"/>
        <w:snapToGrid w:val="0"/>
        <w:spacing w:line="360" w:lineRule="auto"/>
        <w:ind w:firstLineChars="200" w:firstLine="420"/>
        <w:rPr>
          <w:szCs w:val="21"/>
        </w:rPr>
      </w:pPr>
      <w:r>
        <w:rPr>
          <w:szCs w:val="21"/>
        </w:rPr>
        <w:t>联系人：</w:t>
      </w:r>
      <w:r>
        <w:rPr>
          <w:rFonts w:hint="eastAsia"/>
          <w:szCs w:val="21"/>
        </w:rPr>
        <w:t>程杨</w:t>
      </w:r>
    </w:p>
    <w:p w:rsidR="00574CA4" w:rsidRDefault="006E4BF4">
      <w:pPr>
        <w:autoSpaceDE w:val="0"/>
        <w:autoSpaceDN w:val="0"/>
        <w:adjustRightInd w:val="0"/>
        <w:snapToGrid w:val="0"/>
        <w:spacing w:line="360" w:lineRule="auto"/>
        <w:ind w:firstLineChars="200" w:firstLine="420"/>
        <w:rPr>
          <w:szCs w:val="21"/>
        </w:rPr>
      </w:pPr>
      <w:r>
        <w:rPr>
          <w:szCs w:val="21"/>
        </w:rPr>
        <w:t>经办律师：陆奇</w:t>
      </w:r>
      <w:r>
        <w:rPr>
          <w:rFonts w:hint="eastAsia"/>
          <w:szCs w:val="21"/>
        </w:rPr>
        <w:t>、程杨</w:t>
      </w:r>
    </w:p>
    <w:p w:rsidR="00574CA4" w:rsidRDefault="006E4BF4">
      <w:pPr>
        <w:autoSpaceDE w:val="0"/>
        <w:autoSpaceDN w:val="0"/>
        <w:adjustRightInd w:val="0"/>
        <w:snapToGrid w:val="0"/>
        <w:spacing w:line="360" w:lineRule="auto"/>
        <w:ind w:firstLineChars="200" w:firstLine="420"/>
        <w:rPr>
          <w:rFonts w:ascii="Arial" w:eastAsiaTheme="minorEastAsia" w:hAnsi="Arial" w:cs="Arial"/>
          <w:szCs w:val="21"/>
        </w:rPr>
      </w:pPr>
      <w:r>
        <w:rPr>
          <w:rFonts w:ascii="Arial" w:eastAsiaTheme="minorEastAsia" w:hAnsi="Arial" w:cs="Arial" w:hint="eastAsia"/>
          <w:szCs w:val="21"/>
        </w:rPr>
        <w:t>（六）审计基金财产的会计师事务所</w:t>
      </w:r>
    </w:p>
    <w:p w:rsidR="00574CA4" w:rsidRDefault="006E4BF4">
      <w:pPr>
        <w:autoSpaceDE w:val="0"/>
        <w:autoSpaceDN w:val="0"/>
        <w:adjustRightInd w:val="0"/>
        <w:snapToGrid w:val="0"/>
        <w:spacing w:line="360" w:lineRule="auto"/>
        <w:ind w:firstLineChars="200" w:firstLine="420"/>
        <w:rPr>
          <w:szCs w:val="21"/>
        </w:rPr>
      </w:pPr>
      <w:r>
        <w:rPr>
          <w:szCs w:val="21"/>
        </w:rPr>
        <w:t>名称：容诚会计师事务所（特殊普通合伙）</w:t>
      </w:r>
    </w:p>
    <w:p w:rsidR="00574CA4" w:rsidRDefault="006E4BF4">
      <w:pPr>
        <w:autoSpaceDE w:val="0"/>
        <w:autoSpaceDN w:val="0"/>
        <w:adjustRightInd w:val="0"/>
        <w:snapToGrid w:val="0"/>
        <w:spacing w:line="360" w:lineRule="auto"/>
        <w:ind w:firstLineChars="200" w:firstLine="420"/>
        <w:rPr>
          <w:szCs w:val="21"/>
        </w:rPr>
      </w:pPr>
      <w:r>
        <w:rPr>
          <w:szCs w:val="21"/>
        </w:rPr>
        <w:t>注册地址：北京市西城区阜成门外大街</w:t>
      </w:r>
      <w:r>
        <w:rPr>
          <w:szCs w:val="21"/>
        </w:rPr>
        <w:t>22</w:t>
      </w:r>
      <w:r>
        <w:rPr>
          <w:szCs w:val="21"/>
        </w:rPr>
        <w:t>号</w:t>
      </w:r>
      <w:r>
        <w:rPr>
          <w:szCs w:val="21"/>
        </w:rPr>
        <w:t>1</w:t>
      </w:r>
      <w:r>
        <w:rPr>
          <w:szCs w:val="21"/>
        </w:rPr>
        <w:t>幢外经贸大厦</w:t>
      </w:r>
      <w:r>
        <w:rPr>
          <w:szCs w:val="21"/>
        </w:rPr>
        <w:t>901-22</w:t>
      </w:r>
      <w:r>
        <w:rPr>
          <w:szCs w:val="21"/>
        </w:rPr>
        <w:t>至</w:t>
      </w:r>
      <w:r>
        <w:rPr>
          <w:szCs w:val="21"/>
        </w:rPr>
        <w:t>901-26</w:t>
      </w:r>
    </w:p>
    <w:p w:rsidR="00574CA4" w:rsidRDefault="006E4BF4">
      <w:pPr>
        <w:autoSpaceDE w:val="0"/>
        <w:autoSpaceDN w:val="0"/>
        <w:adjustRightInd w:val="0"/>
        <w:snapToGrid w:val="0"/>
        <w:spacing w:line="360" w:lineRule="auto"/>
        <w:ind w:firstLineChars="200" w:firstLine="420"/>
        <w:rPr>
          <w:szCs w:val="21"/>
        </w:rPr>
      </w:pPr>
      <w:r>
        <w:rPr>
          <w:szCs w:val="21"/>
        </w:rPr>
        <w:t>办公地址：北京市西城区阜成门外大街</w:t>
      </w:r>
      <w:r>
        <w:rPr>
          <w:szCs w:val="21"/>
        </w:rPr>
        <w:t>22</w:t>
      </w:r>
      <w:r>
        <w:rPr>
          <w:szCs w:val="21"/>
        </w:rPr>
        <w:t>号</w:t>
      </w:r>
      <w:r>
        <w:rPr>
          <w:szCs w:val="21"/>
        </w:rPr>
        <w:t>1</w:t>
      </w:r>
      <w:r>
        <w:rPr>
          <w:szCs w:val="21"/>
        </w:rPr>
        <w:t>幢外经贸大厦</w:t>
      </w:r>
      <w:r>
        <w:rPr>
          <w:szCs w:val="21"/>
        </w:rPr>
        <w:t>901-22</w:t>
      </w:r>
      <w:r>
        <w:rPr>
          <w:szCs w:val="21"/>
        </w:rPr>
        <w:t>至</w:t>
      </w:r>
      <w:r>
        <w:rPr>
          <w:szCs w:val="21"/>
        </w:rPr>
        <w:t>901-26</w:t>
      </w:r>
    </w:p>
    <w:p w:rsidR="00574CA4" w:rsidRDefault="006E4BF4">
      <w:pPr>
        <w:autoSpaceDE w:val="0"/>
        <w:autoSpaceDN w:val="0"/>
        <w:adjustRightInd w:val="0"/>
        <w:snapToGrid w:val="0"/>
        <w:spacing w:line="360" w:lineRule="auto"/>
        <w:ind w:firstLineChars="200" w:firstLine="420"/>
        <w:rPr>
          <w:szCs w:val="21"/>
        </w:rPr>
      </w:pPr>
      <w:r>
        <w:rPr>
          <w:szCs w:val="21"/>
        </w:rPr>
        <w:t>执行事务合伙人：肖厚发、刘维</w:t>
      </w:r>
    </w:p>
    <w:p w:rsidR="00574CA4" w:rsidRDefault="006E4BF4">
      <w:pPr>
        <w:autoSpaceDE w:val="0"/>
        <w:autoSpaceDN w:val="0"/>
        <w:adjustRightInd w:val="0"/>
        <w:snapToGrid w:val="0"/>
        <w:spacing w:line="360" w:lineRule="auto"/>
        <w:ind w:firstLineChars="200" w:firstLine="420"/>
        <w:rPr>
          <w:szCs w:val="21"/>
        </w:rPr>
      </w:pPr>
      <w:r>
        <w:rPr>
          <w:szCs w:val="21"/>
        </w:rPr>
        <w:t>电话：</w:t>
      </w:r>
      <w:r>
        <w:rPr>
          <w:szCs w:val="21"/>
        </w:rPr>
        <w:t>010-66001391</w:t>
      </w:r>
    </w:p>
    <w:p w:rsidR="00574CA4" w:rsidRDefault="006E4BF4">
      <w:pPr>
        <w:autoSpaceDE w:val="0"/>
        <w:autoSpaceDN w:val="0"/>
        <w:adjustRightInd w:val="0"/>
        <w:snapToGrid w:val="0"/>
        <w:spacing w:line="360" w:lineRule="auto"/>
        <w:ind w:firstLineChars="200" w:firstLine="420"/>
        <w:rPr>
          <w:szCs w:val="21"/>
        </w:rPr>
      </w:pPr>
      <w:r>
        <w:rPr>
          <w:szCs w:val="21"/>
        </w:rPr>
        <w:t>传真：</w:t>
      </w:r>
      <w:r>
        <w:rPr>
          <w:szCs w:val="21"/>
        </w:rPr>
        <w:t>010-66001392</w:t>
      </w:r>
    </w:p>
    <w:p w:rsidR="00574CA4" w:rsidRDefault="006E4BF4">
      <w:pPr>
        <w:autoSpaceDE w:val="0"/>
        <w:autoSpaceDN w:val="0"/>
        <w:adjustRightInd w:val="0"/>
        <w:snapToGrid w:val="0"/>
        <w:spacing w:line="360" w:lineRule="auto"/>
        <w:ind w:firstLineChars="200" w:firstLine="420"/>
        <w:rPr>
          <w:szCs w:val="21"/>
        </w:rPr>
      </w:pPr>
      <w:r>
        <w:rPr>
          <w:szCs w:val="21"/>
        </w:rPr>
        <w:t>联系人：蔡晓慧</w:t>
      </w:r>
    </w:p>
    <w:p w:rsidR="00574CA4" w:rsidRDefault="006E4BF4">
      <w:pPr>
        <w:autoSpaceDE w:val="0"/>
        <w:autoSpaceDN w:val="0"/>
        <w:adjustRightInd w:val="0"/>
        <w:snapToGrid w:val="0"/>
        <w:spacing w:line="360" w:lineRule="auto"/>
        <w:ind w:firstLineChars="200" w:firstLine="420"/>
        <w:rPr>
          <w:szCs w:val="21"/>
        </w:rPr>
      </w:pPr>
      <w:r>
        <w:rPr>
          <w:szCs w:val="21"/>
        </w:rPr>
        <w:t>经办注册会计师：蔡晓慧、柴瀚英</w:t>
      </w:r>
    </w:p>
    <w:p w:rsidR="00574CA4" w:rsidRDefault="00574CA4">
      <w:pPr>
        <w:pStyle w:val="a0"/>
      </w:pPr>
    </w:p>
    <w:p w:rsidR="00574CA4" w:rsidRDefault="00574CA4">
      <w:pPr>
        <w:autoSpaceDE w:val="0"/>
        <w:autoSpaceDN w:val="0"/>
        <w:adjustRightInd w:val="0"/>
        <w:snapToGrid w:val="0"/>
        <w:spacing w:line="360" w:lineRule="auto"/>
        <w:ind w:firstLineChars="200" w:firstLine="420"/>
        <w:rPr>
          <w:rFonts w:ascii="Arial" w:eastAsiaTheme="minorEastAsia" w:hAnsi="Arial" w:cs="Arial"/>
          <w:szCs w:val="21"/>
        </w:rPr>
      </w:pPr>
    </w:p>
    <w:p w:rsidR="00574CA4" w:rsidRDefault="006E4BF4">
      <w:pPr>
        <w:spacing w:line="360" w:lineRule="auto"/>
        <w:ind w:leftChars="300" w:left="630"/>
        <w:jc w:val="right"/>
        <w:rPr>
          <w:rFonts w:ascii="Arial" w:eastAsiaTheme="minorEastAsia" w:hAnsi="Arial" w:cs="Arial"/>
          <w:bCs/>
          <w:szCs w:val="21"/>
        </w:rPr>
      </w:pPr>
      <w:r>
        <w:rPr>
          <w:rFonts w:ascii="Arial" w:eastAsiaTheme="minorEastAsia" w:hAnsi="Arial" w:cs="Arial"/>
          <w:bCs/>
          <w:szCs w:val="21"/>
        </w:rPr>
        <w:t>国寿安保基金管理有限公司</w:t>
      </w:r>
    </w:p>
    <w:p w:rsidR="00574CA4" w:rsidRDefault="006E4BF4">
      <w:pPr>
        <w:wordWrap w:val="0"/>
        <w:spacing w:line="360" w:lineRule="auto"/>
        <w:ind w:leftChars="300" w:left="630"/>
        <w:jc w:val="right"/>
        <w:rPr>
          <w:rFonts w:ascii="Arial" w:eastAsiaTheme="minorEastAsia" w:hAnsi="Arial" w:cs="Arial"/>
          <w:bCs/>
          <w:szCs w:val="21"/>
        </w:rPr>
      </w:pPr>
      <w:r>
        <w:rPr>
          <w:rFonts w:ascii="Arial" w:eastAsiaTheme="minorEastAsia" w:hAnsi="Arial" w:cs="Arial"/>
          <w:bCs/>
          <w:szCs w:val="21"/>
        </w:rPr>
        <w:t>202</w:t>
      </w:r>
      <w:r>
        <w:rPr>
          <w:rFonts w:ascii="Arial" w:eastAsiaTheme="minorEastAsia" w:hAnsi="Arial" w:cs="Arial" w:hint="eastAsia"/>
          <w:bCs/>
          <w:szCs w:val="21"/>
        </w:rPr>
        <w:t>5</w:t>
      </w:r>
      <w:r>
        <w:rPr>
          <w:rFonts w:ascii="Arial" w:eastAsiaTheme="minorEastAsia" w:hAnsi="Arial" w:cs="Arial"/>
          <w:bCs/>
          <w:szCs w:val="21"/>
        </w:rPr>
        <w:t>年</w:t>
      </w:r>
      <w:r>
        <w:rPr>
          <w:rFonts w:ascii="Arial" w:eastAsiaTheme="minorEastAsia" w:hAnsi="Arial" w:cs="Arial" w:hint="eastAsia"/>
          <w:bCs/>
          <w:szCs w:val="21"/>
        </w:rPr>
        <w:t>12</w:t>
      </w:r>
      <w:r>
        <w:rPr>
          <w:rFonts w:ascii="Arial" w:eastAsiaTheme="minorEastAsia" w:hAnsi="Arial" w:cs="Arial"/>
          <w:bCs/>
          <w:szCs w:val="21"/>
        </w:rPr>
        <w:t>月</w:t>
      </w:r>
      <w:r>
        <w:rPr>
          <w:rFonts w:ascii="Arial" w:eastAsiaTheme="minorEastAsia" w:hAnsi="Arial" w:cs="Arial" w:hint="eastAsia"/>
          <w:bCs/>
          <w:szCs w:val="21"/>
        </w:rPr>
        <w:t>12</w:t>
      </w:r>
      <w:r>
        <w:rPr>
          <w:rFonts w:ascii="Arial" w:eastAsiaTheme="minorEastAsia" w:hAnsi="Arial" w:cs="Arial"/>
          <w:bCs/>
          <w:szCs w:val="21"/>
        </w:rPr>
        <w:t>日</w:t>
      </w:r>
    </w:p>
    <w:bookmarkEnd w:id="1"/>
    <w:bookmarkEnd w:id="2"/>
    <w:bookmarkEnd w:id="3"/>
    <w:p w:rsidR="00574CA4" w:rsidRDefault="00574CA4"/>
    <w:sectPr w:rsidR="00574CA4" w:rsidSect="00574CA4">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CA4" w:rsidRDefault="00574CA4" w:rsidP="00574CA4">
      <w:r>
        <w:separator/>
      </w:r>
    </w:p>
  </w:endnote>
  <w:endnote w:type="continuationSeparator" w:id="0">
    <w:p w:rsidR="00574CA4" w:rsidRDefault="00574CA4" w:rsidP="00574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CA4" w:rsidRDefault="00574CA4">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CA4" w:rsidRDefault="00574CA4">
    <w:pPr>
      <w:pStyle w:val="a7"/>
      <w:jc w:val="center"/>
      <w:rPr>
        <w:rFonts w:ascii="Arial" w:hAnsi="Arial" w:cs="Arial"/>
      </w:rPr>
    </w:pPr>
    <w:r>
      <w:rPr>
        <w:rFonts w:ascii="Arial" w:hAnsi="Arial" w:cs="Arial"/>
        <w:kern w:val="0"/>
        <w:szCs w:val="21"/>
      </w:rPr>
      <w:fldChar w:fldCharType="begin"/>
    </w:r>
    <w:r w:rsidR="006E4BF4">
      <w:rPr>
        <w:rFonts w:ascii="Arial" w:hAnsi="Arial" w:cs="Arial"/>
        <w:kern w:val="0"/>
        <w:szCs w:val="21"/>
      </w:rPr>
      <w:instrText xml:space="preserve"> PAGE </w:instrText>
    </w:r>
    <w:r>
      <w:rPr>
        <w:rFonts w:ascii="Arial" w:hAnsi="Arial" w:cs="Arial"/>
        <w:kern w:val="0"/>
        <w:szCs w:val="21"/>
      </w:rPr>
      <w:fldChar w:fldCharType="separate"/>
    </w:r>
    <w:r w:rsidR="006E4BF4">
      <w:rPr>
        <w:rFonts w:ascii="Arial" w:hAnsi="Arial" w:cs="Arial"/>
        <w:kern w:val="0"/>
        <w:szCs w:val="21"/>
      </w:rPr>
      <w:t>21</w:t>
    </w:r>
    <w:r>
      <w:rPr>
        <w:rFonts w:ascii="Arial" w:hAnsi="Arial" w:cs="Arial"/>
        <w:kern w:val="0"/>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CA4" w:rsidRDefault="00574CA4" w:rsidP="00574CA4">
      <w:r>
        <w:separator/>
      </w:r>
    </w:p>
  </w:footnote>
  <w:footnote w:type="continuationSeparator" w:id="0">
    <w:p w:rsidR="00574CA4" w:rsidRDefault="00574CA4" w:rsidP="00574C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CA4" w:rsidRDefault="006E4BF4">
    <w:pPr>
      <w:pStyle w:val="a8"/>
      <w:tabs>
        <w:tab w:val="clear" w:pos="4153"/>
        <w:tab w:val="clear" w:pos="8306"/>
        <w:tab w:val="center" w:pos="4393"/>
        <w:tab w:val="right" w:pos="8787"/>
      </w:tabs>
      <w:jc w:val="both"/>
      <w:rPr>
        <w:rFonts w:ascii="Arial" w:eastAsiaTheme="minorEastAsia" w:hAnsi="Arial" w:cs="Arial"/>
        <w:bCs/>
        <w:szCs w:val="21"/>
      </w:rPr>
    </w:pPr>
    <w:r>
      <w:rPr>
        <w:rFonts w:hint="eastAsia"/>
      </w:rPr>
      <w:t>国寿安保</w:t>
    </w:r>
    <w:r>
      <w:rPr>
        <w:rFonts w:hint="eastAsia"/>
      </w:rPr>
      <w:t>中证</w:t>
    </w:r>
    <w:r>
      <w:rPr>
        <w:rFonts w:hint="eastAsia"/>
      </w:rPr>
      <w:t>800</w:t>
    </w:r>
    <w:r>
      <w:rPr>
        <w:rFonts w:hint="eastAsia"/>
      </w:rPr>
      <w:t>指数增强型</w:t>
    </w:r>
    <w:r>
      <w:rPr>
        <w:rFonts w:hint="eastAsia"/>
      </w:rPr>
      <w:t>证券投资基金</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基金份额发售公告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41383"/>
    <w:multiLevelType w:val="multilevel"/>
    <w:tmpl w:val="2EE41383"/>
    <w:lvl w:ilvl="0">
      <w:start w:val="5"/>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DE37F94"/>
    <w:multiLevelType w:val="multilevel"/>
    <w:tmpl w:val="3DE37F94"/>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C41689"/>
    <w:rsid w:val="00004AD8"/>
    <w:rsid w:val="00006EE1"/>
    <w:rsid w:val="00011EF8"/>
    <w:rsid w:val="00013B2E"/>
    <w:rsid w:val="00025C37"/>
    <w:rsid w:val="00037570"/>
    <w:rsid w:val="00040535"/>
    <w:rsid w:val="00047735"/>
    <w:rsid w:val="00053A2D"/>
    <w:rsid w:val="000603C8"/>
    <w:rsid w:val="00062CFE"/>
    <w:rsid w:val="00067C13"/>
    <w:rsid w:val="0007142B"/>
    <w:rsid w:val="00084938"/>
    <w:rsid w:val="000947F1"/>
    <w:rsid w:val="00095DA6"/>
    <w:rsid w:val="000A2E75"/>
    <w:rsid w:val="000A64F9"/>
    <w:rsid w:val="000B7917"/>
    <w:rsid w:val="000B79AF"/>
    <w:rsid w:val="000C24AA"/>
    <w:rsid w:val="000C6786"/>
    <w:rsid w:val="000D0E7C"/>
    <w:rsid w:val="000E1173"/>
    <w:rsid w:val="000E4B3F"/>
    <w:rsid w:val="000E76A5"/>
    <w:rsid w:val="000F3E62"/>
    <w:rsid w:val="00105044"/>
    <w:rsid w:val="0011030E"/>
    <w:rsid w:val="00113433"/>
    <w:rsid w:val="00114E82"/>
    <w:rsid w:val="00130A5A"/>
    <w:rsid w:val="0013463F"/>
    <w:rsid w:val="001418F5"/>
    <w:rsid w:val="001428C1"/>
    <w:rsid w:val="0014353F"/>
    <w:rsid w:val="00145C22"/>
    <w:rsid w:val="00153C17"/>
    <w:rsid w:val="00157A78"/>
    <w:rsid w:val="00183BAB"/>
    <w:rsid w:val="00193387"/>
    <w:rsid w:val="001943CB"/>
    <w:rsid w:val="00195EBE"/>
    <w:rsid w:val="001A19A5"/>
    <w:rsid w:val="001A6CD4"/>
    <w:rsid w:val="001D0D08"/>
    <w:rsid w:val="001D151A"/>
    <w:rsid w:val="001D1D87"/>
    <w:rsid w:val="001E418A"/>
    <w:rsid w:val="001E7F73"/>
    <w:rsid w:val="001F33E2"/>
    <w:rsid w:val="001F4594"/>
    <w:rsid w:val="001F7998"/>
    <w:rsid w:val="00201092"/>
    <w:rsid w:val="00202AF0"/>
    <w:rsid w:val="00205472"/>
    <w:rsid w:val="00211AEB"/>
    <w:rsid w:val="002123AA"/>
    <w:rsid w:val="00212D6C"/>
    <w:rsid w:val="00216EE1"/>
    <w:rsid w:val="00217ACF"/>
    <w:rsid w:val="0022004E"/>
    <w:rsid w:val="00220E99"/>
    <w:rsid w:val="00224BA0"/>
    <w:rsid w:val="00227379"/>
    <w:rsid w:val="002357D7"/>
    <w:rsid w:val="002363DC"/>
    <w:rsid w:val="0024023F"/>
    <w:rsid w:val="00251C36"/>
    <w:rsid w:val="002525D7"/>
    <w:rsid w:val="00255038"/>
    <w:rsid w:val="0026037F"/>
    <w:rsid w:val="00265282"/>
    <w:rsid w:val="00266F90"/>
    <w:rsid w:val="00271F85"/>
    <w:rsid w:val="002847A6"/>
    <w:rsid w:val="002918A0"/>
    <w:rsid w:val="002953C8"/>
    <w:rsid w:val="002A37A6"/>
    <w:rsid w:val="002A3E78"/>
    <w:rsid w:val="002A6832"/>
    <w:rsid w:val="002B49BD"/>
    <w:rsid w:val="002B7B09"/>
    <w:rsid w:val="002C1BD1"/>
    <w:rsid w:val="002D51EE"/>
    <w:rsid w:val="002E2808"/>
    <w:rsid w:val="002F15B1"/>
    <w:rsid w:val="002F251D"/>
    <w:rsid w:val="002F7305"/>
    <w:rsid w:val="00303732"/>
    <w:rsid w:val="003038EC"/>
    <w:rsid w:val="00304A13"/>
    <w:rsid w:val="00304D60"/>
    <w:rsid w:val="00305BF8"/>
    <w:rsid w:val="003149E1"/>
    <w:rsid w:val="003213DF"/>
    <w:rsid w:val="003301CD"/>
    <w:rsid w:val="00334FDA"/>
    <w:rsid w:val="00340D49"/>
    <w:rsid w:val="0034289F"/>
    <w:rsid w:val="00347DE3"/>
    <w:rsid w:val="00353B2C"/>
    <w:rsid w:val="00354236"/>
    <w:rsid w:val="003608F4"/>
    <w:rsid w:val="003651D2"/>
    <w:rsid w:val="00371B46"/>
    <w:rsid w:val="00373AE5"/>
    <w:rsid w:val="00374D25"/>
    <w:rsid w:val="0037630C"/>
    <w:rsid w:val="003824CB"/>
    <w:rsid w:val="00383DEE"/>
    <w:rsid w:val="003845EB"/>
    <w:rsid w:val="0039721B"/>
    <w:rsid w:val="003B38D2"/>
    <w:rsid w:val="003B6F23"/>
    <w:rsid w:val="003C151E"/>
    <w:rsid w:val="003C1BEB"/>
    <w:rsid w:val="003C3ABE"/>
    <w:rsid w:val="003D7176"/>
    <w:rsid w:val="003E76CB"/>
    <w:rsid w:val="003F1B09"/>
    <w:rsid w:val="003F305C"/>
    <w:rsid w:val="003F32D9"/>
    <w:rsid w:val="004007B8"/>
    <w:rsid w:val="00400E2E"/>
    <w:rsid w:val="004043FF"/>
    <w:rsid w:val="00407BFE"/>
    <w:rsid w:val="00407ED4"/>
    <w:rsid w:val="004147C1"/>
    <w:rsid w:val="0041643C"/>
    <w:rsid w:val="004311DE"/>
    <w:rsid w:val="00432ADF"/>
    <w:rsid w:val="00443F2E"/>
    <w:rsid w:val="0046126F"/>
    <w:rsid w:val="00462182"/>
    <w:rsid w:val="00463A36"/>
    <w:rsid w:val="00470610"/>
    <w:rsid w:val="004767B4"/>
    <w:rsid w:val="00477AEC"/>
    <w:rsid w:val="004800A0"/>
    <w:rsid w:val="004834B4"/>
    <w:rsid w:val="00483898"/>
    <w:rsid w:val="0048546A"/>
    <w:rsid w:val="00486B64"/>
    <w:rsid w:val="00492F4A"/>
    <w:rsid w:val="00493916"/>
    <w:rsid w:val="00493C54"/>
    <w:rsid w:val="004A5F40"/>
    <w:rsid w:val="004B14A7"/>
    <w:rsid w:val="004B3461"/>
    <w:rsid w:val="004B7E36"/>
    <w:rsid w:val="004C6BFD"/>
    <w:rsid w:val="004D2314"/>
    <w:rsid w:val="004E41E9"/>
    <w:rsid w:val="004E6BCC"/>
    <w:rsid w:val="004F150D"/>
    <w:rsid w:val="00501555"/>
    <w:rsid w:val="00503277"/>
    <w:rsid w:val="00512254"/>
    <w:rsid w:val="00513FC1"/>
    <w:rsid w:val="0051558D"/>
    <w:rsid w:val="00515F34"/>
    <w:rsid w:val="0053100B"/>
    <w:rsid w:val="005326D8"/>
    <w:rsid w:val="00535A86"/>
    <w:rsid w:val="0054014F"/>
    <w:rsid w:val="00541988"/>
    <w:rsid w:val="00543826"/>
    <w:rsid w:val="0054407B"/>
    <w:rsid w:val="0054642D"/>
    <w:rsid w:val="005551C5"/>
    <w:rsid w:val="00556A73"/>
    <w:rsid w:val="00557F80"/>
    <w:rsid w:val="005651E9"/>
    <w:rsid w:val="00565999"/>
    <w:rsid w:val="00566515"/>
    <w:rsid w:val="0056735F"/>
    <w:rsid w:val="005675B1"/>
    <w:rsid w:val="005732EF"/>
    <w:rsid w:val="00573831"/>
    <w:rsid w:val="00574CA4"/>
    <w:rsid w:val="005871F1"/>
    <w:rsid w:val="00591227"/>
    <w:rsid w:val="00592856"/>
    <w:rsid w:val="00596A71"/>
    <w:rsid w:val="005A26DA"/>
    <w:rsid w:val="005A4B2D"/>
    <w:rsid w:val="005A54FE"/>
    <w:rsid w:val="005B1043"/>
    <w:rsid w:val="005B49A4"/>
    <w:rsid w:val="005C7244"/>
    <w:rsid w:val="005D581B"/>
    <w:rsid w:val="005D6403"/>
    <w:rsid w:val="005D7D79"/>
    <w:rsid w:val="005F1076"/>
    <w:rsid w:val="005F4308"/>
    <w:rsid w:val="005F4EB4"/>
    <w:rsid w:val="00600D6F"/>
    <w:rsid w:val="006015DD"/>
    <w:rsid w:val="006178EB"/>
    <w:rsid w:val="00625319"/>
    <w:rsid w:val="006270F8"/>
    <w:rsid w:val="0063071D"/>
    <w:rsid w:val="0063378B"/>
    <w:rsid w:val="006356B3"/>
    <w:rsid w:val="00640D4F"/>
    <w:rsid w:val="00644E16"/>
    <w:rsid w:val="006475A8"/>
    <w:rsid w:val="006564E2"/>
    <w:rsid w:val="00660444"/>
    <w:rsid w:val="00665576"/>
    <w:rsid w:val="00667423"/>
    <w:rsid w:val="006731AE"/>
    <w:rsid w:val="00682D28"/>
    <w:rsid w:val="00686BA1"/>
    <w:rsid w:val="006929A1"/>
    <w:rsid w:val="006950E8"/>
    <w:rsid w:val="00697832"/>
    <w:rsid w:val="006B240E"/>
    <w:rsid w:val="006B6EA7"/>
    <w:rsid w:val="006C0251"/>
    <w:rsid w:val="006C3D57"/>
    <w:rsid w:val="006D2A7E"/>
    <w:rsid w:val="006E4981"/>
    <w:rsid w:val="006E4BF4"/>
    <w:rsid w:val="006E5895"/>
    <w:rsid w:val="006E5C5F"/>
    <w:rsid w:val="007003E6"/>
    <w:rsid w:val="00706E22"/>
    <w:rsid w:val="00707323"/>
    <w:rsid w:val="00707C5D"/>
    <w:rsid w:val="00710EF6"/>
    <w:rsid w:val="007157B3"/>
    <w:rsid w:val="007209B6"/>
    <w:rsid w:val="00721C7D"/>
    <w:rsid w:val="00724B16"/>
    <w:rsid w:val="00737735"/>
    <w:rsid w:val="007378ED"/>
    <w:rsid w:val="00737C5D"/>
    <w:rsid w:val="00741874"/>
    <w:rsid w:val="00757A36"/>
    <w:rsid w:val="00762A04"/>
    <w:rsid w:val="007634CE"/>
    <w:rsid w:val="007667F9"/>
    <w:rsid w:val="0077001F"/>
    <w:rsid w:val="007700B5"/>
    <w:rsid w:val="00774045"/>
    <w:rsid w:val="0077534E"/>
    <w:rsid w:val="0078168E"/>
    <w:rsid w:val="00782CA0"/>
    <w:rsid w:val="00786008"/>
    <w:rsid w:val="00787A94"/>
    <w:rsid w:val="00792BFE"/>
    <w:rsid w:val="007953D0"/>
    <w:rsid w:val="00797230"/>
    <w:rsid w:val="007A2450"/>
    <w:rsid w:val="007A3A59"/>
    <w:rsid w:val="007A6BA3"/>
    <w:rsid w:val="007B613D"/>
    <w:rsid w:val="007C049F"/>
    <w:rsid w:val="007C059C"/>
    <w:rsid w:val="007C07B7"/>
    <w:rsid w:val="007D33A6"/>
    <w:rsid w:val="007F650C"/>
    <w:rsid w:val="007F7A9A"/>
    <w:rsid w:val="00800336"/>
    <w:rsid w:val="00801722"/>
    <w:rsid w:val="00803B19"/>
    <w:rsid w:val="0080565C"/>
    <w:rsid w:val="008106F7"/>
    <w:rsid w:val="00810CE2"/>
    <w:rsid w:val="00816C51"/>
    <w:rsid w:val="00826B82"/>
    <w:rsid w:val="00832942"/>
    <w:rsid w:val="00832C5B"/>
    <w:rsid w:val="00834CD2"/>
    <w:rsid w:val="00847B11"/>
    <w:rsid w:val="00852DCE"/>
    <w:rsid w:val="00857AF1"/>
    <w:rsid w:val="0086304E"/>
    <w:rsid w:val="00866DFE"/>
    <w:rsid w:val="00882E83"/>
    <w:rsid w:val="0088322B"/>
    <w:rsid w:val="008836B9"/>
    <w:rsid w:val="008A1721"/>
    <w:rsid w:val="008A5EDE"/>
    <w:rsid w:val="008B5DF7"/>
    <w:rsid w:val="008C0C88"/>
    <w:rsid w:val="008C18E2"/>
    <w:rsid w:val="008C1FF7"/>
    <w:rsid w:val="008C4CFF"/>
    <w:rsid w:val="008C618B"/>
    <w:rsid w:val="008D03E9"/>
    <w:rsid w:val="008D4B91"/>
    <w:rsid w:val="008D61F3"/>
    <w:rsid w:val="008D7ECF"/>
    <w:rsid w:val="008E1DF2"/>
    <w:rsid w:val="008E5386"/>
    <w:rsid w:val="008E7F5C"/>
    <w:rsid w:val="008F010D"/>
    <w:rsid w:val="009001A1"/>
    <w:rsid w:val="00901A61"/>
    <w:rsid w:val="00916EB1"/>
    <w:rsid w:val="0091750C"/>
    <w:rsid w:val="009203CB"/>
    <w:rsid w:val="009273F0"/>
    <w:rsid w:val="00927593"/>
    <w:rsid w:val="0093533B"/>
    <w:rsid w:val="00937D44"/>
    <w:rsid w:val="009419AC"/>
    <w:rsid w:val="009438C8"/>
    <w:rsid w:val="0094579C"/>
    <w:rsid w:val="00951C94"/>
    <w:rsid w:val="00954289"/>
    <w:rsid w:val="00961E40"/>
    <w:rsid w:val="00965392"/>
    <w:rsid w:val="00967E7B"/>
    <w:rsid w:val="009708BC"/>
    <w:rsid w:val="009748CC"/>
    <w:rsid w:val="00974988"/>
    <w:rsid w:val="00987539"/>
    <w:rsid w:val="00990F8E"/>
    <w:rsid w:val="00991980"/>
    <w:rsid w:val="00992513"/>
    <w:rsid w:val="00992B11"/>
    <w:rsid w:val="00993154"/>
    <w:rsid w:val="00996320"/>
    <w:rsid w:val="009B51F2"/>
    <w:rsid w:val="009C3D04"/>
    <w:rsid w:val="009C6119"/>
    <w:rsid w:val="009C6F9E"/>
    <w:rsid w:val="009D2054"/>
    <w:rsid w:val="009D780B"/>
    <w:rsid w:val="009E17F6"/>
    <w:rsid w:val="009E3DB1"/>
    <w:rsid w:val="009F6EE9"/>
    <w:rsid w:val="009F6F73"/>
    <w:rsid w:val="009F7B01"/>
    <w:rsid w:val="009F7EFC"/>
    <w:rsid w:val="00A0438D"/>
    <w:rsid w:val="00A12C72"/>
    <w:rsid w:val="00A25236"/>
    <w:rsid w:val="00A3218E"/>
    <w:rsid w:val="00A362AD"/>
    <w:rsid w:val="00A36768"/>
    <w:rsid w:val="00A3784E"/>
    <w:rsid w:val="00A45A7A"/>
    <w:rsid w:val="00A472CE"/>
    <w:rsid w:val="00A4783D"/>
    <w:rsid w:val="00A5141C"/>
    <w:rsid w:val="00A63B7D"/>
    <w:rsid w:val="00A73C54"/>
    <w:rsid w:val="00A73F22"/>
    <w:rsid w:val="00A9259B"/>
    <w:rsid w:val="00A964D5"/>
    <w:rsid w:val="00AA05A9"/>
    <w:rsid w:val="00AA0F5D"/>
    <w:rsid w:val="00AA2F4B"/>
    <w:rsid w:val="00AA347A"/>
    <w:rsid w:val="00AB16E7"/>
    <w:rsid w:val="00AC2109"/>
    <w:rsid w:val="00AC3EE2"/>
    <w:rsid w:val="00AD0BE6"/>
    <w:rsid w:val="00AD231A"/>
    <w:rsid w:val="00AD2870"/>
    <w:rsid w:val="00AD7FFC"/>
    <w:rsid w:val="00AE61F0"/>
    <w:rsid w:val="00AE7481"/>
    <w:rsid w:val="00AF17F0"/>
    <w:rsid w:val="00B01511"/>
    <w:rsid w:val="00B041B5"/>
    <w:rsid w:val="00B04917"/>
    <w:rsid w:val="00B05E2D"/>
    <w:rsid w:val="00B05EA1"/>
    <w:rsid w:val="00B06243"/>
    <w:rsid w:val="00B201E4"/>
    <w:rsid w:val="00B2341B"/>
    <w:rsid w:val="00B2513C"/>
    <w:rsid w:val="00B279C2"/>
    <w:rsid w:val="00B27EF4"/>
    <w:rsid w:val="00B360CE"/>
    <w:rsid w:val="00B44A0B"/>
    <w:rsid w:val="00B461F1"/>
    <w:rsid w:val="00B50926"/>
    <w:rsid w:val="00B552A7"/>
    <w:rsid w:val="00B56FB4"/>
    <w:rsid w:val="00B60690"/>
    <w:rsid w:val="00B668D9"/>
    <w:rsid w:val="00B70187"/>
    <w:rsid w:val="00B70F78"/>
    <w:rsid w:val="00B722F5"/>
    <w:rsid w:val="00B7387F"/>
    <w:rsid w:val="00B83991"/>
    <w:rsid w:val="00B9422B"/>
    <w:rsid w:val="00B958DD"/>
    <w:rsid w:val="00BA59A9"/>
    <w:rsid w:val="00BB040C"/>
    <w:rsid w:val="00BC0F1F"/>
    <w:rsid w:val="00BC1DFE"/>
    <w:rsid w:val="00BD22B0"/>
    <w:rsid w:val="00BD672E"/>
    <w:rsid w:val="00BD6C14"/>
    <w:rsid w:val="00BE0C20"/>
    <w:rsid w:val="00BE1A03"/>
    <w:rsid w:val="00BE2581"/>
    <w:rsid w:val="00BE76BA"/>
    <w:rsid w:val="00BF5259"/>
    <w:rsid w:val="00C00E77"/>
    <w:rsid w:val="00C05FC3"/>
    <w:rsid w:val="00C103F7"/>
    <w:rsid w:val="00C31CF2"/>
    <w:rsid w:val="00C41689"/>
    <w:rsid w:val="00C424C3"/>
    <w:rsid w:val="00C42997"/>
    <w:rsid w:val="00C42AD6"/>
    <w:rsid w:val="00C448A0"/>
    <w:rsid w:val="00C44EF4"/>
    <w:rsid w:val="00C45BE2"/>
    <w:rsid w:val="00C532CE"/>
    <w:rsid w:val="00C55891"/>
    <w:rsid w:val="00C57752"/>
    <w:rsid w:val="00C61D0D"/>
    <w:rsid w:val="00C63A10"/>
    <w:rsid w:val="00C7488A"/>
    <w:rsid w:val="00C77378"/>
    <w:rsid w:val="00C82218"/>
    <w:rsid w:val="00C823C6"/>
    <w:rsid w:val="00C826CD"/>
    <w:rsid w:val="00C841B6"/>
    <w:rsid w:val="00C87F4C"/>
    <w:rsid w:val="00CA7638"/>
    <w:rsid w:val="00CC0275"/>
    <w:rsid w:val="00CC75D0"/>
    <w:rsid w:val="00CC7630"/>
    <w:rsid w:val="00CD213D"/>
    <w:rsid w:val="00CD2591"/>
    <w:rsid w:val="00CD7E69"/>
    <w:rsid w:val="00CE0384"/>
    <w:rsid w:val="00CE0395"/>
    <w:rsid w:val="00CE1C12"/>
    <w:rsid w:val="00CE2BD8"/>
    <w:rsid w:val="00CE4418"/>
    <w:rsid w:val="00CE5AEC"/>
    <w:rsid w:val="00CE6F25"/>
    <w:rsid w:val="00CF263A"/>
    <w:rsid w:val="00CF49DA"/>
    <w:rsid w:val="00CF5C80"/>
    <w:rsid w:val="00CF75E7"/>
    <w:rsid w:val="00D00992"/>
    <w:rsid w:val="00D04FCF"/>
    <w:rsid w:val="00D1382B"/>
    <w:rsid w:val="00D17F5C"/>
    <w:rsid w:val="00D20750"/>
    <w:rsid w:val="00D21813"/>
    <w:rsid w:val="00D2331E"/>
    <w:rsid w:val="00D27CDD"/>
    <w:rsid w:val="00D3760A"/>
    <w:rsid w:val="00D46B44"/>
    <w:rsid w:val="00D47109"/>
    <w:rsid w:val="00D568A6"/>
    <w:rsid w:val="00D619D1"/>
    <w:rsid w:val="00D61CD7"/>
    <w:rsid w:val="00D62385"/>
    <w:rsid w:val="00D64150"/>
    <w:rsid w:val="00D64B44"/>
    <w:rsid w:val="00D72A89"/>
    <w:rsid w:val="00D74184"/>
    <w:rsid w:val="00D7543C"/>
    <w:rsid w:val="00D76FAE"/>
    <w:rsid w:val="00D877F9"/>
    <w:rsid w:val="00D969BC"/>
    <w:rsid w:val="00D97F05"/>
    <w:rsid w:val="00DA5D3A"/>
    <w:rsid w:val="00DB0589"/>
    <w:rsid w:val="00DB0C23"/>
    <w:rsid w:val="00DB186E"/>
    <w:rsid w:val="00DC26E1"/>
    <w:rsid w:val="00DC3383"/>
    <w:rsid w:val="00DC430A"/>
    <w:rsid w:val="00DD115F"/>
    <w:rsid w:val="00DE0309"/>
    <w:rsid w:val="00DE259E"/>
    <w:rsid w:val="00DF1961"/>
    <w:rsid w:val="00DF4A31"/>
    <w:rsid w:val="00E01E40"/>
    <w:rsid w:val="00E125FC"/>
    <w:rsid w:val="00E13E44"/>
    <w:rsid w:val="00E15565"/>
    <w:rsid w:val="00E171A5"/>
    <w:rsid w:val="00E22126"/>
    <w:rsid w:val="00E24834"/>
    <w:rsid w:val="00E2688A"/>
    <w:rsid w:val="00E31922"/>
    <w:rsid w:val="00E417BF"/>
    <w:rsid w:val="00E45B47"/>
    <w:rsid w:val="00E4633D"/>
    <w:rsid w:val="00E46A87"/>
    <w:rsid w:val="00E5706D"/>
    <w:rsid w:val="00E63293"/>
    <w:rsid w:val="00E64DC5"/>
    <w:rsid w:val="00E72137"/>
    <w:rsid w:val="00E741C7"/>
    <w:rsid w:val="00E74202"/>
    <w:rsid w:val="00E83C99"/>
    <w:rsid w:val="00E83ED4"/>
    <w:rsid w:val="00E9174C"/>
    <w:rsid w:val="00E92B4C"/>
    <w:rsid w:val="00E958C4"/>
    <w:rsid w:val="00E95D51"/>
    <w:rsid w:val="00EA2252"/>
    <w:rsid w:val="00EA2785"/>
    <w:rsid w:val="00EA2FAE"/>
    <w:rsid w:val="00EA4DF9"/>
    <w:rsid w:val="00EB0F7D"/>
    <w:rsid w:val="00EB44EE"/>
    <w:rsid w:val="00EC2CC6"/>
    <w:rsid w:val="00EC6933"/>
    <w:rsid w:val="00EC759C"/>
    <w:rsid w:val="00ED0245"/>
    <w:rsid w:val="00ED09FF"/>
    <w:rsid w:val="00ED411E"/>
    <w:rsid w:val="00ED623A"/>
    <w:rsid w:val="00ED6367"/>
    <w:rsid w:val="00ED6535"/>
    <w:rsid w:val="00EE2910"/>
    <w:rsid w:val="00EE2DA7"/>
    <w:rsid w:val="00EE662D"/>
    <w:rsid w:val="00EE6735"/>
    <w:rsid w:val="00EF13F6"/>
    <w:rsid w:val="00EF4000"/>
    <w:rsid w:val="00EF46A4"/>
    <w:rsid w:val="00EF47CC"/>
    <w:rsid w:val="00EF760D"/>
    <w:rsid w:val="00F01C16"/>
    <w:rsid w:val="00F02C83"/>
    <w:rsid w:val="00F036DC"/>
    <w:rsid w:val="00F21F08"/>
    <w:rsid w:val="00F238DA"/>
    <w:rsid w:val="00F26FEB"/>
    <w:rsid w:val="00F42ABC"/>
    <w:rsid w:val="00F462FB"/>
    <w:rsid w:val="00F47B11"/>
    <w:rsid w:val="00F50FB7"/>
    <w:rsid w:val="00F74095"/>
    <w:rsid w:val="00F746E3"/>
    <w:rsid w:val="00F76C55"/>
    <w:rsid w:val="00F80B40"/>
    <w:rsid w:val="00F939EF"/>
    <w:rsid w:val="00F93A43"/>
    <w:rsid w:val="00F95C72"/>
    <w:rsid w:val="00F9761E"/>
    <w:rsid w:val="00FA10F5"/>
    <w:rsid w:val="00FA57D6"/>
    <w:rsid w:val="00FB02A6"/>
    <w:rsid w:val="00FB26AB"/>
    <w:rsid w:val="00FB28A7"/>
    <w:rsid w:val="00FB5DA6"/>
    <w:rsid w:val="00FC2A07"/>
    <w:rsid w:val="00FC2A9F"/>
    <w:rsid w:val="00FC6A02"/>
    <w:rsid w:val="00FE1D99"/>
    <w:rsid w:val="00FE1E86"/>
    <w:rsid w:val="00FE52A4"/>
    <w:rsid w:val="00FE76EC"/>
    <w:rsid w:val="01BD06F4"/>
    <w:rsid w:val="02FF4EEC"/>
    <w:rsid w:val="044A2F9B"/>
    <w:rsid w:val="052F2472"/>
    <w:rsid w:val="053A0454"/>
    <w:rsid w:val="0691462F"/>
    <w:rsid w:val="0B421B19"/>
    <w:rsid w:val="0D367B0D"/>
    <w:rsid w:val="0E033A11"/>
    <w:rsid w:val="0F4C0CA5"/>
    <w:rsid w:val="10DB3113"/>
    <w:rsid w:val="12917189"/>
    <w:rsid w:val="12EB3851"/>
    <w:rsid w:val="14166649"/>
    <w:rsid w:val="1464215E"/>
    <w:rsid w:val="14A9731D"/>
    <w:rsid w:val="165C3691"/>
    <w:rsid w:val="17C35ECE"/>
    <w:rsid w:val="1DA857D9"/>
    <w:rsid w:val="20BF0371"/>
    <w:rsid w:val="24505329"/>
    <w:rsid w:val="2AC2020D"/>
    <w:rsid w:val="2CEF1EFB"/>
    <w:rsid w:val="2FD14F07"/>
    <w:rsid w:val="30670DC7"/>
    <w:rsid w:val="331825C4"/>
    <w:rsid w:val="347576BE"/>
    <w:rsid w:val="362A1A4F"/>
    <w:rsid w:val="36FD737C"/>
    <w:rsid w:val="378C44B2"/>
    <w:rsid w:val="37D55D9C"/>
    <w:rsid w:val="38C13F33"/>
    <w:rsid w:val="3AA96B14"/>
    <w:rsid w:val="3AEC73C9"/>
    <w:rsid w:val="3C043C18"/>
    <w:rsid w:val="3DA10056"/>
    <w:rsid w:val="3EA65067"/>
    <w:rsid w:val="408B211A"/>
    <w:rsid w:val="41336B63"/>
    <w:rsid w:val="4293348C"/>
    <w:rsid w:val="4DE667B4"/>
    <w:rsid w:val="514D13B2"/>
    <w:rsid w:val="545A06CA"/>
    <w:rsid w:val="608B0C4F"/>
    <w:rsid w:val="62093827"/>
    <w:rsid w:val="63785E2F"/>
    <w:rsid w:val="63F53742"/>
    <w:rsid w:val="665633DB"/>
    <w:rsid w:val="6CA202DA"/>
    <w:rsid w:val="6CD10721"/>
    <w:rsid w:val="6D0B2008"/>
    <w:rsid w:val="6FAD615E"/>
    <w:rsid w:val="71CE692E"/>
    <w:rsid w:val="725D6226"/>
    <w:rsid w:val="76E85A71"/>
    <w:rsid w:val="77284820"/>
    <w:rsid w:val="778B1020"/>
    <w:rsid w:val="79126D01"/>
    <w:rsid w:val="7EA70E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74CA4"/>
    <w:pPr>
      <w:widowControl w:val="0"/>
      <w:jc w:val="both"/>
    </w:pPr>
    <w:rPr>
      <w:kern w:val="2"/>
      <w:sz w:val="21"/>
      <w:szCs w:val="24"/>
    </w:rPr>
  </w:style>
  <w:style w:type="paragraph" w:styleId="3">
    <w:name w:val="heading 3"/>
    <w:basedOn w:val="a"/>
    <w:next w:val="a"/>
    <w:link w:val="3Char"/>
    <w:qFormat/>
    <w:rsid w:val="00574CA4"/>
    <w:pPr>
      <w:keepNext/>
      <w:keepLines/>
      <w:spacing w:before="260" w:after="260" w:line="416" w:lineRule="auto"/>
      <w:outlineLvl w:val="2"/>
    </w:pPr>
    <w:rPr>
      <w:rFonts w:eastAsia="仿宋_GB2312"/>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574CA4"/>
    <w:rPr>
      <w:rFonts w:ascii="宋体" w:hAnsi="宋体"/>
      <w:kern w:val="0"/>
      <w:sz w:val="24"/>
      <w:szCs w:val="21"/>
    </w:rPr>
  </w:style>
  <w:style w:type="paragraph" w:styleId="a4">
    <w:name w:val="Body Text Indent"/>
    <w:basedOn w:val="a"/>
    <w:link w:val="Char"/>
    <w:qFormat/>
    <w:rsid w:val="00574CA4"/>
    <w:pPr>
      <w:ind w:firstLine="540"/>
    </w:pPr>
    <w:rPr>
      <w:sz w:val="24"/>
      <w:szCs w:val="20"/>
    </w:rPr>
  </w:style>
  <w:style w:type="paragraph" w:styleId="a5">
    <w:name w:val="annotation text"/>
    <w:basedOn w:val="a"/>
    <w:link w:val="Char0"/>
    <w:uiPriority w:val="99"/>
    <w:semiHidden/>
    <w:unhideWhenUsed/>
    <w:qFormat/>
    <w:rsid w:val="00574CA4"/>
    <w:pPr>
      <w:jc w:val="left"/>
    </w:pPr>
  </w:style>
  <w:style w:type="paragraph" w:styleId="30">
    <w:name w:val="toc 3"/>
    <w:basedOn w:val="a"/>
    <w:next w:val="a"/>
    <w:uiPriority w:val="39"/>
    <w:qFormat/>
    <w:rsid w:val="00574CA4"/>
    <w:pPr>
      <w:ind w:left="420"/>
      <w:jc w:val="left"/>
    </w:pPr>
    <w:rPr>
      <w:i/>
      <w:iCs/>
    </w:rPr>
  </w:style>
  <w:style w:type="paragraph" w:styleId="a6">
    <w:name w:val="Balloon Text"/>
    <w:basedOn w:val="a"/>
    <w:link w:val="Char1"/>
    <w:uiPriority w:val="99"/>
    <w:semiHidden/>
    <w:unhideWhenUsed/>
    <w:qFormat/>
    <w:rsid w:val="00574CA4"/>
    <w:rPr>
      <w:sz w:val="18"/>
      <w:szCs w:val="18"/>
    </w:rPr>
  </w:style>
  <w:style w:type="paragraph" w:styleId="a7">
    <w:name w:val="footer"/>
    <w:basedOn w:val="a"/>
    <w:link w:val="Char2"/>
    <w:unhideWhenUsed/>
    <w:qFormat/>
    <w:rsid w:val="00574CA4"/>
    <w:pPr>
      <w:tabs>
        <w:tab w:val="center" w:pos="4153"/>
        <w:tab w:val="right" w:pos="8306"/>
      </w:tabs>
      <w:snapToGrid w:val="0"/>
      <w:jc w:val="left"/>
    </w:pPr>
    <w:rPr>
      <w:sz w:val="18"/>
      <w:szCs w:val="18"/>
    </w:rPr>
  </w:style>
  <w:style w:type="paragraph" w:styleId="a8">
    <w:name w:val="header"/>
    <w:basedOn w:val="a"/>
    <w:link w:val="Char3"/>
    <w:unhideWhenUsed/>
    <w:qFormat/>
    <w:rsid w:val="00574CA4"/>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4"/>
    <w:uiPriority w:val="99"/>
    <w:semiHidden/>
    <w:unhideWhenUsed/>
    <w:qFormat/>
    <w:rsid w:val="00574CA4"/>
    <w:rPr>
      <w:b/>
      <w:bCs/>
    </w:rPr>
  </w:style>
  <w:style w:type="character" w:styleId="aa">
    <w:name w:val="Hyperlink"/>
    <w:basedOn w:val="a1"/>
    <w:uiPriority w:val="99"/>
    <w:unhideWhenUsed/>
    <w:qFormat/>
    <w:rsid w:val="00574CA4"/>
    <w:rPr>
      <w:color w:val="0000FF" w:themeColor="hyperlink"/>
      <w:u w:val="single"/>
    </w:rPr>
  </w:style>
  <w:style w:type="character" w:styleId="ab">
    <w:name w:val="annotation reference"/>
    <w:basedOn w:val="a1"/>
    <w:uiPriority w:val="99"/>
    <w:semiHidden/>
    <w:unhideWhenUsed/>
    <w:qFormat/>
    <w:rsid w:val="00574CA4"/>
    <w:rPr>
      <w:sz w:val="21"/>
      <w:szCs w:val="21"/>
    </w:rPr>
  </w:style>
  <w:style w:type="character" w:customStyle="1" w:styleId="3Char">
    <w:name w:val="标题 3 Char"/>
    <w:basedOn w:val="a1"/>
    <w:link w:val="3"/>
    <w:qFormat/>
    <w:rsid w:val="00574CA4"/>
    <w:rPr>
      <w:rFonts w:ascii="Times New Roman" w:eastAsia="仿宋_GB2312" w:hAnsi="Times New Roman" w:cs="Times New Roman"/>
      <w:b/>
      <w:bCs/>
      <w:sz w:val="24"/>
      <w:szCs w:val="32"/>
    </w:rPr>
  </w:style>
  <w:style w:type="character" w:customStyle="1" w:styleId="Char3">
    <w:name w:val="页眉 Char"/>
    <w:basedOn w:val="a1"/>
    <w:link w:val="a8"/>
    <w:qFormat/>
    <w:rsid w:val="00574CA4"/>
    <w:rPr>
      <w:rFonts w:ascii="Times New Roman" w:eastAsia="宋体" w:hAnsi="Times New Roman" w:cs="Times New Roman"/>
      <w:sz w:val="18"/>
      <w:szCs w:val="18"/>
    </w:rPr>
  </w:style>
  <w:style w:type="character" w:customStyle="1" w:styleId="Char2">
    <w:name w:val="页脚 Char"/>
    <w:basedOn w:val="a1"/>
    <w:link w:val="a7"/>
    <w:qFormat/>
    <w:rsid w:val="00574CA4"/>
    <w:rPr>
      <w:rFonts w:ascii="Times New Roman" w:eastAsia="宋体" w:hAnsi="Times New Roman" w:cs="Times New Roman"/>
      <w:sz w:val="18"/>
      <w:szCs w:val="18"/>
    </w:rPr>
  </w:style>
  <w:style w:type="paragraph" w:customStyle="1" w:styleId="ac">
    <w:name w:val="正文内容"/>
    <w:basedOn w:val="a"/>
    <w:link w:val="Char5"/>
    <w:qFormat/>
    <w:rsid w:val="00574CA4"/>
    <w:pPr>
      <w:spacing w:line="360" w:lineRule="auto"/>
      <w:ind w:firstLineChars="200" w:firstLine="480"/>
    </w:pPr>
    <w:rPr>
      <w:bCs/>
      <w:sz w:val="24"/>
      <w:lang w:val="zh-CN"/>
    </w:rPr>
  </w:style>
  <w:style w:type="character" w:customStyle="1" w:styleId="Char5">
    <w:name w:val="正文内容 Char"/>
    <w:link w:val="ac"/>
    <w:qFormat/>
    <w:rsid w:val="00574CA4"/>
    <w:rPr>
      <w:rFonts w:ascii="Times New Roman" w:eastAsia="宋体" w:hAnsi="Times New Roman" w:cs="Times New Roman"/>
      <w:bCs/>
      <w:sz w:val="24"/>
      <w:szCs w:val="24"/>
      <w:lang w:val="zh-CN" w:eastAsia="zh-CN"/>
    </w:rPr>
  </w:style>
  <w:style w:type="paragraph" w:customStyle="1" w:styleId="ad">
    <w:name w:val="正文所"/>
    <w:basedOn w:val="a"/>
    <w:qFormat/>
    <w:rsid w:val="00574CA4"/>
    <w:pPr>
      <w:spacing w:line="360" w:lineRule="auto"/>
      <w:ind w:firstLineChars="200" w:firstLine="420"/>
    </w:pPr>
    <w:rPr>
      <w:rFonts w:ascii="宋体"/>
      <w:szCs w:val="20"/>
    </w:rPr>
  </w:style>
  <w:style w:type="character" w:customStyle="1" w:styleId="Char1">
    <w:name w:val="批注框文本 Char"/>
    <w:basedOn w:val="a1"/>
    <w:link w:val="a6"/>
    <w:uiPriority w:val="99"/>
    <w:semiHidden/>
    <w:qFormat/>
    <w:rsid w:val="00574CA4"/>
    <w:rPr>
      <w:rFonts w:ascii="Times New Roman" w:eastAsia="宋体" w:hAnsi="Times New Roman" w:cs="Times New Roman"/>
      <w:sz w:val="18"/>
      <w:szCs w:val="18"/>
    </w:rPr>
  </w:style>
  <w:style w:type="character" w:customStyle="1" w:styleId="tt11">
    <w:name w:val="tt11"/>
    <w:qFormat/>
    <w:rsid w:val="00574CA4"/>
    <w:rPr>
      <w:spacing w:val="400"/>
      <w:sz w:val="22"/>
      <w:szCs w:val="22"/>
    </w:rPr>
  </w:style>
  <w:style w:type="paragraph" w:customStyle="1" w:styleId="Default">
    <w:name w:val="Default"/>
    <w:qFormat/>
    <w:rsid w:val="00574CA4"/>
    <w:pPr>
      <w:widowControl w:val="0"/>
      <w:autoSpaceDE w:val="0"/>
      <w:autoSpaceDN w:val="0"/>
      <w:adjustRightInd w:val="0"/>
    </w:pPr>
    <w:rPr>
      <w:rFonts w:ascii="宋体"/>
      <w:color w:val="000000"/>
      <w:sz w:val="24"/>
      <w:szCs w:val="24"/>
    </w:rPr>
  </w:style>
  <w:style w:type="character" w:customStyle="1" w:styleId="Char0">
    <w:name w:val="批注文字 Char"/>
    <w:basedOn w:val="a1"/>
    <w:link w:val="a5"/>
    <w:uiPriority w:val="99"/>
    <w:semiHidden/>
    <w:qFormat/>
    <w:rsid w:val="00574CA4"/>
    <w:rPr>
      <w:rFonts w:ascii="Times New Roman" w:eastAsia="宋体" w:hAnsi="Times New Roman" w:cs="Times New Roman"/>
      <w:szCs w:val="24"/>
    </w:rPr>
  </w:style>
  <w:style w:type="character" w:customStyle="1" w:styleId="Char4">
    <w:name w:val="批注主题 Char"/>
    <w:basedOn w:val="Char0"/>
    <w:link w:val="a9"/>
    <w:uiPriority w:val="99"/>
    <w:semiHidden/>
    <w:qFormat/>
    <w:rsid w:val="00574CA4"/>
    <w:rPr>
      <w:rFonts w:ascii="Times New Roman" w:eastAsia="宋体" w:hAnsi="Times New Roman" w:cs="Times New Roman"/>
      <w:b/>
      <w:bCs/>
      <w:szCs w:val="24"/>
    </w:rPr>
  </w:style>
  <w:style w:type="paragraph" w:customStyle="1" w:styleId="CharChar">
    <w:name w:val="Char Char"/>
    <w:basedOn w:val="a"/>
    <w:qFormat/>
    <w:rsid w:val="00574CA4"/>
    <w:rPr>
      <w:szCs w:val="20"/>
    </w:rPr>
  </w:style>
  <w:style w:type="paragraph" w:customStyle="1" w:styleId="CharChar1">
    <w:name w:val="Char Char1"/>
    <w:basedOn w:val="a"/>
    <w:qFormat/>
    <w:rsid w:val="00574CA4"/>
    <w:rPr>
      <w:szCs w:val="20"/>
    </w:rPr>
  </w:style>
  <w:style w:type="paragraph" w:customStyle="1" w:styleId="1">
    <w:name w:val="正文1"/>
    <w:basedOn w:val="a"/>
    <w:next w:val="10"/>
    <w:qFormat/>
    <w:rsid w:val="00574CA4"/>
    <w:pPr>
      <w:spacing w:line="360" w:lineRule="auto"/>
      <w:ind w:firstLineChars="200" w:firstLine="482"/>
    </w:pPr>
    <w:rPr>
      <w:rFonts w:eastAsia="仿宋_GB2312"/>
      <w:b/>
      <w:sz w:val="24"/>
    </w:rPr>
  </w:style>
  <w:style w:type="paragraph" w:customStyle="1" w:styleId="10">
    <w:name w:val="正文文本1"/>
    <w:basedOn w:val="1"/>
    <w:next w:val="11"/>
    <w:qFormat/>
    <w:rsid w:val="00574CA4"/>
    <w:pPr>
      <w:autoSpaceDE w:val="0"/>
      <w:autoSpaceDN w:val="0"/>
      <w:jc w:val="left"/>
    </w:pPr>
    <w:rPr>
      <w:rFonts w:ascii="宋体"/>
    </w:rPr>
  </w:style>
  <w:style w:type="paragraph" w:customStyle="1" w:styleId="11">
    <w:name w:val="正文文本缩进1"/>
    <w:basedOn w:val="1"/>
    <w:qFormat/>
    <w:rsid w:val="00574CA4"/>
    <w:pPr>
      <w:spacing w:after="120"/>
      <w:ind w:leftChars="200" w:left="420"/>
    </w:pPr>
  </w:style>
  <w:style w:type="paragraph" w:customStyle="1" w:styleId="12">
    <w:name w:val="修订1"/>
    <w:hidden/>
    <w:uiPriority w:val="99"/>
    <w:semiHidden/>
    <w:qFormat/>
    <w:rsid w:val="00574CA4"/>
    <w:rPr>
      <w:kern w:val="2"/>
      <w:sz w:val="21"/>
      <w:szCs w:val="24"/>
    </w:rPr>
  </w:style>
  <w:style w:type="paragraph" w:customStyle="1" w:styleId="CharChar2">
    <w:name w:val="Char Char2"/>
    <w:basedOn w:val="a"/>
    <w:qFormat/>
    <w:rsid w:val="00574CA4"/>
    <w:rPr>
      <w:szCs w:val="20"/>
    </w:rPr>
  </w:style>
  <w:style w:type="character" w:customStyle="1" w:styleId="Char">
    <w:name w:val="正文文本缩进 Char"/>
    <w:basedOn w:val="a1"/>
    <w:link w:val="a4"/>
    <w:qFormat/>
    <w:rsid w:val="00574CA4"/>
    <w:rPr>
      <w:rFonts w:ascii="Times New Roman" w:eastAsia="宋体" w:hAnsi="Times New Roman" w:cs="Times New Roman"/>
      <w:sz w:val="24"/>
      <w:szCs w:val="20"/>
    </w:rPr>
  </w:style>
  <w:style w:type="paragraph" w:customStyle="1" w:styleId="121">
    <w:name w:val="正文121"/>
    <w:qFormat/>
    <w:rsid w:val="00574CA4"/>
    <w:pPr>
      <w:widowControl w:val="0"/>
      <w:jc w:val="both"/>
    </w:pPr>
    <w:rPr>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sfunds.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r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fun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ra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39F9F-835B-4110-8B19-6AA76A1B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2876</Words>
  <Characters>16398</Characters>
  <Application>Microsoft Office Word</Application>
  <DocSecurity>4</DocSecurity>
  <Lines>136</Lines>
  <Paragraphs>38</Paragraphs>
  <ScaleCrop>false</ScaleCrop>
  <Company>CNSTOCK</Company>
  <LinksUpToDate>false</LinksUpToDate>
  <CharactersWithSpaces>19236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吴宪</dc:creator>
  <cp:lastModifiedBy>ZHONGM</cp:lastModifiedBy>
  <cp:revision>2</cp:revision>
  <dcterms:created xsi:type="dcterms:W3CDTF">2025-12-11T16:03:00Z</dcterms:created>
  <dcterms:modified xsi:type="dcterms:W3CDTF">2025-12-11T16:03:00Z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7F2EC030162D4E73A1354FD50407D74A</vt:lpwstr>
  </property>
</Properties>
</file>