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81" w:rsidRDefault="00B45E11">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647381" w:rsidRDefault="00B45E11">
      <w:pPr>
        <w:pStyle w:val="Default"/>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t>关于新增深圳前海微众银行股份有限公司为旗下部分基金销售机构的公告</w:t>
      </w:r>
    </w:p>
    <w:p w:rsidR="00647381" w:rsidRDefault="00647381">
      <w:pPr>
        <w:pStyle w:val="Default"/>
        <w:spacing w:line="360" w:lineRule="auto"/>
        <w:ind w:firstLineChars="200" w:firstLine="420"/>
        <w:rPr>
          <w:rFonts w:asciiTheme="minorEastAsia" w:eastAsiaTheme="minorEastAsia" w:hAnsiTheme="minorEastAsia"/>
          <w:sz w:val="21"/>
          <w:szCs w:val="21"/>
        </w:rPr>
      </w:pPr>
    </w:p>
    <w:p w:rsidR="00647381" w:rsidRDefault="00B45E1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）与深圳前海微众银行股份有限公司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微众银行</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日起新增微众银行销售本公司旗下部分基金，现将相关事项公告如下：</w:t>
      </w:r>
    </w:p>
    <w:p w:rsidR="00647381" w:rsidRDefault="00B45E11">
      <w:pPr>
        <w:numPr>
          <w:ilvl w:val="0"/>
          <w:numId w:val="1"/>
        </w:numPr>
        <w:spacing w:line="360" w:lineRule="auto"/>
        <w:ind w:firstLineChars="250" w:firstLine="525"/>
        <w:rPr>
          <w:sz w:val="21"/>
          <w:szCs w:val="21"/>
        </w:rPr>
      </w:pPr>
      <w:r>
        <w:rPr>
          <w:rFonts w:asciiTheme="minorEastAsia" w:eastAsiaTheme="minorEastAsia" w:hAnsiTheme="minorEastAsia" w:hint="eastAsia"/>
          <w:color w:val="000000"/>
          <w:sz w:val="21"/>
          <w:szCs w:val="21"/>
        </w:rPr>
        <w:t>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5</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12</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12</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，投资者可通过微众银行办理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Style w:val="a8"/>
        <w:tblW w:w="9240" w:type="dxa"/>
        <w:tblInd w:w="-196" w:type="dxa"/>
        <w:tblLook w:val="04A0"/>
      </w:tblPr>
      <w:tblGrid>
        <w:gridCol w:w="644"/>
        <w:gridCol w:w="1116"/>
        <w:gridCol w:w="4350"/>
        <w:gridCol w:w="1011"/>
        <w:gridCol w:w="947"/>
        <w:gridCol w:w="1172"/>
      </w:tblGrid>
      <w:tr w:rsidR="00647381">
        <w:tc>
          <w:tcPr>
            <w:tcW w:w="644" w:type="dxa"/>
          </w:tcPr>
          <w:p w:rsidR="00647381" w:rsidRDefault="00B45E11">
            <w:pPr>
              <w:spacing w:line="360" w:lineRule="auto"/>
              <w:rPr>
                <w:sz w:val="21"/>
                <w:szCs w:val="21"/>
              </w:rPr>
            </w:pPr>
            <w:r>
              <w:rPr>
                <w:rFonts w:hint="eastAsia"/>
                <w:sz w:val="21"/>
                <w:szCs w:val="21"/>
              </w:rPr>
              <w:t>序号</w:t>
            </w:r>
          </w:p>
        </w:tc>
        <w:tc>
          <w:tcPr>
            <w:tcW w:w="1116" w:type="dxa"/>
          </w:tcPr>
          <w:p w:rsidR="00647381" w:rsidRDefault="00B45E11">
            <w:pPr>
              <w:spacing w:line="360" w:lineRule="auto"/>
              <w:rPr>
                <w:sz w:val="21"/>
                <w:szCs w:val="21"/>
              </w:rPr>
            </w:pPr>
            <w:r>
              <w:rPr>
                <w:rFonts w:hint="eastAsia"/>
                <w:sz w:val="21"/>
                <w:szCs w:val="21"/>
              </w:rPr>
              <w:t>基金代码</w:t>
            </w:r>
          </w:p>
        </w:tc>
        <w:tc>
          <w:tcPr>
            <w:tcW w:w="4350" w:type="dxa"/>
          </w:tcPr>
          <w:p w:rsidR="00647381" w:rsidRDefault="00B45E11">
            <w:pPr>
              <w:spacing w:line="360" w:lineRule="auto"/>
              <w:jc w:val="center"/>
              <w:rPr>
                <w:sz w:val="21"/>
                <w:szCs w:val="21"/>
              </w:rPr>
            </w:pPr>
            <w:r>
              <w:rPr>
                <w:rFonts w:hint="eastAsia"/>
                <w:sz w:val="21"/>
                <w:szCs w:val="21"/>
              </w:rPr>
              <w:t>基金名称</w:t>
            </w:r>
          </w:p>
        </w:tc>
        <w:tc>
          <w:tcPr>
            <w:tcW w:w="1011" w:type="dxa"/>
          </w:tcPr>
          <w:p w:rsidR="00647381" w:rsidRDefault="00B45E11">
            <w:pPr>
              <w:spacing w:line="360" w:lineRule="auto"/>
              <w:rPr>
                <w:sz w:val="21"/>
                <w:szCs w:val="21"/>
              </w:rPr>
            </w:pPr>
            <w:r>
              <w:rPr>
                <w:rFonts w:hint="eastAsia"/>
                <w:sz w:val="21"/>
                <w:szCs w:val="21"/>
              </w:rPr>
              <w:t>定投业务</w:t>
            </w:r>
          </w:p>
        </w:tc>
        <w:tc>
          <w:tcPr>
            <w:tcW w:w="947" w:type="dxa"/>
          </w:tcPr>
          <w:p w:rsidR="00647381" w:rsidRDefault="00B45E11">
            <w:pPr>
              <w:spacing w:line="360" w:lineRule="auto"/>
              <w:rPr>
                <w:sz w:val="21"/>
                <w:szCs w:val="21"/>
              </w:rPr>
            </w:pPr>
            <w:r>
              <w:rPr>
                <w:rFonts w:hint="eastAsia"/>
                <w:sz w:val="21"/>
                <w:szCs w:val="21"/>
              </w:rPr>
              <w:t>转换业务</w:t>
            </w:r>
          </w:p>
        </w:tc>
        <w:tc>
          <w:tcPr>
            <w:tcW w:w="1172" w:type="dxa"/>
          </w:tcPr>
          <w:p w:rsidR="00647381" w:rsidRDefault="00B45E11">
            <w:pPr>
              <w:spacing w:line="360" w:lineRule="auto"/>
              <w:rPr>
                <w:sz w:val="21"/>
                <w:szCs w:val="21"/>
              </w:rPr>
            </w:pPr>
            <w:r>
              <w:rPr>
                <w:rFonts w:hint="eastAsia"/>
                <w:sz w:val="21"/>
                <w:szCs w:val="21"/>
              </w:rPr>
              <w:t>是否参加费率优惠</w:t>
            </w:r>
          </w:p>
        </w:tc>
      </w:tr>
      <w:tr w:rsidR="00647381">
        <w:tc>
          <w:tcPr>
            <w:tcW w:w="644" w:type="dxa"/>
            <w:vAlign w:val="bottom"/>
          </w:tcPr>
          <w:p w:rsidR="00647381" w:rsidRDefault="00B45E11">
            <w:pPr>
              <w:widowControl/>
              <w:jc w:val="center"/>
              <w:textAlignment w:val="bottom"/>
              <w:rPr>
                <w:sz w:val="21"/>
                <w:szCs w:val="21"/>
              </w:rPr>
            </w:pPr>
            <w:bookmarkStart w:id="0" w:name="_GoBack" w:colFirst="3" w:colLast="4"/>
            <w:r>
              <w:rPr>
                <w:rFonts w:hint="eastAsia"/>
                <w:color w:val="000000"/>
                <w:sz w:val="21"/>
                <w:szCs w:val="21"/>
                <w:lang/>
              </w:rPr>
              <w:t>1</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002282</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平安安享灵活配置混合型证券投资基金（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007663</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平安安享灵活配置混合型证券投资基金（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002988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平安鼎信债券型证券投资基金（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020930</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平安鼎信债券型证券投资基金（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023194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平安鼎信债券型证券投资基金（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6</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023628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平安鼎信债券型证券投资基金（</w:t>
            </w:r>
            <w:r>
              <w:rPr>
                <w:rFonts w:hint="eastAsia"/>
                <w:color w:val="000000"/>
                <w:sz w:val="21"/>
                <w:szCs w:val="21"/>
                <w:lang/>
              </w:rPr>
              <w:t>F</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7</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024534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平安港股通科技精选混合型证券投资基金（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8</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024535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平安港股通科技精选混合型证券投资基金（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9</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024379</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平安港股通医疗创新精选混合型证券投资基金（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10</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024380</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平安港股通医疗创新精选混合型证券投资基金（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11</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007893</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平安估值精选混合型证券投资基金（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12</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007894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平安估值精选混合型证券投资基金（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13</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006720</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平安核心优势混合型证券投资基金（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14</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006721</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平安核心优势混合型证券投资基金（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15</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021001</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平安惠利纯债债券型证券投资基金（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16</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021003</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平安惠利纯债债券型证券投资基金（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17</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021219</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平安价值精选混合型证券投资基金（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18</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021227</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平安价值精选混合型证券投资基金（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19</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007017</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平安如意中短债债券型证券投资基金（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lastRenderedPageBreak/>
              <w:t>20</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007018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平安如意中短债债券型证券投资基金（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21</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007019</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平安如意中短债债券型证券投资基金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22</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025176</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 xml:space="preserve"> </w:t>
            </w:r>
            <w:r>
              <w:rPr>
                <w:rFonts w:hint="eastAsia"/>
                <w:color w:val="000000"/>
                <w:sz w:val="21"/>
                <w:szCs w:val="21"/>
                <w:lang/>
              </w:rPr>
              <w:t>平安如意中短债债券型证券投资基金（</w:t>
            </w:r>
            <w:r>
              <w:rPr>
                <w:rFonts w:hint="eastAsia"/>
                <w:color w:val="000000"/>
                <w:sz w:val="21"/>
                <w:szCs w:val="21"/>
                <w:lang/>
              </w:rPr>
              <w:t>F</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23</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024645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平安瑞和</w:t>
            </w:r>
            <w:r>
              <w:rPr>
                <w:rFonts w:hint="eastAsia"/>
                <w:color w:val="000000"/>
                <w:sz w:val="21"/>
                <w:szCs w:val="21"/>
                <w:lang/>
              </w:rPr>
              <w:t>6</w:t>
            </w:r>
            <w:r>
              <w:rPr>
                <w:rFonts w:hint="eastAsia"/>
                <w:color w:val="000000"/>
                <w:sz w:val="21"/>
                <w:szCs w:val="21"/>
                <w:lang/>
              </w:rPr>
              <w:t>个月持有期混合型证券投资基金（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不开通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不开通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24</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024646</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平安瑞和</w:t>
            </w:r>
            <w:r>
              <w:rPr>
                <w:rFonts w:hint="eastAsia"/>
                <w:color w:val="000000"/>
                <w:sz w:val="21"/>
                <w:szCs w:val="21"/>
                <w:lang/>
              </w:rPr>
              <w:t>6</w:t>
            </w:r>
            <w:r>
              <w:rPr>
                <w:rFonts w:hint="eastAsia"/>
                <w:color w:val="000000"/>
                <w:sz w:val="21"/>
                <w:szCs w:val="21"/>
                <w:lang/>
              </w:rPr>
              <w:t>个月持有期混合型证券投资基金（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不开通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不开通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25</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022058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平安双债添益债券型证券投资基金（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26</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023189</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平安添润债券型证券投资基金（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27</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011761</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平安鑫瑞混合型证券投资基金（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28</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011762</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平安鑫瑞混合型证券投资基金（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29</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022076</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平安鑫瑞混合型证券投资基金（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30</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023606</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平安鑫瑞混合型证券投资基金（</w:t>
            </w:r>
            <w:r>
              <w:rPr>
                <w:rFonts w:hint="eastAsia"/>
                <w:color w:val="000000"/>
                <w:sz w:val="21"/>
                <w:szCs w:val="21"/>
                <w:lang/>
              </w:rPr>
              <w:t>F</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31</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017755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平安养老目标日期</w:t>
            </w:r>
            <w:r>
              <w:rPr>
                <w:rFonts w:hint="eastAsia"/>
                <w:color w:val="000000"/>
                <w:sz w:val="21"/>
                <w:szCs w:val="21"/>
                <w:lang/>
              </w:rPr>
              <w:t>2040</w:t>
            </w:r>
            <w:r>
              <w:rPr>
                <w:rFonts w:hint="eastAsia"/>
                <w:color w:val="000000"/>
                <w:sz w:val="21"/>
                <w:szCs w:val="21"/>
                <w:lang/>
              </w:rPr>
              <w:t>三年持有期混合型发起式基金中基金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不开通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32</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020458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平安医药精选股票型证券投资基金（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33</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020459</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平安医药精选股票型证券投资基金（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34</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024495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平安盈轩</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35</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024496</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平安盈轩</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36</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014468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平安元和</w:t>
            </w:r>
            <w:r>
              <w:rPr>
                <w:rFonts w:hint="eastAsia"/>
                <w:color w:val="000000"/>
                <w:sz w:val="21"/>
                <w:szCs w:val="21"/>
                <w:lang/>
              </w:rPr>
              <w:t>90</w:t>
            </w:r>
            <w:r>
              <w:rPr>
                <w:rFonts w:hint="eastAsia"/>
                <w:color w:val="000000"/>
                <w:sz w:val="21"/>
                <w:szCs w:val="21"/>
                <w:lang/>
              </w:rPr>
              <w:t>天滚动持有短债债券型证券投资基金（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37</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014469</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平安元和</w:t>
            </w:r>
            <w:r>
              <w:rPr>
                <w:rFonts w:hint="eastAsia"/>
                <w:color w:val="000000"/>
                <w:sz w:val="21"/>
                <w:szCs w:val="21"/>
                <w:lang/>
              </w:rPr>
              <w:t>90</w:t>
            </w:r>
            <w:r>
              <w:rPr>
                <w:rFonts w:hint="eastAsia"/>
                <w:color w:val="000000"/>
                <w:sz w:val="21"/>
                <w:szCs w:val="21"/>
                <w:lang/>
              </w:rPr>
              <w:t>天滚动持有短债债券型证券投资基金（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38</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021574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39</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021575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40</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022138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41</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023360</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42</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023361</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43</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015720</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平安元悦</w:t>
            </w:r>
            <w:r>
              <w:rPr>
                <w:rFonts w:hint="eastAsia"/>
                <w:color w:val="000000"/>
                <w:sz w:val="21"/>
                <w:szCs w:val="21"/>
                <w:lang/>
              </w:rPr>
              <w:t>60</w:t>
            </w:r>
            <w:r>
              <w:rPr>
                <w:rFonts w:hint="eastAsia"/>
                <w:color w:val="000000"/>
                <w:sz w:val="21"/>
                <w:szCs w:val="21"/>
                <w:lang/>
              </w:rPr>
              <w:t>天滚动持有短债债券型证券投资基金（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44</w:t>
            </w:r>
          </w:p>
        </w:tc>
        <w:tc>
          <w:tcPr>
            <w:tcW w:w="1116" w:type="dxa"/>
            <w:vAlign w:val="bottom"/>
          </w:tcPr>
          <w:p w:rsidR="00647381" w:rsidRDefault="00B45E11">
            <w:pPr>
              <w:widowControl/>
              <w:jc w:val="center"/>
              <w:textAlignment w:val="bottom"/>
              <w:rPr>
                <w:sz w:val="21"/>
                <w:szCs w:val="21"/>
              </w:rPr>
            </w:pPr>
            <w:r>
              <w:rPr>
                <w:rFonts w:hint="eastAsia"/>
                <w:color w:val="000000"/>
                <w:sz w:val="21"/>
                <w:szCs w:val="21"/>
                <w:lang/>
              </w:rPr>
              <w:t>015721</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平安元悦</w:t>
            </w:r>
            <w:r>
              <w:rPr>
                <w:rFonts w:hint="eastAsia"/>
                <w:color w:val="000000"/>
                <w:sz w:val="21"/>
                <w:szCs w:val="21"/>
                <w:lang/>
              </w:rPr>
              <w:t>60</w:t>
            </w:r>
            <w:r>
              <w:rPr>
                <w:rFonts w:hint="eastAsia"/>
                <w:color w:val="000000"/>
                <w:sz w:val="21"/>
                <w:szCs w:val="21"/>
                <w:lang/>
              </w:rPr>
              <w:t>天滚动持有短债债券型证券投资基金（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lastRenderedPageBreak/>
              <w:t>45</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024546</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平安沪深</w:t>
            </w:r>
            <w:r>
              <w:rPr>
                <w:rFonts w:hint="eastAsia"/>
                <w:color w:val="000000"/>
                <w:sz w:val="21"/>
                <w:szCs w:val="21"/>
                <w:lang/>
              </w:rPr>
              <w:t>300</w:t>
            </w:r>
            <w:r>
              <w:rPr>
                <w:rFonts w:hint="eastAsia"/>
                <w:color w:val="000000"/>
                <w:sz w:val="21"/>
                <w:szCs w:val="21"/>
                <w:lang/>
              </w:rPr>
              <w:t>交易型开放式指数证券投资基金联接基金</w:t>
            </w:r>
            <w:r>
              <w:rPr>
                <w:rFonts w:hint="eastAsia"/>
                <w:color w:val="000000"/>
                <w:sz w:val="21"/>
                <w:szCs w:val="21"/>
                <w:lang/>
              </w:rPr>
              <w:t xml:space="preserve"> (E</w:t>
            </w:r>
            <w:r>
              <w:rPr>
                <w:rFonts w:hint="eastAsia"/>
                <w:color w:val="000000"/>
                <w:sz w:val="21"/>
                <w:szCs w:val="21"/>
                <w:lang/>
              </w:rPr>
              <w:t>类</w:t>
            </w:r>
            <w:r>
              <w:rPr>
                <w:rFonts w:hint="eastAsia"/>
                <w:color w:val="000000"/>
                <w:sz w:val="21"/>
                <w:szCs w:val="21"/>
                <w:lang/>
              </w:rPr>
              <w:t>)</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46</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024556</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w:t>
            </w:r>
            <w:r>
              <w:rPr>
                <w:rFonts w:hint="eastAsia"/>
                <w:color w:val="000000"/>
                <w:sz w:val="21"/>
                <w:szCs w:val="21"/>
                <w:lang/>
              </w:rPr>
              <w:t>500</w:t>
            </w:r>
            <w:r>
              <w:rPr>
                <w:rFonts w:hint="eastAsia"/>
                <w:color w:val="000000"/>
                <w:sz w:val="21"/>
                <w:szCs w:val="21"/>
                <w:lang/>
              </w:rPr>
              <w:t>交易型开放式指数证券投资基金联接基金（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47</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024492</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平安创业板交易型开放式指数证券投资基金联接基金（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48</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023184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w:t>
            </w:r>
            <w:r>
              <w:rPr>
                <w:rFonts w:hint="eastAsia"/>
                <w:color w:val="000000"/>
                <w:sz w:val="21"/>
                <w:szCs w:val="21"/>
                <w:lang/>
              </w:rPr>
              <w:t>A500</w:t>
            </w:r>
            <w:r>
              <w:rPr>
                <w:rFonts w:hint="eastAsia"/>
                <w:color w:val="000000"/>
                <w:sz w:val="21"/>
                <w:szCs w:val="21"/>
                <w:lang/>
              </w:rPr>
              <w:t>交易型开放式指数证券投资基金联接基金（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49</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023185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w:t>
            </w:r>
            <w:r>
              <w:rPr>
                <w:rFonts w:hint="eastAsia"/>
                <w:color w:val="000000"/>
                <w:sz w:val="21"/>
                <w:szCs w:val="21"/>
                <w:lang/>
              </w:rPr>
              <w:t>A500</w:t>
            </w:r>
            <w:r>
              <w:rPr>
                <w:rFonts w:hint="eastAsia"/>
                <w:color w:val="000000"/>
                <w:sz w:val="21"/>
                <w:szCs w:val="21"/>
                <w:lang/>
              </w:rPr>
              <w:t>交易型开放式指数证券投资基金联接基金（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50</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021183</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51</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021184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52</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024491</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53</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024618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平安中证光伏产业指数型发起式证券投资基金（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54</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024887</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 xml:space="preserve"> </w:t>
            </w:r>
            <w:r>
              <w:rPr>
                <w:rFonts w:hint="eastAsia"/>
                <w:color w:val="000000"/>
                <w:sz w:val="21"/>
                <w:szCs w:val="21"/>
                <w:lang/>
              </w:rPr>
              <w:t>平安中证全指自由现金流交易型开放式指数证券投资基金联接基金（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55</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024888</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 xml:space="preserve"> </w:t>
            </w:r>
            <w:r>
              <w:rPr>
                <w:rFonts w:hint="eastAsia"/>
                <w:color w:val="000000"/>
                <w:sz w:val="21"/>
                <w:szCs w:val="21"/>
                <w:lang/>
              </w:rPr>
              <w:t>平安中证全指自由现金流交易型开放式指数证券投资基金联接基金（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56</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023384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57</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023385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58</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024610</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59</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025490</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平安中证卫星产业指数型证券投资基金（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60</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025491</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平安中证卫星产业指数型证券投资基金（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61</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015894</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平安中证消费电子主题交易型开放式指数证券投资基金发起式联接基金（</w:t>
            </w:r>
            <w:r>
              <w:rPr>
                <w:rFonts w:hint="eastAsia"/>
                <w:color w:val="000000"/>
                <w:sz w:val="21"/>
                <w:szCs w:val="21"/>
                <w:lang/>
              </w:rPr>
              <w:t>A</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sz w:val="21"/>
                <w:szCs w:val="21"/>
              </w:rPr>
            </w:pPr>
            <w:r>
              <w:rPr>
                <w:rFonts w:hint="eastAsia"/>
                <w:color w:val="000000"/>
                <w:sz w:val="21"/>
                <w:szCs w:val="21"/>
                <w:lang/>
              </w:rPr>
              <w:t>62</w:t>
            </w:r>
          </w:p>
        </w:tc>
        <w:tc>
          <w:tcPr>
            <w:tcW w:w="1116" w:type="dxa"/>
            <w:vAlign w:val="center"/>
          </w:tcPr>
          <w:p w:rsidR="00647381" w:rsidRDefault="00B45E11">
            <w:pPr>
              <w:widowControl/>
              <w:jc w:val="center"/>
              <w:textAlignment w:val="center"/>
              <w:rPr>
                <w:sz w:val="21"/>
                <w:szCs w:val="21"/>
              </w:rPr>
            </w:pPr>
            <w:r>
              <w:rPr>
                <w:rFonts w:hint="eastAsia"/>
                <w:color w:val="000000"/>
                <w:sz w:val="21"/>
                <w:szCs w:val="21"/>
                <w:lang/>
              </w:rPr>
              <w:t>015895</w:t>
            </w:r>
          </w:p>
        </w:tc>
        <w:tc>
          <w:tcPr>
            <w:tcW w:w="4350" w:type="dxa"/>
            <w:vAlign w:val="bottom"/>
          </w:tcPr>
          <w:p w:rsidR="00647381" w:rsidRDefault="00B45E11">
            <w:pPr>
              <w:widowControl/>
              <w:jc w:val="left"/>
              <w:textAlignment w:val="bottom"/>
              <w:rPr>
                <w:sz w:val="21"/>
                <w:szCs w:val="21"/>
              </w:rPr>
            </w:pPr>
            <w:r>
              <w:rPr>
                <w:rFonts w:hint="eastAsia"/>
                <w:color w:val="000000"/>
                <w:sz w:val="21"/>
                <w:szCs w:val="21"/>
                <w:lang/>
              </w:rPr>
              <w:t>平安中证消费电子主题交易型开放式指数证券投资基金发起式联接基金（</w:t>
            </w:r>
            <w:r>
              <w:rPr>
                <w:rFonts w:hint="eastAsia"/>
                <w:color w:val="000000"/>
                <w:sz w:val="21"/>
                <w:szCs w:val="21"/>
                <w:lang/>
              </w:rPr>
              <w:t>C</w:t>
            </w:r>
            <w:r>
              <w:rPr>
                <w:rFonts w:hint="eastAsia"/>
                <w:color w:val="000000"/>
                <w:sz w:val="21"/>
                <w:szCs w:val="21"/>
                <w:lang/>
              </w:rPr>
              <w:t>类）</w:t>
            </w:r>
          </w:p>
        </w:tc>
        <w:tc>
          <w:tcPr>
            <w:tcW w:w="1011"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947" w:type="dxa"/>
            <w:vAlign w:val="bottom"/>
          </w:tcPr>
          <w:p w:rsidR="00647381" w:rsidRDefault="00B45E11">
            <w:pPr>
              <w:widowControl/>
              <w:jc w:val="center"/>
              <w:textAlignment w:val="bottom"/>
              <w:rPr>
                <w:sz w:val="21"/>
                <w:szCs w:val="21"/>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color w:val="000000"/>
                <w:sz w:val="21"/>
                <w:szCs w:val="21"/>
                <w:lang/>
              </w:rPr>
            </w:pPr>
            <w:r>
              <w:rPr>
                <w:rFonts w:hint="eastAsia"/>
                <w:color w:val="000000"/>
                <w:sz w:val="21"/>
                <w:szCs w:val="21"/>
                <w:lang/>
              </w:rPr>
              <w:t>63</w:t>
            </w:r>
          </w:p>
        </w:tc>
        <w:tc>
          <w:tcPr>
            <w:tcW w:w="1116" w:type="dxa"/>
            <w:vAlign w:val="center"/>
          </w:tcPr>
          <w:p w:rsidR="00647381" w:rsidRDefault="00B45E11">
            <w:pPr>
              <w:widowControl/>
              <w:jc w:val="center"/>
              <w:textAlignment w:val="center"/>
              <w:rPr>
                <w:color w:val="000000"/>
                <w:sz w:val="21"/>
                <w:szCs w:val="21"/>
                <w:lang/>
              </w:rPr>
            </w:pPr>
            <w:r>
              <w:rPr>
                <w:rFonts w:hint="eastAsia"/>
                <w:color w:val="000000"/>
                <w:sz w:val="21"/>
                <w:szCs w:val="21"/>
                <w:lang/>
              </w:rPr>
              <w:t>024557</w:t>
            </w:r>
          </w:p>
        </w:tc>
        <w:tc>
          <w:tcPr>
            <w:tcW w:w="4350" w:type="dxa"/>
            <w:vAlign w:val="bottom"/>
          </w:tcPr>
          <w:p w:rsidR="00647381" w:rsidRDefault="00B45E11">
            <w:pPr>
              <w:widowControl/>
              <w:jc w:val="left"/>
              <w:textAlignment w:val="bottom"/>
              <w:rPr>
                <w:color w:val="000000"/>
                <w:sz w:val="21"/>
                <w:szCs w:val="21"/>
                <w:lang/>
              </w:rPr>
            </w:pPr>
            <w:r>
              <w:rPr>
                <w:rFonts w:hint="eastAsia"/>
                <w:color w:val="000000"/>
                <w:sz w:val="21"/>
                <w:szCs w:val="21"/>
                <w:lang/>
              </w:rPr>
              <w:t>平安中证消费电子主题交易型开放式指数证券投资基金发起式联接基金（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color w:val="000000"/>
                <w:sz w:val="21"/>
                <w:szCs w:val="21"/>
                <w:lang/>
              </w:rPr>
            </w:pPr>
            <w:r>
              <w:rPr>
                <w:rFonts w:hint="eastAsia"/>
                <w:color w:val="000000"/>
                <w:sz w:val="21"/>
                <w:szCs w:val="21"/>
                <w:lang/>
              </w:rPr>
              <w:t>开通</w:t>
            </w:r>
          </w:p>
        </w:tc>
        <w:tc>
          <w:tcPr>
            <w:tcW w:w="947" w:type="dxa"/>
            <w:vAlign w:val="bottom"/>
          </w:tcPr>
          <w:p w:rsidR="00647381" w:rsidRDefault="00B45E11">
            <w:pPr>
              <w:widowControl/>
              <w:jc w:val="center"/>
              <w:textAlignment w:val="bottom"/>
              <w:rPr>
                <w:color w:val="000000"/>
                <w:sz w:val="21"/>
                <w:szCs w:val="21"/>
                <w:lang/>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r w:rsidR="00647381">
        <w:tc>
          <w:tcPr>
            <w:tcW w:w="644" w:type="dxa"/>
            <w:vAlign w:val="bottom"/>
          </w:tcPr>
          <w:p w:rsidR="00647381" w:rsidRDefault="00B45E11">
            <w:pPr>
              <w:widowControl/>
              <w:jc w:val="center"/>
              <w:textAlignment w:val="bottom"/>
              <w:rPr>
                <w:color w:val="000000"/>
                <w:sz w:val="21"/>
                <w:szCs w:val="21"/>
                <w:lang/>
              </w:rPr>
            </w:pPr>
            <w:r>
              <w:rPr>
                <w:rFonts w:hint="eastAsia"/>
                <w:color w:val="000000"/>
                <w:sz w:val="21"/>
                <w:szCs w:val="21"/>
                <w:lang/>
              </w:rPr>
              <w:t>64</w:t>
            </w:r>
          </w:p>
        </w:tc>
        <w:tc>
          <w:tcPr>
            <w:tcW w:w="1116" w:type="dxa"/>
            <w:vAlign w:val="center"/>
          </w:tcPr>
          <w:p w:rsidR="00647381" w:rsidRDefault="00B45E11">
            <w:pPr>
              <w:widowControl/>
              <w:jc w:val="center"/>
              <w:textAlignment w:val="center"/>
              <w:rPr>
                <w:color w:val="000000"/>
                <w:sz w:val="21"/>
                <w:szCs w:val="21"/>
                <w:lang/>
              </w:rPr>
            </w:pPr>
            <w:r>
              <w:rPr>
                <w:rFonts w:hint="eastAsia"/>
                <w:color w:val="000000"/>
                <w:sz w:val="21"/>
                <w:szCs w:val="21"/>
                <w:lang/>
              </w:rPr>
              <w:t>024504</w:t>
            </w:r>
          </w:p>
        </w:tc>
        <w:tc>
          <w:tcPr>
            <w:tcW w:w="4350" w:type="dxa"/>
            <w:vAlign w:val="bottom"/>
          </w:tcPr>
          <w:p w:rsidR="00647381" w:rsidRDefault="00B45E11">
            <w:pPr>
              <w:widowControl/>
              <w:jc w:val="left"/>
              <w:textAlignment w:val="bottom"/>
              <w:rPr>
                <w:color w:val="000000"/>
                <w:sz w:val="21"/>
                <w:szCs w:val="21"/>
                <w:lang/>
              </w:rPr>
            </w:pPr>
            <w:r>
              <w:rPr>
                <w:rFonts w:hint="eastAsia"/>
                <w:color w:val="000000"/>
                <w:sz w:val="21"/>
                <w:szCs w:val="21"/>
                <w:lang/>
              </w:rPr>
              <w:t>平安中证新能源汽车产业交易型开放式指数证券投资基金发起式联接基金（</w:t>
            </w:r>
            <w:r>
              <w:rPr>
                <w:rFonts w:hint="eastAsia"/>
                <w:color w:val="000000"/>
                <w:sz w:val="21"/>
                <w:szCs w:val="21"/>
                <w:lang/>
              </w:rPr>
              <w:t>E</w:t>
            </w:r>
            <w:r>
              <w:rPr>
                <w:rFonts w:hint="eastAsia"/>
                <w:color w:val="000000"/>
                <w:sz w:val="21"/>
                <w:szCs w:val="21"/>
                <w:lang/>
              </w:rPr>
              <w:t>类）</w:t>
            </w:r>
          </w:p>
        </w:tc>
        <w:tc>
          <w:tcPr>
            <w:tcW w:w="1011" w:type="dxa"/>
            <w:vAlign w:val="bottom"/>
          </w:tcPr>
          <w:p w:rsidR="00647381" w:rsidRDefault="00B45E11">
            <w:pPr>
              <w:widowControl/>
              <w:jc w:val="center"/>
              <w:textAlignment w:val="bottom"/>
              <w:rPr>
                <w:color w:val="000000"/>
                <w:sz w:val="21"/>
                <w:szCs w:val="21"/>
                <w:lang/>
              </w:rPr>
            </w:pPr>
            <w:r>
              <w:rPr>
                <w:rFonts w:hint="eastAsia"/>
                <w:color w:val="000000"/>
                <w:sz w:val="21"/>
                <w:szCs w:val="21"/>
                <w:lang/>
              </w:rPr>
              <w:t>开通</w:t>
            </w:r>
          </w:p>
        </w:tc>
        <w:tc>
          <w:tcPr>
            <w:tcW w:w="947" w:type="dxa"/>
            <w:vAlign w:val="bottom"/>
          </w:tcPr>
          <w:p w:rsidR="00647381" w:rsidRDefault="00B45E11">
            <w:pPr>
              <w:widowControl/>
              <w:jc w:val="center"/>
              <w:textAlignment w:val="bottom"/>
              <w:rPr>
                <w:color w:val="000000"/>
                <w:sz w:val="21"/>
                <w:szCs w:val="21"/>
                <w:lang/>
              </w:rPr>
            </w:pPr>
            <w:r>
              <w:rPr>
                <w:rFonts w:hint="eastAsia"/>
                <w:color w:val="000000"/>
                <w:sz w:val="21"/>
                <w:szCs w:val="21"/>
                <w:lang/>
              </w:rPr>
              <w:t>开通</w:t>
            </w:r>
          </w:p>
        </w:tc>
        <w:tc>
          <w:tcPr>
            <w:tcW w:w="1172" w:type="dxa"/>
          </w:tcPr>
          <w:p w:rsidR="00647381" w:rsidRDefault="00B45E11">
            <w:pPr>
              <w:spacing w:line="360" w:lineRule="auto"/>
              <w:jc w:val="center"/>
              <w:rPr>
                <w:sz w:val="21"/>
                <w:szCs w:val="21"/>
              </w:rPr>
            </w:pPr>
            <w:r>
              <w:rPr>
                <w:rFonts w:hint="eastAsia"/>
                <w:sz w:val="21"/>
                <w:szCs w:val="21"/>
              </w:rPr>
              <w:t>参加</w:t>
            </w:r>
          </w:p>
        </w:tc>
      </w:tr>
    </w:tbl>
    <w:bookmarkEnd w:id="0"/>
    <w:p w:rsidR="00647381" w:rsidRDefault="00B45E11">
      <w:pPr>
        <w:pStyle w:val="Default"/>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注：</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上表中同一产品</w:t>
      </w:r>
      <w:r>
        <w:rPr>
          <w:rFonts w:asciiTheme="minorEastAsia" w:eastAsiaTheme="minorEastAsia" w:hAnsiTheme="minorEastAsia" w:hint="eastAsia"/>
          <w:sz w:val="21"/>
          <w:szCs w:val="21"/>
        </w:rPr>
        <w:t>不同</w:t>
      </w:r>
      <w:r>
        <w:rPr>
          <w:rFonts w:asciiTheme="minorEastAsia" w:eastAsiaTheme="minorEastAsia" w:hAnsiTheme="minorEastAsia"/>
          <w:sz w:val="21"/>
          <w:szCs w:val="21"/>
        </w:rPr>
        <w:t>份额之间不能相互转换</w:t>
      </w:r>
      <w:r>
        <w:rPr>
          <w:rFonts w:asciiTheme="minorEastAsia" w:eastAsiaTheme="minorEastAsia" w:hAnsiTheme="minorEastAsia" w:hint="eastAsia"/>
          <w:sz w:val="21"/>
          <w:szCs w:val="21"/>
        </w:rPr>
        <w:t>。</w:t>
      </w:r>
    </w:p>
    <w:p w:rsidR="00647381" w:rsidRDefault="00B45E11">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647381" w:rsidRDefault="00B45E11">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647381" w:rsidRDefault="00B45E11">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《平安基金管理有限公司关于旗下开放式基金转换业务规则说明的公告》。</w:t>
      </w:r>
    </w:p>
    <w:p w:rsidR="00647381" w:rsidRDefault="00B45E11">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647381" w:rsidRDefault="00B45E1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微众银行申购或定期定额申购、转换上述基金，享受费率优惠，优惠活动解释权归微众银行所有，请投资者咨询微众银行。本公司对其申购费率、定期定额申购费率以及转换业务的申购补差费率均不设折扣限制，优惠活动的费率折扣由微众银行决定和执行，本公司根据微众银行提供的费率折扣办理，若费率优惠活动内容变更，以微众银行的活动公告为准，本公司不再另行公告。</w:t>
      </w:r>
    </w:p>
    <w:p w:rsidR="00647381" w:rsidRDefault="00B45E1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647381" w:rsidRDefault="00B45E11">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、深圳前海微众银行股份有限公司</w:t>
      </w:r>
    </w:p>
    <w:p w:rsidR="00647381" w:rsidRDefault="00B45E11">
      <w:pPr>
        <w:pStyle w:val="Default"/>
        <w:spacing w:line="360" w:lineRule="auto"/>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sz w:val="21"/>
          <w:szCs w:val="21"/>
        </w:rPr>
        <w:t>95384</w:t>
      </w:r>
    </w:p>
    <w:p w:rsidR="00647381" w:rsidRDefault="00B45E11">
      <w:pPr>
        <w:pStyle w:val="Default"/>
        <w:spacing w:line="360" w:lineRule="auto"/>
        <w:ind w:firstLineChars="450" w:firstLine="945"/>
        <w:rPr>
          <w:sz w:val="21"/>
          <w:szCs w:val="21"/>
        </w:rPr>
      </w:pPr>
      <w:r>
        <w:rPr>
          <w:rFonts w:asciiTheme="minorEastAsia" w:eastAsiaTheme="minorEastAsia" w:hAnsiTheme="minorEastAsia" w:hint="eastAsia"/>
          <w:sz w:val="21"/>
          <w:szCs w:val="21"/>
        </w:rPr>
        <w:t>网址：</w:t>
      </w:r>
      <w:r>
        <w:rPr>
          <w:sz w:val="21"/>
          <w:szCs w:val="21"/>
        </w:rPr>
        <w:t>https://www.webank.com</w:t>
      </w:r>
    </w:p>
    <w:p w:rsidR="00647381" w:rsidRDefault="00B45E11">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w:t>
      </w:r>
      <w:r>
        <w:rPr>
          <w:rFonts w:asciiTheme="minorEastAsia" w:eastAsiaTheme="minorEastAsia" w:hAnsiTheme="minorEastAsia" w:hint="eastAsia"/>
          <w:sz w:val="21"/>
          <w:szCs w:val="21"/>
        </w:rPr>
        <w:t>限公司</w:t>
      </w:r>
    </w:p>
    <w:p w:rsidR="00647381" w:rsidRDefault="00B45E11">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647381" w:rsidRDefault="00B45E11">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647381" w:rsidRDefault="00B45E1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w:t>
      </w:r>
      <w:r>
        <w:rPr>
          <w:rFonts w:asciiTheme="minorEastAsia" w:eastAsiaTheme="minorEastAsia" w:hAnsiTheme="minorEastAsia" w:hint="eastAsia"/>
          <w:sz w:val="21"/>
          <w:szCs w:val="21"/>
        </w:rPr>
        <w:t>合适的基金产品。</w:t>
      </w:r>
    </w:p>
    <w:p w:rsidR="00647381" w:rsidRDefault="00647381">
      <w:pPr>
        <w:pStyle w:val="Default"/>
        <w:spacing w:line="360" w:lineRule="auto"/>
        <w:ind w:firstLineChars="200" w:firstLine="420"/>
        <w:rPr>
          <w:rFonts w:asciiTheme="minorEastAsia" w:eastAsiaTheme="minorEastAsia" w:hAnsiTheme="minorEastAsia"/>
          <w:sz w:val="21"/>
          <w:szCs w:val="21"/>
        </w:rPr>
      </w:pPr>
    </w:p>
    <w:p w:rsidR="00647381" w:rsidRDefault="00B45E1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647381" w:rsidRDefault="00647381">
      <w:pPr>
        <w:pStyle w:val="Default"/>
        <w:spacing w:line="360" w:lineRule="auto"/>
        <w:ind w:right="630" w:firstLineChars="2300" w:firstLine="4830"/>
        <w:rPr>
          <w:rFonts w:asciiTheme="minorEastAsia" w:eastAsiaTheme="minorEastAsia" w:hAnsiTheme="minorEastAsia"/>
          <w:sz w:val="21"/>
          <w:szCs w:val="21"/>
        </w:rPr>
      </w:pPr>
    </w:p>
    <w:p w:rsidR="00647381" w:rsidRDefault="00B45E11">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647381" w:rsidRDefault="00B45E11">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日</w:t>
      </w:r>
    </w:p>
    <w:sectPr w:rsidR="00647381" w:rsidSect="00647381">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5D4EF"/>
    <w:multiLevelType w:val="singleLevel"/>
    <w:tmpl w:val="21C5D4E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354A0"/>
    <w:rsid w:val="00035864"/>
    <w:rsid w:val="00037138"/>
    <w:rsid w:val="000454F0"/>
    <w:rsid w:val="00045F81"/>
    <w:rsid w:val="0004793A"/>
    <w:rsid w:val="000528A8"/>
    <w:rsid w:val="00053C68"/>
    <w:rsid w:val="00055F46"/>
    <w:rsid w:val="00060DC5"/>
    <w:rsid w:val="0008140D"/>
    <w:rsid w:val="000821A0"/>
    <w:rsid w:val="000909E4"/>
    <w:rsid w:val="00096844"/>
    <w:rsid w:val="000A104A"/>
    <w:rsid w:val="000A429E"/>
    <w:rsid w:val="000A487D"/>
    <w:rsid w:val="000A705E"/>
    <w:rsid w:val="000B0A39"/>
    <w:rsid w:val="000B34DF"/>
    <w:rsid w:val="000F04AA"/>
    <w:rsid w:val="000F7983"/>
    <w:rsid w:val="00105558"/>
    <w:rsid w:val="00121C7D"/>
    <w:rsid w:val="001248DF"/>
    <w:rsid w:val="00134068"/>
    <w:rsid w:val="00137BAA"/>
    <w:rsid w:val="00144639"/>
    <w:rsid w:val="0016572D"/>
    <w:rsid w:val="0017436C"/>
    <w:rsid w:val="0017681E"/>
    <w:rsid w:val="00183BFE"/>
    <w:rsid w:val="001A13E2"/>
    <w:rsid w:val="001A461E"/>
    <w:rsid w:val="001A53DF"/>
    <w:rsid w:val="001A6BB3"/>
    <w:rsid w:val="001A7949"/>
    <w:rsid w:val="001C784F"/>
    <w:rsid w:val="001D3740"/>
    <w:rsid w:val="001D7E4A"/>
    <w:rsid w:val="001E6755"/>
    <w:rsid w:val="001F1BC1"/>
    <w:rsid w:val="001F3466"/>
    <w:rsid w:val="001F36E7"/>
    <w:rsid w:val="001F6A68"/>
    <w:rsid w:val="00207505"/>
    <w:rsid w:val="002177DC"/>
    <w:rsid w:val="00227A5F"/>
    <w:rsid w:val="00227BFC"/>
    <w:rsid w:val="002318C3"/>
    <w:rsid w:val="0024538D"/>
    <w:rsid w:val="00262762"/>
    <w:rsid w:val="00264A1C"/>
    <w:rsid w:val="002654CC"/>
    <w:rsid w:val="00277F52"/>
    <w:rsid w:val="002803D2"/>
    <w:rsid w:val="002816D4"/>
    <w:rsid w:val="00281CC0"/>
    <w:rsid w:val="002915D6"/>
    <w:rsid w:val="00292CE2"/>
    <w:rsid w:val="00294AC6"/>
    <w:rsid w:val="002A3006"/>
    <w:rsid w:val="002A52EE"/>
    <w:rsid w:val="002A59D0"/>
    <w:rsid w:val="002C1171"/>
    <w:rsid w:val="002C4984"/>
    <w:rsid w:val="002C4B17"/>
    <w:rsid w:val="002C64F0"/>
    <w:rsid w:val="002D19FB"/>
    <w:rsid w:val="002D1E78"/>
    <w:rsid w:val="002D27A6"/>
    <w:rsid w:val="002D41E3"/>
    <w:rsid w:val="002D6C9B"/>
    <w:rsid w:val="002D7023"/>
    <w:rsid w:val="002E0D54"/>
    <w:rsid w:val="0030002A"/>
    <w:rsid w:val="0030498E"/>
    <w:rsid w:val="003112DC"/>
    <w:rsid w:val="003113D2"/>
    <w:rsid w:val="003124F4"/>
    <w:rsid w:val="00315199"/>
    <w:rsid w:val="003173A6"/>
    <w:rsid w:val="00317A54"/>
    <w:rsid w:val="003220E0"/>
    <w:rsid w:val="003223E0"/>
    <w:rsid w:val="003244F3"/>
    <w:rsid w:val="00340F68"/>
    <w:rsid w:val="00343DBE"/>
    <w:rsid w:val="00344D02"/>
    <w:rsid w:val="00350ACD"/>
    <w:rsid w:val="00350F2C"/>
    <w:rsid w:val="00360980"/>
    <w:rsid w:val="00364908"/>
    <w:rsid w:val="003802DF"/>
    <w:rsid w:val="0038388D"/>
    <w:rsid w:val="0039533D"/>
    <w:rsid w:val="00396D5E"/>
    <w:rsid w:val="003A26C1"/>
    <w:rsid w:val="003A5787"/>
    <w:rsid w:val="003D6CA9"/>
    <w:rsid w:val="003E0DF7"/>
    <w:rsid w:val="003E5816"/>
    <w:rsid w:val="003E60B8"/>
    <w:rsid w:val="003F2FBD"/>
    <w:rsid w:val="00415D50"/>
    <w:rsid w:val="00427191"/>
    <w:rsid w:val="00430023"/>
    <w:rsid w:val="0043258B"/>
    <w:rsid w:val="0043334B"/>
    <w:rsid w:val="0043388F"/>
    <w:rsid w:val="00440056"/>
    <w:rsid w:val="004457BC"/>
    <w:rsid w:val="00446688"/>
    <w:rsid w:val="00447C75"/>
    <w:rsid w:val="00450025"/>
    <w:rsid w:val="0045679B"/>
    <w:rsid w:val="004625FD"/>
    <w:rsid w:val="00465135"/>
    <w:rsid w:val="004722C2"/>
    <w:rsid w:val="00485308"/>
    <w:rsid w:val="00486733"/>
    <w:rsid w:val="004946F6"/>
    <w:rsid w:val="004A2E14"/>
    <w:rsid w:val="004A4F5C"/>
    <w:rsid w:val="004A6D03"/>
    <w:rsid w:val="004B0A8E"/>
    <w:rsid w:val="004C0398"/>
    <w:rsid w:val="004C648E"/>
    <w:rsid w:val="004D00B4"/>
    <w:rsid w:val="004D403D"/>
    <w:rsid w:val="004E21A9"/>
    <w:rsid w:val="004E4D7E"/>
    <w:rsid w:val="004E5ACD"/>
    <w:rsid w:val="004E63BB"/>
    <w:rsid w:val="004E6988"/>
    <w:rsid w:val="004E74ED"/>
    <w:rsid w:val="004F3920"/>
    <w:rsid w:val="0050467B"/>
    <w:rsid w:val="00515571"/>
    <w:rsid w:val="00545F1E"/>
    <w:rsid w:val="00545F65"/>
    <w:rsid w:val="00555610"/>
    <w:rsid w:val="00571749"/>
    <w:rsid w:val="00572C09"/>
    <w:rsid w:val="005830D5"/>
    <w:rsid w:val="00586EAC"/>
    <w:rsid w:val="00596E50"/>
    <w:rsid w:val="00596F6A"/>
    <w:rsid w:val="005A18A1"/>
    <w:rsid w:val="005A2F75"/>
    <w:rsid w:val="005B5C22"/>
    <w:rsid w:val="005B6769"/>
    <w:rsid w:val="005F7347"/>
    <w:rsid w:val="006040D4"/>
    <w:rsid w:val="0061168A"/>
    <w:rsid w:val="00623877"/>
    <w:rsid w:val="00630E86"/>
    <w:rsid w:val="006310F8"/>
    <w:rsid w:val="00632D9D"/>
    <w:rsid w:val="006367AF"/>
    <w:rsid w:val="006422F9"/>
    <w:rsid w:val="00644B4E"/>
    <w:rsid w:val="00646164"/>
    <w:rsid w:val="00647381"/>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2760E"/>
    <w:rsid w:val="007326D8"/>
    <w:rsid w:val="00733A9B"/>
    <w:rsid w:val="00736E8C"/>
    <w:rsid w:val="00740915"/>
    <w:rsid w:val="00740A6A"/>
    <w:rsid w:val="00740B05"/>
    <w:rsid w:val="00741E0F"/>
    <w:rsid w:val="00752F59"/>
    <w:rsid w:val="00753118"/>
    <w:rsid w:val="00756F73"/>
    <w:rsid w:val="00764114"/>
    <w:rsid w:val="007753A8"/>
    <w:rsid w:val="00775CF4"/>
    <w:rsid w:val="00780F14"/>
    <w:rsid w:val="007830D0"/>
    <w:rsid w:val="00784C6D"/>
    <w:rsid w:val="00787A79"/>
    <w:rsid w:val="00794816"/>
    <w:rsid w:val="007C1B84"/>
    <w:rsid w:val="007C3CC6"/>
    <w:rsid w:val="007E016A"/>
    <w:rsid w:val="007E44B9"/>
    <w:rsid w:val="007F0AFF"/>
    <w:rsid w:val="007F4B3F"/>
    <w:rsid w:val="0080208F"/>
    <w:rsid w:val="00802ABC"/>
    <w:rsid w:val="00823371"/>
    <w:rsid w:val="008257F5"/>
    <w:rsid w:val="00830A27"/>
    <w:rsid w:val="00833367"/>
    <w:rsid w:val="00835EFA"/>
    <w:rsid w:val="00840CA6"/>
    <w:rsid w:val="008431BD"/>
    <w:rsid w:val="00854840"/>
    <w:rsid w:val="00873883"/>
    <w:rsid w:val="0088546F"/>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3744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B1C"/>
    <w:rsid w:val="009B5A5E"/>
    <w:rsid w:val="009B6402"/>
    <w:rsid w:val="009C281F"/>
    <w:rsid w:val="009C78DA"/>
    <w:rsid w:val="009D2E90"/>
    <w:rsid w:val="009D4541"/>
    <w:rsid w:val="009E63D2"/>
    <w:rsid w:val="009F32F9"/>
    <w:rsid w:val="009F3D77"/>
    <w:rsid w:val="00A00CA2"/>
    <w:rsid w:val="00A079A1"/>
    <w:rsid w:val="00A07AAE"/>
    <w:rsid w:val="00A10D80"/>
    <w:rsid w:val="00A24C6B"/>
    <w:rsid w:val="00A30624"/>
    <w:rsid w:val="00A33C7C"/>
    <w:rsid w:val="00A353A7"/>
    <w:rsid w:val="00A367D3"/>
    <w:rsid w:val="00A43C0F"/>
    <w:rsid w:val="00A61F0A"/>
    <w:rsid w:val="00A749F8"/>
    <w:rsid w:val="00A8217E"/>
    <w:rsid w:val="00A96349"/>
    <w:rsid w:val="00A96F9D"/>
    <w:rsid w:val="00A973BE"/>
    <w:rsid w:val="00AA36EC"/>
    <w:rsid w:val="00AC23AF"/>
    <w:rsid w:val="00AC23F6"/>
    <w:rsid w:val="00AD5573"/>
    <w:rsid w:val="00AE5243"/>
    <w:rsid w:val="00AF102B"/>
    <w:rsid w:val="00AF3C06"/>
    <w:rsid w:val="00AF4436"/>
    <w:rsid w:val="00AF4B0E"/>
    <w:rsid w:val="00B015DF"/>
    <w:rsid w:val="00B03684"/>
    <w:rsid w:val="00B05C11"/>
    <w:rsid w:val="00B11ACB"/>
    <w:rsid w:val="00B13B40"/>
    <w:rsid w:val="00B167A1"/>
    <w:rsid w:val="00B17A38"/>
    <w:rsid w:val="00B27FEE"/>
    <w:rsid w:val="00B30AA5"/>
    <w:rsid w:val="00B42199"/>
    <w:rsid w:val="00B45E11"/>
    <w:rsid w:val="00B52278"/>
    <w:rsid w:val="00B55F3A"/>
    <w:rsid w:val="00B55F55"/>
    <w:rsid w:val="00B577EF"/>
    <w:rsid w:val="00B67D1A"/>
    <w:rsid w:val="00B73432"/>
    <w:rsid w:val="00B817D0"/>
    <w:rsid w:val="00B81A2F"/>
    <w:rsid w:val="00B85C70"/>
    <w:rsid w:val="00BA05C0"/>
    <w:rsid w:val="00BA1E10"/>
    <w:rsid w:val="00BB0D2B"/>
    <w:rsid w:val="00BB2819"/>
    <w:rsid w:val="00BB3383"/>
    <w:rsid w:val="00BC2A07"/>
    <w:rsid w:val="00BC330B"/>
    <w:rsid w:val="00BC57DB"/>
    <w:rsid w:val="00BC5C3F"/>
    <w:rsid w:val="00BD07D8"/>
    <w:rsid w:val="00BD1D4F"/>
    <w:rsid w:val="00BD2D32"/>
    <w:rsid w:val="00BD402C"/>
    <w:rsid w:val="00BD521C"/>
    <w:rsid w:val="00BE3CED"/>
    <w:rsid w:val="00BE7300"/>
    <w:rsid w:val="00BF3A46"/>
    <w:rsid w:val="00C167D6"/>
    <w:rsid w:val="00C31032"/>
    <w:rsid w:val="00C40E64"/>
    <w:rsid w:val="00C44146"/>
    <w:rsid w:val="00C54632"/>
    <w:rsid w:val="00C54668"/>
    <w:rsid w:val="00C56A04"/>
    <w:rsid w:val="00C64EAF"/>
    <w:rsid w:val="00C66A64"/>
    <w:rsid w:val="00C76074"/>
    <w:rsid w:val="00C80A91"/>
    <w:rsid w:val="00C9249B"/>
    <w:rsid w:val="00C95347"/>
    <w:rsid w:val="00CA7599"/>
    <w:rsid w:val="00CB2B31"/>
    <w:rsid w:val="00CD6E9E"/>
    <w:rsid w:val="00CE0610"/>
    <w:rsid w:val="00CE0C83"/>
    <w:rsid w:val="00D03A72"/>
    <w:rsid w:val="00D06F2F"/>
    <w:rsid w:val="00D07A53"/>
    <w:rsid w:val="00D212AF"/>
    <w:rsid w:val="00D272D6"/>
    <w:rsid w:val="00D4218F"/>
    <w:rsid w:val="00D47829"/>
    <w:rsid w:val="00D505A6"/>
    <w:rsid w:val="00D55B63"/>
    <w:rsid w:val="00D57B57"/>
    <w:rsid w:val="00D62E26"/>
    <w:rsid w:val="00D67302"/>
    <w:rsid w:val="00D71BFE"/>
    <w:rsid w:val="00D748C9"/>
    <w:rsid w:val="00D90CA5"/>
    <w:rsid w:val="00D94D1C"/>
    <w:rsid w:val="00DC5666"/>
    <w:rsid w:val="00DC5CC9"/>
    <w:rsid w:val="00DD2E94"/>
    <w:rsid w:val="00DD4674"/>
    <w:rsid w:val="00DD4AB5"/>
    <w:rsid w:val="00DE053A"/>
    <w:rsid w:val="00DE72AA"/>
    <w:rsid w:val="00E21264"/>
    <w:rsid w:val="00E40D05"/>
    <w:rsid w:val="00E520E3"/>
    <w:rsid w:val="00E60707"/>
    <w:rsid w:val="00E60EC7"/>
    <w:rsid w:val="00E65851"/>
    <w:rsid w:val="00E70980"/>
    <w:rsid w:val="00E80A8D"/>
    <w:rsid w:val="00E81878"/>
    <w:rsid w:val="00E83F35"/>
    <w:rsid w:val="00EA0481"/>
    <w:rsid w:val="00EB7382"/>
    <w:rsid w:val="00EC4655"/>
    <w:rsid w:val="00ED1782"/>
    <w:rsid w:val="00EE2C82"/>
    <w:rsid w:val="00EE2CC8"/>
    <w:rsid w:val="00EE4099"/>
    <w:rsid w:val="00EF2043"/>
    <w:rsid w:val="00EF295D"/>
    <w:rsid w:val="00EF5423"/>
    <w:rsid w:val="00F11926"/>
    <w:rsid w:val="00F215D2"/>
    <w:rsid w:val="00F21B4C"/>
    <w:rsid w:val="00F24371"/>
    <w:rsid w:val="00F40147"/>
    <w:rsid w:val="00F45200"/>
    <w:rsid w:val="00F46744"/>
    <w:rsid w:val="00F64745"/>
    <w:rsid w:val="00F67064"/>
    <w:rsid w:val="00F67CA2"/>
    <w:rsid w:val="00F72841"/>
    <w:rsid w:val="00F77D48"/>
    <w:rsid w:val="00F859BA"/>
    <w:rsid w:val="00F91D66"/>
    <w:rsid w:val="00F937A9"/>
    <w:rsid w:val="00F9569D"/>
    <w:rsid w:val="00F961FD"/>
    <w:rsid w:val="00FA1853"/>
    <w:rsid w:val="00FA2238"/>
    <w:rsid w:val="00FB347D"/>
    <w:rsid w:val="00FB7DF0"/>
    <w:rsid w:val="00FC462A"/>
    <w:rsid w:val="00FD5EA2"/>
    <w:rsid w:val="00FD710A"/>
    <w:rsid w:val="00FE082D"/>
    <w:rsid w:val="02BF1210"/>
    <w:rsid w:val="036A25DF"/>
    <w:rsid w:val="0F6D0FDF"/>
    <w:rsid w:val="13DC47F4"/>
    <w:rsid w:val="1646419B"/>
    <w:rsid w:val="1F0E6B82"/>
    <w:rsid w:val="21D87015"/>
    <w:rsid w:val="3B7D2F8A"/>
    <w:rsid w:val="3BFE1F0A"/>
    <w:rsid w:val="43957651"/>
    <w:rsid w:val="47D92436"/>
    <w:rsid w:val="500478F2"/>
    <w:rsid w:val="606C1652"/>
    <w:rsid w:val="633D42F6"/>
    <w:rsid w:val="66E43FB3"/>
    <w:rsid w:val="680A2773"/>
    <w:rsid w:val="6A317213"/>
    <w:rsid w:val="7CB808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8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647381"/>
  </w:style>
  <w:style w:type="paragraph" w:styleId="a4">
    <w:name w:val="Balloon Text"/>
    <w:basedOn w:val="a"/>
    <w:link w:val="Char0"/>
    <w:semiHidden/>
    <w:unhideWhenUsed/>
    <w:qFormat/>
    <w:rsid w:val="00647381"/>
    <w:rPr>
      <w:sz w:val="18"/>
      <w:szCs w:val="18"/>
    </w:rPr>
  </w:style>
  <w:style w:type="paragraph" w:styleId="a5">
    <w:name w:val="footer"/>
    <w:basedOn w:val="a"/>
    <w:link w:val="Char1"/>
    <w:uiPriority w:val="99"/>
    <w:unhideWhenUsed/>
    <w:qFormat/>
    <w:rsid w:val="00647381"/>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647381"/>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647381"/>
    <w:rPr>
      <w:b/>
      <w:bCs/>
    </w:rPr>
  </w:style>
  <w:style w:type="table" w:styleId="a8">
    <w:name w:val="Table Grid"/>
    <w:basedOn w:val="a1"/>
    <w:uiPriority w:val="99"/>
    <w:qFormat/>
    <w:rsid w:val="006473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qFormat/>
    <w:rsid w:val="00647381"/>
    <w:rPr>
      <w:color w:val="0000FF" w:themeColor="hyperlink"/>
      <w:u w:val="single"/>
    </w:rPr>
  </w:style>
  <w:style w:type="character" w:styleId="aa">
    <w:name w:val="annotation reference"/>
    <w:basedOn w:val="a0"/>
    <w:semiHidden/>
    <w:unhideWhenUsed/>
    <w:qFormat/>
    <w:rsid w:val="00647381"/>
    <w:rPr>
      <w:sz w:val="21"/>
      <w:szCs w:val="21"/>
    </w:rPr>
  </w:style>
  <w:style w:type="paragraph" w:customStyle="1" w:styleId="Default">
    <w:name w:val="Default"/>
    <w:qFormat/>
    <w:rsid w:val="00647381"/>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647381"/>
    <w:rPr>
      <w:sz w:val="18"/>
      <w:szCs w:val="18"/>
    </w:rPr>
  </w:style>
  <w:style w:type="character" w:customStyle="1" w:styleId="Char1">
    <w:name w:val="页脚 Char"/>
    <w:basedOn w:val="a0"/>
    <w:link w:val="a5"/>
    <w:uiPriority w:val="99"/>
    <w:qFormat/>
    <w:rsid w:val="00647381"/>
    <w:rPr>
      <w:sz w:val="18"/>
      <w:szCs w:val="18"/>
    </w:rPr>
  </w:style>
  <w:style w:type="character" w:customStyle="1" w:styleId="Char0">
    <w:name w:val="批注框文本 Char"/>
    <w:basedOn w:val="a0"/>
    <w:link w:val="a4"/>
    <w:semiHidden/>
    <w:qFormat/>
    <w:rsid w:val="00647381"/>
    <w:rPr>
      <w:rFonts w:ascii="宋体" w:hAnsi="宋体" w:cs="宋体"/>
      <w:sz w:val="18"/>
      <w:szCs w:val="18"/>
    </w:rPr>
  </w:style>
  <w:style w:type="character" w:customStyle="1" w:styleId="Char">
    <w:name w:val="批注文字 Char"/>
    <w:basedOn w:val="a0"/>
    <w:link w:val="a3"/>
    <w:semiHidden/>
    <w:qFormat/>
    <w:rsid w:val="00647381"/>
    <w:rPr>
      <w:rFonts w:ascii="宋体" w:hAnsi="宋体" w:cs="宋体"/>
      <w:sz w:val="24"/>
      <w:szCs w:val="24"/>
    </w:rPr>
  </w:style>
  <w:style w:type="character" w:customStyle="1" w:styleId="Char3">
    <w:name w:val="批注主题 Char"/>
    <w:basedOn w:val="Char"/>
    <w:link w:val="a7"/>
    <w:semiHidden/>
    <w:qFormat/>
    <w:rsid w:val="00647381"/>
    <w:rPr>
      <w:rFonts w:ascii="宋体" w:hAnsi="宋体" w:cs="宋体"/>
      <w:b/>
      <w:bCs/>
      <w:sz w:val="24"/>
      <w:szCs w:val="24"/>
    </w:rPr>
  </w:style>
  <w:style w:type="paragraph" w:styleId="ab">
    <w:name w:val="List Paragraph"/>
    <w:basedOn w:val="a"/>
    <w:uiPriority w:val="34"/>
    <w:qFormat/>
    <w:rsid w:val="0064738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3457</Characters>
  <Application>Microsoft Office Word</Application>
  <DocSecurity>4</DocSecurity>
  <Lines>28</Lines>
  <Paragraphs>8</Paragraphs>
  <ScaleCrop>false</ScaleCrop>
  <Company>中国平安保险(集团)股份有限公司</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2025-12-11T16:01:00Z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6E23196931264B8E9779B51FA2D304ED</vt:lpwstr>
  </property>
</Properties>
</file>