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71" w:rsidRDefault="008047B9">
      <w:pPr>
        <w:widowControl/>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东方阿尔法基金管理有限公司关于旗下基金</w:t>
      </w:r>
    </w:p>
    <w:p w:rsidR="00A96A71" w:rsidRDefault="008047B9">
      <w:pPr>
        <w:widowControl/>
        <w:jc w:val="center"/>
        <w:rPr>
          <w:rFonts w:ascii="Times New Roman" w:eastAsia="宋体" w:hAnsi="Times New Roman" w:cs="Times New Roman"/>
          <w:b/>
          <w:sz w:val="28"/>
          <w:szCs w:val="28"/>
        </w:rPr>
      </w:pPr>
      <w:r>
        <w:rPr>
          <w:rFonts w:ascii="Times New Roman" w:eastAsia="宋体" w:hAnsi="Times New Roman" w:cs="Times New Roman"/>
          <w:b/>
          <w:sz w:val="28"/>
          <w:szCs w:val="28"/>
        </w:rPr>
        <w:t>增加</w:t>
      </w:r>
      <w:r>
        <w:rPr>
          <w:rFonts w:ascii="Times New Roman" w:eastAsia="宋体" w:hAnsi="Times New Roman" w:cs="Times New Roman" w:hint="eastAsia"/>
          <w:b/>
          <w:sz w:val="28"/>
          <w:szCs w:val="28"/>
        </w:rPr>
        <w:t>上海万得基金销售有限公司</w:t>
      </w:r>
      <w:r>
        <w:rPr>
          <w:rFonts w:ascii="Times New Roman" w:eastAsia="宋体" w:hAnsi="Times New Roman" w:cs="Times New Roman"/>
          <w:b/>
          <w:sz w:val="28"/>
          <w:szCs w:val="28"/>
        </w:rPr>
        <w:t>为销售机构的公告</w:t>
      </w:r>
    </w:p>
    <w:p w:rsidR="00A96A71" w:rsidRDefault="00A96A71">
      <w:pPr>
        <w:jc w:val="center"/>
        <w:rPr>
          <w:rFonts w:ascii="Times New Roman" w:eastAsia="宋体" w:hAnsi="Times New Roman" w:cs="Times New Roman"/>
          <w:sz w:val="24"/>
          <w:szCs w:val="28"/>
        </w:rPr>
      </w:pPr>
    </w:p>
    <w:p w:rsidR="00A96A71" w:rsidRDefault="008047B9">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根据东方阿尔法基金管理有限公司（简称</w:t>
      </w:r>
      <w:r>
        <w:rPr>
          <w:rFonts w:ascii="Times New Roman" w:eastAsia="宋体" w:hAnsi="Times New Roman" w:cs="Times New Roman" w:hint="eastAsia"/>
          <w:sz w:val="24"/>
          <w:szCs w:val="28"/>
        </w:rPr>
        <w:t>“</w:t>
      </w:r>
      <w:r>
        <w:rPr>
          <w:rFonts w:ascii="Times New Roman" w:eastAsia="宋体" w:hAnsi="Times New Roman" w:cs="Times New Roman"/>
          <w:sz w:val="24"/>
          <w:szCs w:val="28"/>
        </w:rPr>
        <w:t>我司</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）与</w:t>
      </w:r>
      <w:r>
        <w:rPr>
          <w:rFonts w:ascii="Times New Roman" w:eastAsia="宋体" w:hAnsi="Times New Roman" w:cs="Times New Roman" w:hint="eastAsia"/>
          <w:sz w:val="24"/>
          <w:szCs w:val="28"/>
        </w:rPr>
        <w:t>上海万得基金销售有限公司</w:t>
      </w:r>
      <w:r>
        <w:rPr>
          <w:rFonts w:ascii="Times New Roman" w:eastAsia="宋体" w:hAnsi="Times New Roman" w:cs="Times New Roman"/>
          <w:sz w:val="24"/>
          <w:szCs w:val="28"/>
        </w:rPr>
        <w:t>签署的销售服务协议，自</w:t>
      </w:r>
      <w:r>
        <w:rPr>
          <w:rFonts w:ascii="Times New Roman" w:eastAsia="宋体" w:hAnsi="Times New Roman" w:cs="Times New Roman"/>
          <w:sz w:val="24"/>
          <w:szCs w:val="28"/>
        </w:rPr>
        <w:t>2025</w:t>
      </w:r>
      <w:r>
        <w:rPr>
          <w:rFonts w:ascii="Times New Roman" w:eastAsia="宋体" w:hAnsi="Times New Roman" w:cs="Times New Roman"/>
          <w:sz w:val="24"/>
          <w:szCs w:val="28"/>
        </w:rPr>
        <w:t>年</w:t>
      </w:r>
      <w:r>
        <w:rPr>
          <w:rFonts w:ascii="Times New Roman" w:eastAsia="宋体" w:hAnsi="Times New Roman" w:cs="Times New Roman"/>
          <w:sz w:val="24"/>
          <w:szCs w:val="28"/>
        </w:rPr>
        <w:t>12</w:t>
      </w:r>
      <w:r>
        <w:rPr>
          <w:rFonts w:ascii="Times New Roman" w:eastAsia="宋体" w:hAnsi="Times New Roman" w:cs="Times New Roman"/>
          <w:sz w:val="24"/>
          <w:szCs w:val="28"/>
        </w:rPr>
        <w:t>月</w:t>
      </w:r>
      <w:r>
        <w:rPr>
          <w:rFonts w:ascii="Times New Roman" w:eastAsia="宋体" w:hAnsi="Times New Roman" w:cs="Times New Roman"/>
          <w:sz w:val="24"/>
          <w:szCs w:val="28"/>
        </w:rPr>
        <w:t>12</w:t>
      </w:r>
      <w:r>
        <w:rPr>
          <w:rFonts w:ascii="Times New Roman" w:eastAsia="宋体" w:hAnsi="Times New Roman" w:cs="Times New Roman"/>
          <w:sz w:val="24"/>
          <w:szCs w:val="28"/>
        </w:rPr>
        <w:t>日起，我司旗下基金增加</w:t>
      </w:r>
      <w:r>
        <w:rPr>
          <w:rFonts w:ascii="Times New Roman" w:eastAsia="宋体" w:hAnsi="Times New Roman" w:cs="Times New Roman" w:hint="eastAsia"/>
          <w:sz w:val="24"/>
          <w:szCs w:val="28"/>
        </w:rPr>
        <w:t>上海万得基金销售有限公司</w:t>
      </w:r>
      <w:r>
        <w:rPr>
          <w:rFonts w:ascii="Times New Roman" w:eastAsia="宋体" w:hAnsi="Times New Roman" w:cs="Times New Roman"/>
          <w:sz w:val="24"/>
          <w:szCs w:val="28"/>
        </w:rPr>
        <w:t>为销售机构。现将有关事项公告如下</w:t>
      </w:r>
    </w:p>
    <w:p w:rsidR="00A96A71" w:rsidRDefault="00A96A71">
      <w:pPr>
        <w:spacing w:line="360" w:lineRule="auto"/>
        <w:rPr>
          <w:rFonts w:ascii="Times New Roman" w:eastAsia="宋体" w:hAnsi="Times New Roman" w:cs="Times New Roman"/>
          <w:sz w:val="24"/>
          <w:szCs w:val="28"/>
        </w:rPr>
      </w:pPr>
    </w:p>
    <w:p w:rsidR="00A96A71" w:rsidRDefault="008047B9">
      <w:pPr>
        <w:pStyle w:val="ac"/>
        <w:numPr>
          <w:ilvl w:val="0"/>
          <w:numId w:val="1"/>
        </w:numPr>
        <w:spacing w:line="360" w:lineRule="auto"/>
        <w:ind w:firstLineChars="0"/>
        <w:rPr>
          <w:rFonts w:ascii="Times New Roman" w:eastAsia="宋体" w:hAnsi="Times New Roman" w:cs="Times New Roman"/>
          <w:b/>
          <w:sz w:val="24"/>
          <w:szCs w:val="28"/>
        </w:rPr>
      </w:pPr>
      <w:r>
        <w:rPr>
          <w:rFonts w:ascii="Times New Roman" w:eastAsia="宋体" w:hAnsi="Times New Roman" w:cs="Times New Roman"/>
          <w:b/>
          <w:sz w:val="24"/>
          <w:szCs w:val="28"/>
        </w:rPr>
        <w:t>涉及基金及业务范围</w:t>
      </w:r>
    </w:p>
    <w:tbl>
      <w:tblPr>
        <w:tblStyle w:val="1"/>
        <w:tblW w:w="7792" w:type="dxa"/>
        <w:jc w:val="center"/>
        <w:tblLook w:val="04A0"/>
      </w:tblPr>
      <w:tblGrid>
        <w:gridCol w:w="807"/>
        <w:gridCol w:w="2486"/>
        <w:gridCol w:w="4499"/>
      </w:tblGrid>
      <w:tr w:rsidR="00A96A71">
        <w:trPr>
          <w:trHeight w:val="503"/>
          <w:jc w:val="center"/>
        </w:trPr>
        <w:tc>
          <w:tcPr>
            <w:tcW w:w="807" w:type="dxa"/>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序号</w:t>
            </w:r>
          </w:p>
        </w:tc>
        <w:tc>
          <w:tcPr>
            <w:tcW w:w="2486" w:type="dxa"/>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基金代码</w:t>
            </w:r>
          </w:p>
        </w:tc>
        <w:tc>
          <w:tcPr>
            <w:tcW w:w="4499" w:type="dxa"/>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基金名称</w:t>
            </w:r>
          </w:p>
        </w:tc>
      </w:tr>
      <w:tr w:rsidR="00A96A71">
        <w:trPr>
          <w:trHeight w:val="297"/>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1</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009644</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东方阿尔法优势产业混合型发起式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A96A71">
        <w:trPr>
          <w:trHeight w:val="503"/>
          <w:jc w:val="center"/>
        </w:trPr>
        <w:tc>
          <w:tcPr>
            <w:tcW w:w="807" w:type="dxa"/>
            <w:vMerge/>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w:t>
            </w:r>
            <w:r>
              <w:rPr>
                <w:rFonts w:ascii="Times New Roman" w:eastAsia="宋体" w:hAnsi="Times New Roman" w:cs="Times New Roman"/>
                <w:sz w:val="24"/>
                <w:szCs w:val="28"/>
              </w:rPr>
              <w:t>5</w:t>
            </w:r>
          </w:p>
        </w:tc>
        <w:tc>
          <w:tcPr>
            <w:tcW w:w="4499" w:type="dxa"/>
            <w:vMerge/>
            <w:vAlign w:val="center"/>
          </w:tcPr>
          <w:p w:rsidR="00A96A71" w:rsidRDefault="00A96A71">
            <w:pPr>
              <w:spacing w:line="360" w:lineRule="auto"/>
              <w:jc w:val="center"/>
              <w:rPr>
                <w:rFonts w:ascii="Times New Roman" w:eastAsia="宋体" w:hAnsi="Times New Roman" w:cs="Times New Roman"/>
                <w:b/>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2</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11184</w:t>
            </w:r>
          </w:p>
        </w:tc>
        <w:tc>
          <w:tcPr>
            <w:tcW w:w="4499" w:type="dxa"/>
            <w:vMerge w:val="restart"/>
            <w:vAlign w:val="center"/>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招阳</w:t>
            </w:r>
            <w:r>
              <w:rPr>
                <w:rFonts w:ascii="Times New Roman" w:eastAsia="宋体" w:hAnsi="Times New Roman" w:cs="Times New Roman"/>
                <w:sz w:val="24"/>
                <w:szCs w:val="28"/>
              </w:rPr>
              <w:t>混合型证券投资基金</w:t>
            </w:r>
          </w:p>
        </w:tc>
      </w:tr>
      <w:tr w:rsidR="00A96A71">
        <w:trPr>
          <w:trHeight w:val="503"/>
          <w:jc w:val="center"/>
        </w:trPr>
        <w:tc>
          <w:tcPr>
            <w:tcW w:w="807" w:type="dxa"/>
            <w:vMerge/>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E</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w:t>
            </w:r>
            <w:r>
              <w:rPr>
                <w:rFonts w:ascii="Times New Roman" w:eastAsia="宋体" w:hAnsi="Times New Roman" w:cs="Times New Roman"/>
                <w:sz w:val="24"/>
                <w:szCs w:val="28"/>
              </w:rPr>
              <w:t>7889</w:t>
            </w:r>
          </w:p>
        </w:tc>
        <w:tc>
          <w:tcPr>
            <w:tcW w:w="4499" w:type="dxa"/>
            <w:vMerge/>
            <w:vAlign w:val="center"/>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3</w:t>
            </w:r>
          </w:p>
        </w:tc>
        <w:tc>
          <w:tcPr>
            <w:tcW w:w="2486" w:type="dxa"/>
            <w:vAlign w:val="center"/>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011704</w:t>
            </w:r>
          </w:p>
        </w:tc>
        <w:tc>
          <w:tcPr>
            <w:tcW w:w="4499" w:type="dxa"/>
            <w:vMerge w:val="restart"/>
            <w:vAlign w:val="center"/>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产业先锋</w:t>
            </w:r>
            <w:r>
              <w:rPr>
                <w:rFonts w:ascii="Times New Roman" w:eastAsia="宋体" w:hAnsi="Times New Roman" w:cs="Times New Roman"/>
                <w:sz w:val="24"/>
                <w:szCs w:val="28"/>
              </w:rPr>
              <w:t>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A96A71">
        <w:trPr>
          <w:trHeight w:val="503"/>
          <w:jc w:val="center"/>
        </w:trPr>
        <w:tc>
          <w:tcPr>
            <w:tcW w:w="807" w:type="dxa"/>
            <w:vMerge/>
          </w:tcPr>
          <w:p w:rsidR="00A96A71" w:rsidRDefault="00A96A71">
            <w:pPr>
              <w:spacing w:line="360" w:lineRule="auto"/>
              <w:jc w:val="center"/>
              <w:rPr>
                <w:rFonts w:ascii="Times New Roman" w:eastAsia="宋体" w:hAnsi="Times New Roman" w:cs="Times New Roman"/>
                <w:sz w:val="24"/>
                <w:szCs w:val="28"/>
              </w:rPr>
            </w:pPr>
          </w:p>
        </w:tc>
        <w:tc>
          <w:tcPr>
            <w:tcW w:w="2486" w:type="dxa"/>
            <w:vAlign w:val="center"/>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011705</w:t>
            </w:r>
          </w:p>
        </w:tc>
        <w:tc>
          <w:tcPr>
            <w:tcW w:w="4499" w:type="dxa"/>
            <w:vMerge/>
            <w:vAlign w:val="center"/>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4</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014841</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东方阿尔法医疗健康混合型发起式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w:t>
            </w:r>
            <w:r>
              <w:rPr>
                <w:rFonts w:ascii="Times New Roman" w:eastAsia="宋体" w:hAnsi="Times New Roman" w:cs="Times New Roman"/>
                <w:sz w:val="24"/>
                <w:szCs w:val="28"/>
              </w:rPr>
              <w:t>2</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5</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005358</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东方阿尔法精选灵活配置混合型发起式证券投资基金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00535</w:t>
            </w:r>
            <w:r>
              <w:rPr>
                <w:rFonts w:ascii="Times New Roman" w:eastAsia="宋体" w:hAnsi="Times New Roman" w:cs="Times New Roman"/>
                <w:sz w:val="24"/>
                <w:szCs w:val="28"/>
              </w:rPr>
              <w:t>9</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6</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00751</w:t>
            </w:r>
            <w:r>
              <w:rPr>
                <w:rFonts w:ascii="Times New Roman" w:eastAsia="宋体" w:hAnsi="Times New Roman" w:cs="Times New Roman"/>
                <w:sz w:val="24"/>
                <w:szCs w:val="28"/>
              </w:rPr>
              <w:t>8</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东方阿尔法优选混合型发起式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00751</w:t>
            </w:r>
            <w:r>
              <w:rPr>
                <w:rFonts w:ascii="Times New Roman" w:eastAsia="宋体" w:hAnsi="Times New Roman" w:cs="Times New Roman"/>
                <w:sz w:val="24"/>
                <w:szCs w:val="28"/>
              </w:rPr>
              <w:t>9</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7</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015900</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东方阿尔法兴科一年持有期混合型</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w:t>
            </w:r>
            <w:r>
              <w:rPr>
                <w:rFonts w:ascii="Times New Roman" w:eastAsia="宋体" w:hAnsi="Times New Roman" w:cs="Times New Roman"/>
                <w:sz w:val="24"/>
                <w:szCs w:val="28"/>
              </w:rPr>
              <w:t>15901</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8</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w:t>
            </w:r>
            <w:r>
              <w:rPr>
                <w:rFonts w:ascii="Times New Roman" w:eastAsia="宋体" w:hAnsi="Times New Roman" w:cs="Times New Roman"/>
                <w:sz w:val="24"/>
                <w:szCs w:val="28"/>
              </w:rPr>
              <w:t>8362</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东方阿尔法瑞丰混合型发起式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w:t>
            </w:r>
            <w:r>
              <w:rPr>
                <w:rFonts w:ascii="Times New Roman" w:eastAsia="宋体" w:hAnsi="Times New Roman" w:cs="Times New Roman"/>
                <w:sz w:val="24"/>
                <w:szCs w:val="28"/>
              </w:rPr>
              <w:t>18363</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9</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024423</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东方阿尔法科技优选混合型发起式证券投资基金基金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024424</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lastRenderedPageBreak/>
              <w:t>1</w:t>
            </w:r>
            <w:r>
              <w:rPr>
                <w:rFonts w:ascii="Times New Roman" w:eastAsia="宋体" w:hAnsi="Times New Roman" w:cs="Times New Roman"/>
                <w:b/>
                <w:sz w:val="24"/>
                <w:szCs w:val="28"/>
              </w:rPr>
              <w:t>0</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024357</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东方阿尔法健康产业混合型发起式证券投资基金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024358</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r>
              <w:rPr>
                <w:rFonts w:ascii="Times New Roman" w:eastAsia="宋体" w:hAnsi="Times New Roman" w:cs="Times New Roman"/>
                <w:b/>
                <w:sz w:val="24"/>
                <w:szCs w:val="28"/>
              </w:rPr>
              <w:t>1</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025499</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东方阿尔法科技智选混合型发起式证券投资基金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025500</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r>
              <w:rPr>
                <w:rFonts w:ascii="Times New Roman" w:eastAsia="宋体" w:hAnsi="Times New Roman" w:cs="Times New Roman"/>
                <w:b/>
                <w:sz w:val="24"/>
                <w:szCs w:val="28"/>
              </w:rPr>
              <w:t>2</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025777</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东方阿尔法瑞享混合型发起式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025778</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r w:rsidR="00A96A71">
        <w:trPr>
          <w:trHeight w:val="503"/>
          <w:jc w:val="center"/>
        </w:trPr>
        <w:tc>
          <w:tcPr>
            <w:tcW w:w="807" w:type="dxa"/>
            <w:vMerge w:val="restart"/>
            <w:vAlign w:val="center"/>
          </w:tcPr>
          <w:p w:rsidR="00A96A71" w:rsidRDefault="008047B9">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r>
              <w:rPr>
                <w:rFonts w:ascii="Times New Roman" w:eastAsia="宋体" w:hAnsi="Times New Roman" w:cs="Times New Roman"/>
                <w:b/>
                <w:sz w:val="24"/>
                <w:szCs w:val="28"/>
              </w:rPr>
              <w:t>3</w:t>
            </w: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025792</w:t>
            </w:r>
          </w:p>
        </w:tc>
        <w:tc>
          <w:tcPr>
            <w:tcW w:w="4499" w:type="dxa"/>
            <w:vMerge w:val="restart"/>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东方阿尔法科技甄选混合型发起式</w:t>
            </w:r>
          </w:p>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A96A71">
        <w:trPr>
          <w:trHeight w:val="503"/>
          <w:jc w:val="center"/>
        </w:trPr>
        <w:tc>
          <w:tcPr>
            <w:tcW w:w="807" w:type="dxa"/>
            <w:vMerge/>
            <w:vAlign w:val="center"/>
          </w:tcPr>
          <w:p w:rsidR="00A96A71" w:rsidRDefault="00A96A71">
            <w:pPr>
              <w:spacing w:line="360" w:lineRule="auto"/>
              <w:jc w:val="center"/>
              <w:rPr>
                <w:rFonts w:ascii="Times New Roman" w:eastAsia="宋体" w:hAnsi="Times New Roman" w:cs="Times New Roman"/>
                <w:b/>
                <w:sz w:val="24"/>
                <w:szCs w:val="28"/>
              </w:rPr>
            </w:pPr>
          </w:p>
        </w:tc>
        <w:tc>
          <w:tcPr>
            <w:tcW w:w="2486" w:type="dxa"/>
          </w:tcPr>
          <w:p w:rsidR="00A96A71" w:rsidRDefault="008047B9">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025793</w:t>
            </w:r>
          </w:p>
        </w:tc>
        <w:tc>
          <w:tcPr>
            <w:tcW w:w="4499" w:type="dxa"/>
            <w:vMerge/>
          </w:tcPr>
          <w:p w:rsidR="00A96A71" w:rsidRDefault="00A96A71">
            <w:pPr>
              <w:spacing w:line="360" w:lineRule="auto"/>
              <w:jc w:val="center"/>
              <w:rPr>
                <w:rFonts w:ascii="Times New Roman" w:eastAsia="宋体" w:hAnsi="Times New Roman" w:cs="Times New Roman"/>
                <w:sz w:val="24"/>
                <w:szCs w:val="28"/>
              </w:rPr>
            </w:pPr>
          </w:p>
        </w:tc>
      </w:tr>
    </w:tbl>
    <w:p w:rsidR="00A96A71" w:rsidRDefault="00A96A71">
      <w:pPr>
        <w:spacing w:line="360" w:lineRule="auto"/>
        <w:ind w:left="482"/>
        <w:rPr>
          <w:rFonts w:ascii="Times New Roman" w:eastAsia="宋体" w:hAnsi="Times New Roman" w:cs="Times New Roman"/>
          <w:b/>
          <w:sz w:val="24"/>
          <w:szCs w:val="28"/>
        </w:rPr>
      </w:pPr>
    </w:p>
    <w:p w:rsidR="00A96A71" w:rsidRDefault="008047B9">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投资人可按照上海万得基金销售有限公司提供的方式办理上述基金的开户、申购、赎回、转换及定投业务。具体业务办理规则请遵循上海万得基金销售有限公司的相关规定。</w:t>
      </w:r>
    </w:p>
    <w:p w:rsidR="00A96A71" w:rsidRDefault="00A96A71">
      <w:pPr>
        <w:spacing w:line="360" w:lineRule="auto"/>
        <w:rPr>
          <w:rFonts w:ascii="Times New Roman" w:eastAsia="宋体" w:hAnsi="Times New Roman" w:cs="Times New Roman"/>
          <w:b/>
          <w:sz w:val="24"/>
          <w:szCs w:val="28"/>
        </w:rPr>
      </w:pPr>
    </w:p>
    <w:p w:rsidR="00A96A71" w:rsidRDefault="008047B9">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二、重要提示</w:t>
      </w:r>
    </w:p>
    <w:p w:rsidR="00A96A71" w:rsidRDefault="008047B9">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、上述</w:t>
      </w:r>
      <w:r>
        <w:rPr>
          <w:rFonts w:ascii="Times New Roman" w:eastAsia="宋体" w:hAnsi="Times New Roman" w:cs="Times New Roman" w:hint="eastAsia"/>
          <w:sz w:val="24"/>
          <w:szCs w:val="28"/>
        </w:rPr>
        <w:t>申</w:t>
      </w:r>
      <w:r>
        <w:rPr>
          <w:rFonts w:ascii="Times New Roman" w:eastAsia="宋体" w:hAnsi="Times New Roman" w:cs="Times New Roman"/>
          <w:sz w:val="24"/>
          <w:szCs w:val="28"/>
        </w:rPr>
        <w:t>购</w:t>
      </w:r>
      <w:r>
        <w:rPr>
          <w:rFonts w:ascii="Times New Roman" w:eastAsia="宋体" w:hAnsi="Times New Roman" w:cs="Times New Roman"/>
          <w:sz w:val="24"/>
          <w:szCs w:val="28"/>
        </w:rPr>
        <w:t>/</w:t>
      </w:r>
      <w:r>
        <w:rPr>
          <w:rFonts w:ascii="Times New Roman" w:eastAsia="宋体" w:hAnsi="Times New Roman" w:cs="Times New Roman"/>
          <w:sz w:val="24"/>
          <w:szCs w:val="28"/>
        </w:rPr>
        <w:t>赎回业务仅适用于处于正常申购、赎回开放日和开放时间的基金。基金封闭期等特殊期间的有关规定详见对应基金的《基金合同》</w:t>
      </w:r>
      <w:r>
        <w:rPr>
          <w:rFonts w:ascii="Times New Roman" w:eastAsia="宋体" w:hAnsi="Times New Roman" w:cs="Times New Roman" w:hint="eastAsia"/>
          <w:sz w:val="24"/>
          <w:szCs w:val="28"/>
        </w:rPr>
        <w:t>、</w:t>
      </w:r>
      <w:r>
        <w:rPr>
          <w:rFonts w:ascii="Times New Roman" w:eastAsia="宋体" w:hAnsi="Times New Roman" w:cs="Times New Roman"/>
          <w:sz w:val="24"/>
          <w:szCs w:val="28"/>
        </w:rPr>
        <w:t>《招募说明书》及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等法律文件及本公司发布的最新业务公告。</w:t>
      </w:r>
    </w:p>
    <w:p w:rsidR="00A96A71" w:rsidRDefault="008047B9">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、投资者应认真阅读拟投资基金的《基金合同》、《招募说明书》及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等法律文件，了解所投资基金的风险收益特征，并根据自身情况购买与本人风险承受能力相匹配的产品。</w:t>
      </w:r>
    </w:p>
    <w:p w:rsidR="00A96A71" w:rsidRDefault="008047B9">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3</w:t>
      </w:r>
      <w:r>
        <w:rPr>
          <w:rFonts w:ascii="Times New Roman" w:eastAsia="宋体" w:hAnsi="Times New Roman" w:cs="Times New Roman" w:hint="eastAsia"/>
          <w:sz w:val="24"/>
          <w:szCs w:val="28"/>
        </w:rPr>
        <w:t>、投资者通过</w:t>
      </w:r>
      <w:r>
        <w:rPr>
          <w:rFonts w:ascii="Times New Roman" w:eastAsia="宋体" w:hAnsi="Times New Roman" w:cs="Times New Roman"/>
          <w:sz w:val="24"/>
          <w:szCs w:val="28"/>
        </w:rPr>
        <w:t>上海万得基金销售有限公司申购</w:t>
      </w:r>
      <w:r>
        <w:rPr>
          <w:rFonts w:ascii="Times New Roman" w:eastAsia="宋体" w:hAnsi="Times New Roman" w:cs="Times New Roman" w:hint="eastAsia"/>
          <w:sz w:val="24"/>
          <w:szCs w:val="28"/>
        </w:rPr>
        <w:t>（包含</w:t>
      </w:r>
      <w:r>
        <w:rPr>
          <w:rFonts w:ascii="Times New Roman" w:eastAsia="宋体" w:hAnsi="Times New Roman" w:cs="Times New Roman"/>
          <w:sz w:val="24"/>
          <w:szCs w:val="28"/>
        </w:rPr>
        <w:t>定期定额投资</w:t>
      </w:r>
      <w:r>
        <w:rPr>
          <w:rFonts w:ascii="Times New Roman" w:eastAsia="宋体" w:hAnsi="Times New Roman" w:cs="Times New Roman" w:hint="eastAsia"/>
          <w:sz w:val="24"/>
          <w:szCs w:val="28"/>
        </w:rPr>
        <w:t>、转换转入）我司上述基金，前端申购费率</w:t>
      </w:r>
      <w:r>
        <w:rPr>
          <w:rFonts w:ascii="Times New Roman" w:eastAsia="宋体" w:hAnsi="Times New Roman" w:cs="Times New Roman"/>
          <w:sz w:val="24"/>
          <w:szCs w:val="28"/>
        </w:rPr>
        <w:t>实行的费率优惠政策</w:t>
      </w:r>
      <w:r>
        <w:rPr>
          <w:rFonts w:ascii="Times New Roman" w:eastAsia="宋体" w:hAnsi="Times New Roman" w:cs="Times New Roman" w:hint="eastAsia"/>
          <w:sz w:val="24"/>
          <w:szCs w:val="28"/>
        </w:rPr>
        <w:t>以</w:t>
      </w:r>
      <w:r>
        <w:rPr>
          <w:rFonts w:ascii="Times New Roman" w:eastAsia="宋体" w:hAnsi="Times New Roman" w:cs="Times New Roman"/>
          <w:sz w:val="24"/>
          <w:szCs w:val="28"/>
        </w:rPr>
        <w:t>上海万得基金销售有限公司</w:t>
      </w:r>
      <w:r>
        <w:rPr>
          <w:rFonts w:ascii="Times New Roman" w:eastAsia="宋体" w:hAnsi="Times New Roman" w:cs="Times New Roman" w:hint="eastAsia"/>
          <w:sz w:val="24"/>
          <w:szCs w:val="28"/>
        </w:rPr>
        <w:t>官方网站公告为准，我司将不再另行通知。</w:t>
      </w:r>
    </w:p>
    <w:p w:rsidR="00A96A71" w:rsidRDefault="00A96A71">
      <w:pPr>
        <w:spacing w:line="360" w:lineRule="auto"/>
        <w:ind w:firstLine="510"/>
        <w:rPr>
          <w:rFonts w:ascii="Times New Roman" w:eastAsia="宋体" w:hAnsi="Times New Roman" w:cs="Times New Roman"/>
          <w:sz w:val="24"/>
          <w:szCs w:val="28"/>
        </w:rPr>
      </w:pPr>
    </w:p>
    <w:p w:rsidR="00A96A71" w:rsidRDefault="008047B9">
      <w:pPr>
        <w:spacing w:line="360" w:lineRule="auto"/>
        <w:ind w:firstLineChars="150" w:firstLine="361"/>
        <w:rPr>
          <w:rFonts w:ascii="Times New Roman" w:eastAsia="宋体" w:hAnsi="Times New Roman" w:cs="Times New Roman"/>
          <w:sz w:val="24"/>
          <w:szCs w:val="28"/>
        </w:rPr>
      </w:pPr>
      <w:r>
        <w:rPr>
          <w:rFonts w:ascii="Times New Roman" w:eastAsia="宋体" w:hAnsi="Times New Roman" w:cs="Times New Roman" w:hint="eastAsia"/>
          <w:b/>
          <w:sz w:val="24"/>
          <w:szCs w:val="28"/>
        </w:rPr>
        <w:t>三</w:t>
      </w:r>
      <w:r>
        <w:rPr>
          <w:rFonts w:ascii="Times New Roman" w:eastAsia="宋体" w:hAnsi="Times New Roman" w:cs="Times New Roman"/>
          <w:b/>
          <w:sz w:val="24"/>
          <w:szCs w:val="28"/>
        </w:rPr>
        <w:t>、投资人可通过以下途径了解或咨询相关情况</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、上海万得基金销售有限公司</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客服电话</w:t>
      </w:r>
      <w:r>
        <w:rPr>
          <w:rFonts w:ascii="Times New Roman" w:eastAsia="宋体" w:hAnsi="Times New Roman" w:cs="Times New Roman" w:hint="eastAsia"/>
          <w:sz w:val="24"/>
          <w:szCs w:val="28"/>
        </w:rPr>
        <w:t>：</w:t>
      </w:r>
      <w:r>
        <w:rPr>
          <w:rFonts w:ascii="Times New Roman" w:eastAsia="宋体" w:hAnsi="Times New Roman" w:cs="Times New Roman"/>
          <w:sz w:val="24"/>
          <w:szCs w:val="28"/>
        </w:rPr>
        <w:t>021-5</w:t>
      </w:r>
      <w:bookmarkStart w:id="0" w:name="_GoBack"/>
      <w:bookmarkEnd w:id="0"/>
      <w:r>
        <w:rPr>
          <w:rFonts w:ascii="Times New Roman" w:eastAsia="宋体" w:hAnsi="Times New Roman" w:cs="Times New Roman"/>
          <w:sz w:val="24"/>
          <w:szCs w:val="28"/>
        </w:rPr>
        <w:t>0712782</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网址：</w:t>
      </w:r>
      <w:r>
        <w:rPr>
          <w:rFonts w:ascii="Times New Roman" w:eastAsia="宋体" w:hAnsi="Times New Roman" w:cs="Times New Roman" w:hint="eastAsia"/>
          <w:sz w:val="24"/>
          <w:szCs w:val="28"/>
        </w:rPr>
        <w:t>www.520fund.com.cn</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东方阿尔法基金管理有限公司</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lastRenderedPageBreak/>
        <w:t>客服电话：</w:t>
      </w:r>
      <w:r>
        <w:rPr>
          <w:rFonts w:ascii="Times New Roman" w:eastAsia="宋体" w:hAnsi="Times New Roman" w:cs="Times New Roman"/>
          <w:sz w:val="24"/>
          <w:szCs w:val="28"/>
        </w:rPr>
        <w:t>400-930-6677</w:t>
      </w:r>
    </w:p>
    <w:p w:rsidR="00A96A71" w:rsidRDefault="008047B9">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网址：</w:t>
      </w:r>
      <w:hyperlink r:id="rId9" w:history="1">
        <w:r>
          <w:rPr>
            <w:rFonts w:ascii="Times New Roman" w:eastAsia="宋体" w:hAnsi="Times New Roman" w:cs="Times New Roman"/>
            <w:sz w:val="24"/>
            <w:szCs w:val="28"/>
          </w:rPr>
          <w:t>www.dfa66.com</w:t>
        </w:r>
      </w:hyperlink>
    </w:p>
    <w:p w:rsidR="00A96A71" w:rsidRDefault="00A96A71">
      <w:pPr>
        <w:spacing w:line="360" w:lineRule="auto"/>
        <w:ind w:firstLineChars="200" w:firstLine="480"/>
        <w:rPr>
          <w:rFonts w:ascii="Times New Roman" w:eastAsia="宋体" w:hAnsi="Times New Roman" w:cs="Times New Roman"/>
          <w:sz w:val="24"/>
          <w:szCs w:val="28"/>
        </w:rPr>
      </w:pPr>
    </w:p>
    <w:p w:rsidR="00A96A71" w:rsidRDefault="008047B9">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Pr>
          <w:rFonts w:ascii="Times New Roman" w:eastAsia="宋体" w:hAnsi="Times New Roman" w:cs="Times New Roman"/>
          <w:b/>
          <w:sz w:val="24"/>
          <w:szCs w:val="28"/>
        </w:rPr>
        <w:t>、风险提示</w:t>
      </w:r>
    </w:p>
    <w:p w:rsidR="00A96A71" w:rsidRDefault="008047B9">
      <w:pPr>
        <w:spacing w:line="360" w:lineRule="auto"/>
        <w:ind w:firstLine="510"/>
        <w:rPr>
          <w:rFonts w:ascii="Times New Roman" w:eastAsia="宋体" w:hAnsi="Times New Roman" w:cs="Times New Roman"/>
          <w:sz w:val="24"/>
          <w:szCs w:val="28"/>
        </w:rPr>
      </w:pPr>
      <w:r>
        <w:rPr>
          <w:rFonts w:ascii="Times New Roman" w:eastAsia="宋体" w:hAnsi="Times New Roman" w:cs="Times New Roman" w:hint="eastAsia"/>
          <w:sz w:val="24"/>
          <w:szCs w:val="28"/>
        </w:rPr>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rsidR="00A96A71" w:rsidRDefault="008047B9">
      <w:pPr>
        <w:spacing w:line="360" w:lineRule="auto"/>
        <w:ind w:firstLineChars="250" w:firstLine="600"/>
        <w:rPr>
          <w:rFonts w:ascii="Times New Roman" w:eastAsia="宋体" w:hAnsi="Times New Roman" w:cs="Times New Roman"/>
          <w:sz w:val="24"/>
          <w:szCs w:val="28"/>
        </w:rPr>
      </w:pPr>
      <w:r>
        <w:rPr>
          <w:rFonts w:ascii="Times New Roman" w:eastAsia="宋体" w:hAnsi="Times New Roman" w:cs="Times New Roman"/>
          <w:sz w:val="24"/>
          <w:szCs w:val="28"/>
        </w:rPr>
        <w:t>特此公告。</w:t>
      </w:r>
    </w:p>
    <w:p w:rsidR="00A96A71" w:rsidRDefault="00A96A71">
      <w:pPr>
        <w:spacing w:line="360" w:lineRule="auto"/>
        <w:jc w:val="right"/>
        <w:rPr>
          <w:rFonts w:ascii="Times New Roman" w:eastAsia="宋体" w:hAnsi="Times New Roman" w:cs="Times New Roman"/>
          <w:sz w:val="24"/>
          <w:szCs w:val="28"/>
        </w:rPr>
      </w:pPr>
    </w:p>
    <w:p w:rsidR="00A96A71" w:rsidRDefault="008047B9">
      <w:pPr>
        <w:spacing w:line="360" w:lineRule="auto"/>
        <w:jc w:val="right"/>
        <w:rPr>
          <w:rFonts w:ascii="Times New Roman" w:eastAsia="宋体" w:hAnsi="Times New Roman" w:cs="Times New Roman"/>
          <w:sz w:val="24"/>
          <w:szCs w:val="28"/>
        </w:rPr>
      </w:pPr>
      <w:r>
        <w:rPr>
          <w:rFonts w:ascii="Times New Roman" w:eastAsia="宋体" w:hAnsi="Times New Roman" w:cs="Times New Roman"/>
          <w:sz w:val="24"/>
          <w:szCs w:val="28"/>
        </w:rPr>
        <w:t>东方阿尔法基金管理有限公司</w:t>
      </w:r>
    </w:p>
    <w:p w:rsidR="00A96A71" w:rsidRDefault="008047B9">
      <w:pPr>
        <w:spacing w:line="360" w:lineRule="auto"/>
        <w:ind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 xml:space="preserve">                              </w:t>
      </w:r>
      <w:r>
        <w:rPr>
          <w:rFonts w:ascii="Times New Roman" w:eastAsia="宋体" w:hAnsi="Times New Roman" w:cs="Times New Roman"/>
          <w:sz w:val="24"/>
          <w:szCs w:val="28"/>
        </w:rPr>
        <w:t xml:space="preserve">          2025</w:t>
      </w:r>
      <w:r>
        <w:rPr>
          <w:rFonts w:ascii="Times New Roman" w:eastAsia="宋体" w:hAnsi="Times New Roman" w:cs="Times New Roman"/>
          <w:sz w:val="24"/>
          <w:szCs w:val="28"/>
        </w:rPr>
        <w:t>年</w:t>
      </w:r>
      <w:r>
        <w:rPr>
          <w:rFonts w:ascii="Times New Roman" w:eastAsia="宋体" w:hAnsi="Times New Roman" w:cs="Times New Roman"/>
          <w:sz w:val="24"/>
          <w:szCs w:val="28"/>
        </w:rPr>
        <w:t>12</w:t>
      </w:r>
      <w:r>
        <w:rPr>
          <w:rFonts w:ascii="Times New Roman" w:eastAsia="宋体" w:hAnsi="Times New Roman" w:cs="Times New Roman"/>
          <w:sz w:val="24"/>
          <w:szCs w:val="28"/>
        </w:rPr>
        <w:t>月</w:t>
      </w:r>
      <w:r>
        <w:rPr>
          <w:rFonts w:ascii="Times New Roman" w:eastAsia="宋体" w:hAnsi="Times New Roman" w:cs="Times New Roman"/>
          <w:sz w:val="24"/>
          <w:szCs w:val="28"/>
        </w:rPr>
        <w:t>12</w:t>
      </w:r>
      <w:r>
        <w:rPr>
          <w:rFonts w:ascii="Times New Roman" w:eastAsia="宋体" w:hAnsi="Times New Roman" w:cs="Times New Roman"/>
          <w:sz w:val="24"/>
          <w:szCs w:val="28"/>
        </w:rPr>
        <w:t>日</w:t>
      </w:r>
    </w:p>
    <w:sectPr w:rsidR="00A96A71" w:rsidSect="00A96A7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A71" w:rsidRDefault="00A96A71" w:rsidP="00A96A71">
      <w:r>
        <w:separator/>
      </w:r>
    </w:p>
  </w:endnote>
  <w:endnote w:type="continuationSeparator" w:id="0">
    <w:p w:rsidR="00A96A71" w:rsidRDefault="00A96A71" w:rsidP="00A96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A71" w:rsidRDefault="00A96A71" w:rsidP="00A96A71">
      <w:r>
        <w:separator/>
      </w:r>
    </w:p>
  </w:footnote>
  <w:footnote w:type="continuationSeparator" w:id="0">
    <w:p w:rsidR="00A96A71" w:rsidRDefault="00A96A71" w:rsidP="00A96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71" w:rsidRDefault="008047B9">
    <w:pPr>
      <w:pStyle w:val="a6"/>
      <w:ind w:firstLineChars="50" w:firstLine="90"/>
      <w:jc w:val="left"/>
    </w:pPr>
    <w:r>
      <w:rPr>
        <w:rFonts w:hint="eastAsia"/>
      </w:rPr>
      <w:t xml:space="preserve"> </w:t>
    </w:r>
    <w:r>
      <w:rPr>
        <w:rFonts w:hint="eastAsia"/>
        <w:noProof/>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35DB6"/>
    <w:multiLevelType w:val="multilevel"/>
    <w:tmpl w:val="62035DB6"/>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U2MzJhZDllMzY3MzFiYjIzZTcxZjlhYjM0M2NmMzMifQ=="/>
  </w:docVars>
  <w:rsids>
    <w:rsidRoot w:val="0025679D"/>
    <w:rsid w:val="00003DAC"/>
    <w:rsid w:val="0001092F"/>
    <w:rsid w:val="0002411E"/>
    <w:rsid w:val="0004177D"/>
    <w:rsid w:val="000606F2"/>
    <w:rsid w:val="000612A7"/>
    <w:rsid w:val="000644F4"/>
    <w:rsid w:val="0008268A"/>
    <w:rsid w:val="000844DF"/>
    <w:rsid w:val="000924B6"/>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07AFD"/>
    <w:rsid w:val="00233424"/>
    <w:rsid w:val="002354CC"/>
    <w:rsid w:val="00244766"/>
    <w:rsid w:val="0025679D"/>
    <w:rsid w:val="002627FE"/>
    <w:rsid w:val="00263B66"/>
    <w:rsid w:val="0027383A"/>
    <w:rsid w:val="00277A25"/>
    <w:rsid w:val="00280A1D"/>
    <w:rsid w:val="002912F5"/>
    <w:rsid w:val="00296911"/>
    <w:rsid w:val="002A3043"/>
    <w:rsid w:val="002D16FC"/>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533A5"/>
    <w:rsid w:val="0046583E"/>
    <w:rsid w:val="004770D0"/>
    <w:rsid w:val="004A3592"/>
    <w:rsid w:val="004C4731"/>
    <w:rsid w:val="004C4B36"/>
    <w:rsid w:val="004C6EF2"/>
    <w:rsid w:val="00511D40"/>
    <w:rsid w:val="00531C50"/>
    <w:rsid w:val="00540974"/>
    <w:rsid w:val="005457C3"/>
    <w:rsid w:val="00561956"/>
    <w:rsid w:val="005630A5"/>
    <w:rsid w:val="00563445"/>
    <w:rsid w:val="00565BBF"/>
    <w:rsid w:val="005752AE"/>
    <w:rsid w:val="00593387"/>
    <w:rsid w:val="005C5A73"/>
    <w:rsid w:val="005D2601"/>
    <w:rsid w:val="005F15FA"/>
    <w:rsid w:val="005F3399"/>
    <w:rsid w:val="006004E2"/>
    <w:rsid w:val="00616902"/>
    <w:rsid w:val="006654FB"/>
    <w:rsid w:val="006675D3"/>
    <w:rsid w:val="00674B31"/>
    <w:rsid w:val="0067558A"/>
    <w:rsid w:val="00694722"/>
    <w:rsid w:val="006A55B1"/>
    <w:rsid w:val="006B021A"/>
    <w:rsid w:val="006C0F60"/>
    <w:rsid w:val="006D1327"/>
    <w:rsid w:val="006E28A4"/>
    <w:rsid w:val="006F1A9F"/>
    <w:rsid w:val="006F467A"/>
    <w:rsid w:val="006F5807"/>
    <w:rsid w:val="00701039"/>
    <w:rsid w:val="00706FB1"/>
    <w:rsid w:val="00717ABB"/>
    <w:rsid w:val="00723453"/>
    <w:rsid w:val="007358D7"/>
    <w:rsid w:val="00745385"/>
    <w:rsid w:val="00745A69"/>
    <w:rsid w:val="00745BD9"/>
    <w:rsid w:val="00761DBB"/>
    <w:rsid w:val="007675D9"/>
    <w:rsid w:val="00770919"/>
    <w:rsid w:val="00773CE1"/>
    <w:rsid w:val="00774FFA"/>
    <w:rsid w:val="00782739"/>
    <w:rsid w:val="00787CBE"/>
    <w:rsid w:val="007946E0"/>
    <w:rsid w:val="007A24CC"/>
    <w:rsid w:val="007C20E6"/>
    <w:rsid w:val="007C65C6"/>
    <w:rsid w:val="007D0E94"/>
    <w:rsid w:val="007E2506"/>
    <w:rsid w:val="007F6FEB"/>
    <w:rsid w:val="008047B9"/>
    <w:rsid w:val="0081719F"/>
    <w:rsid w:val="008255E3"/>
    <w:rsid w:val="00830F96"/>
    <w:rsid w:val="00881A92"/>
    <w:rsid w:val="00881FB9"/>
    <w:rsid w:val="008B6DA8"/>
    <w:rsid w:val="008D1191"/>
    <w:rsid w:val="009254A9"/>
    <w:rsid w:val="00927530"/>
    <w:rsid w:val="009355DF"/>
    <w:rsid w:val="00990AA2"/>
    <w:rsid w:val="009960EC"/>
    <w:rsid w:val="009A5D4B"/>
    <w:rsid w:val="009C69A0"/>
    <w:rsid w:val="009D7753"/>
    <w:rsid w:val="009E1B49"/>
    <w:rsid w:val="009F553D"/>
    <w:rsid w:val="009F6A81"/>
    <w:rsid w:val="00A0161D"/>
    <w:rsid w:val="00A06F43"/>
    <w:rsid w:val="00A242B0"/>
    <w:rsid w:val="00A32C2A"/>
    <w:rsid w:val="00A44B64"/>
    <w:rsid w:val="00A4651D"/>
    <w:rsid w:val="00A52734"/>
    <w:rsid w:val="00A543BF"/>
    <w:rsid w:val="00A84F6E"/>
    <w:rsid w:val="00A85092"/>
    <w:rsid w:val="00A955B7"/>
    <w:rsid w:val="00A96A71"/>
    <w:rsid w:val="00AA68BD"/>
    <w:rsid w:val="00AC39BE"/>
    <w:rsid w:val="00AE60D9"/>
    <w:rsid w:val="00B06542"/>
    <w:rsid w:val="00B267E2"/>
    <w:rsid w:val="00B362C4"/>
    <w:rsid w:val="00B52CBC"/>
    <w:rsid w:val="00B55037"/>
    <w:rsid w:val="00B6576C"/>
    <w:rsid w:val="00B72A06"/>
    <w:rsid w:val="00B957BC"/>
    <w:rsid w:val="00BC0E97"/>
    <w:rsid w:val="00BC2CE6"/>
    <w:rsid w:val="00BC3F16"/>
    <w:rsid w:val="00C108BC"/>
    <w:rsid w:val="00C155C1"/>
    <w:rsid w:val="00C56C57"/>
    <w:rsid w:val="00C62F48"/>
    <w:rsid w:val="00C77FBC"/>
    <w:rsid w:val="00C816DA"/>
    <w:rsid w:val="00D17844"/>
    <w:rsid w:val="00D26BB9"/>
    <w:rsid w:val="00D34703"/>
    <w:rsid w:val="00D37ABA"/>
    <w:rsid w:val="00D451CB"/>
    <w:rsid w:val="00D47C80"/>
    <w:rsid w:val="00D62B52"/>
    <w:rsid w:val="00D632E2"/>
    <w:rsid w:val="00D674D1"/>
    <w:rsid w:val="00D73B10"/>
    <w:rsid w:val="00D73CFA"/>
    <w:rsid w:val="00DB2993"/>
    <w:rsid w:val="00DC4D3D"/>
    <w:rsid w:val="00DE4886"/>
    <w:rsid w:val="00DF18DD"/>
    <w:rsid w:val="00E24B23"/>
    <w:rsid w:val="00E27BD1"/>
    <w:rsid w:val="00E30B48"/>
    <w:rsid w:val="00E31013"/>
    <w:rsid w:val="00E316BF"/>
    <w:rsid w:val="00E33E14"/>
    <w:rsid w:val="00E35158"/>
    <w:rsid w:val="00E400E2"/>
    <w:rsid w:val="00E43BE3"/>
    <w:rsid w:val="00E91ABC"/>
    <w:rsid w:val="00E93EA7"/>
    <w:rsid w:val="00EA3A0B"/>
    <w:rsid w:val="00F30C2C"/>
    <w:rsid w:val="00F62750"/>
    <w:rsid w:val="00F65435"/>
    <w:rsid w:val="00F7249B"/>
    <w:rsid w:val="00FA7B21"/>
    <w:rsid w:val="00FB6C68"/>
    <w:rsid w:val="00FC4933"/>
    <w:rsid w:val="09656309"/>
    <w:rsid w:val="0BFE642C"/>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71"/>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A96A7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96A71"/>
    <w:pPr>
      <w:jc w:val="left"/>
    </w:pPr>
  </w:style>
  <w:style w:type="paragraph" w:styleId="a4">
    <w:name w:val="Balloon Text"/>
    <w:basedOn w:val="a"/>
    <w:link w:val="Char0"/>
    <w:uiPriority w:val="99"/>
    <w:semiHidden/>
    <w:unhideWhenUsed/>
    <w:rsid w:val="00A96A71"/>
    <w:rPr>
      <w:sz w:val="18"/>
      <w:szCs w:val="18"/>
    </w:rPr>
  </w:style>
  <w:style w:type="paragraph" w:styleId="a5">
    <w:name w:val="footer"/>
    <w:basedOn w:val="a"/>
    <w:link w:val="Char1"/>
    <w:uiPriority w:val="99"/>
    <w:unhideWhenUsed/>
    <w:qFormat/>
    <w:rsid w:val="00A96A7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96A7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96A71"/>
    <w:rPr>
      <w:b/>
      <w:bCs/>
    </w:rPr>
  </w:style>
  <w:style w:type="table" w:styleId="a8">
    <w:name w:val="Table Grid"/>
    <w:basedOn w:val="a1"/>
    <w:uiPriority w:val="39"/>
    <w:qFormat/>
    <w:rsid w:val="00A96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A96A71"/>
    <w:rPr>
      <w:b/>
      <w:bCs/>
    </w:rPr>
  </w:style>
  <w:style w:type="character" w:styleId="aa">
    <w:name w:val="Hyperlink"/>
    <w:basedOn w:val="a0"/>
    <w:uiPriority w:val="99"/>
    <w:unhideWhenUsed/>
    <w:qFormat/>
    <w:rsid w:val="00A96A71"/>
    <w:rPr>
      <w:color w:val="0000FF"/>
      <w:u w:val="single"/>
    </w:rPr>
  </w:style>
  <w:style w:type="character" w:styleId="ab">
    <w:name w:val="annotation reference"/>
    <w:basedOn w:val="a0"/>
    <w:uiPriority w:val="99"/>
    <w:semiHidden/>
    <w:unhideWhenUsed/>
    <w:qFormat/>
    <w:rsid w:val="00A96A71"/>
    <w:rPr>
      <w:sz w:val="21"/>
      <w:szCs w:val="21"/>
    </w:rPr>
  </w:style>
  <w:style w:type="character" w:customStyle="1" w:styleId="Char2">
    <w:name w:val="页眉 Char"/>
    <w:basedOn w:val="a0"/>
    <w:link w:val="a6"/>
    <w:uiPriority w:val="99"/>
    <w:rsid w:val="00A96A71"/>
    <w:rPr>
      <w:sz w:val="18"/>
      <w:szCs w:val="18"/>
    </w:rPr>
  </w:style>
  <w:style w:type="table" w:customStyle="1" w:styleId="1">
    <w:name w:val="网格型1"/>
    <w:basedOn w:val="a1"/>
    <w:uiPriority w:val="59"/>
    <w:qFormat/>
    <w:rsid w:val="00A96A71"/>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sid w:val="00A96A71"/>
    <w:rPr>
      <w:sz w:val="18"/>
      <w:szCs w:val="18"/>
    </w:rPr>
  </w:style>
  <w:style w:type="character" w:customStyle="1" w:styleId="fontstyle01">
    <w:name w:val="fontstyle01"/>
    <w:basedOn w:val="a0"/>
    <w:qFormat/>
    <w:rsid w:val="00A96A71"/>
    <w:rPr>
      <w:rFonts w:ascii="宋体" w:eastAsia="宋体" w:hAnsi="宋体" w:hint="eastAsia"/>
      <w:color w:val="000000"/>
      <w:sz w:val="28"/>
      <w:szCs w:val="28"/>
    </w:rPr>
  </w:style>
  <w:style w:type="character" w:customStyle="1" w:styleId="fontstyle21">
    <w:name w:val="fontstyle21"/>
    <w:basedOn w:val="a0"/>
    <w:rsid w:val="00A96A71"/>
    <w:rPr>
      <w:rFonts w:ascii="Calibri" w:hAnsi="Calibri" w:cs="Calibri" w:hint="default"/>
      <w:color w:val="000000"/>
      <w:sz w:val="28"/>
      <w:szCs w:val="28"/>
    </w:rPr>
  </w:style>
  <w:style w:type="character" w:customStyle="1" w:styleId="Char">
    <w:name w:val="批注文字 Char"/>
    <w:basedOn w:val="a0"/>
    <w:link w:val="a3"/>
    <w:uiPriority w:val="99"/>
    <w:semiHidden/>
    <w:qFormat/>
    <w:rsid w:val="00A96A71"/>
    <w:rPr>
      <w:szCs w:val="22"/>
    </w:rPr>
  </w:style>
  <w:style w:type="character" w:customStyle="1" w:styleId="Char3">
    <w:name w:val="批注主题 Char"/>
    <w:basedOn w:val="Char"/>
    <w:link w:val="a7"/>
    <w:uiPriority w:val="99"/>
    <w:semiHidden/>
    <w:qFormat/>
    <w:rsid w:val="00A96A71"/>
    <w:rPr>
      <w:b/>
      <w:bCs/>
      <w:szCs w:val="22"/>
    </w:rPr>
  </w:style>
  <w:style w:type="character" w:customStyle="1" w:styleId="Char0">
    <w:name w:val="批注框文本 Char"/>
    <w:basedOn w:val="a0"/>
    <w:link w:val="a4"/>
    <w:uiPriority w:val="99"/>
    <w:semiHidden/>
    <w:rsid w:val="00A96A71"/>
    <w:rPr>
      <w:sz w:val="18"/>
      <w:szCs w:val="18"/>
    </w:rPr>
  </w:style>
  <w:style w:type="paragraph" w:styleId="ac">
    <w:name w:val="List Paragraph"/>
    <w:basedOn w:val="a"/>
    <w:uiPriority w:val="99"/>
    <w:qFormat/>
    <w:rsid w:val="00A96A71"/>
    <w:pPr>
      <w:ind w:firstLineChars="200" w:firstLine="420"/>
    </w:pPr>
  </w:style>
  <w:style w:type="character" w:customStyle="1" w:styleId="2Char">
    <w:name w:val="标题 2 Char"/>
    <w:basedOn w:val="a0"/>
    <w:link w:val="2"/>
    <w:uiPriority w:val="9"/>
    <w:qFormat/>
    <w:rsid w:val="00A96A71"/>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fa66.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646B6-E354-4B0E-966B-A00A1976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Application>Microsoft Office Word</Application>
  <DocSecurity>4</DocSecurity>
  <Lines>10</Lines>
  <Paragraphs>3</Paragraphs>
  <ScaleCrop>false</ScaleCrop>
  <Company>CNSTOCK</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ZHONGM</cp:lastModifiedBy>
  <cp:revision>2</cp:revision>
  <dcterms:created xsi:type="dcterms:W3CDTF">2025-12-11T16:00:00Z</dcterms:created>
  <dcterms:modified xsi:type="dcterms:W3CDTF">2025-12-11T16:00:00Z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C58B8B987F2A4D49ADF120C7D9B72C2E_12</vt:lpwstr>
  </property>
</Properties>
</file>