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广发成长智选混合型证券投资基金分红公告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公告送出日期：2025年12月12日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广发成长智选混合型证券投资基金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广发成长智选混合</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002802</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2025年11月6日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中国建设银行股份有限公司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《中华人民共和国证券投资基金法》及其配套法规、《广发成长智选混合型证券投资基金基金合同》《广发成长智选混合型证券投资基金招募说明书》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2025年12月2日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本次分红为2025年度的第1次分红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广发成长智选混合A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广发成长智选混合C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002802</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013489</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1.6902</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1.6804</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17,269,393.66</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35,087,250.93</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0.761</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0.756</w:t>
            </w:r>
          </w:p>
        </w:tc>
      </w:tr>
    </w:tbl>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lastRenderedPageBreak/>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
        <w:gridCol w:w="5977"/>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2025年12月16日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hMerge w:val="restart"/>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2025年12月16日（场外）</w:t>
            </w:r>
          </w:p>
        </w:tc>
        <w:tc>
          <w:tcPr>
            <w:tcW w:w="2989" w:type="dxa"/>
            <w:hMerge/>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2025年12月16日（场外）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2025年12月17日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权益登记日在本公司登记在册的本基金份额的全体持有人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选择红利再投资方式的投资者由红利转得的基金份额将以2025年12月16日的基金份额净值为计算基准确定。2025年12月18日起投资者可以查询。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）对于未选择具体分红方式的投资者，本基金默认的分红方式为现金分红。</w:t>
      </w:r>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16</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确认分红方式是否正确，如不正确或希望修改分红方式的，请务必在规定时间前到销售网点办理变更手续。</w:t>
      </w:r>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）投资者通过某一销售机构指定交易账户按基金代码提交的分红方式变更申请，只对投资者在该销售机构指定交易账户下的基金份额有效，并不改变投资者在该销售机构其他交易账户或其</w:t>
      </w:r>
      <w:r>
        <w:rPr>
          <w:rFonts w:asciiTheme="minorEastAsia" w:eastAsiaTheme="minorEastAsia" w:hAnsiTheme="minorEastAsia"/>
          <w:color w:val="000000"/>
          <w:sz w:val="24"/>
          <w:szCs w:val="24"/>
        </w:rPr>
        <w:t>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w:t>
      </w:r>
      <w:r>
        <w:rPr>
          <w:rFonts w:asciiTheme="minorEastAsia" w:eastAsiaTheme="minorEastAsia" w:hAnsiTheme="minorEastAsia"/>
          <w:color w:val="000000"/>
          <w:sz w:val="24"/>
          <w:szCs w:val="24"/>
        </w:rPr>
        <w:lastRenderedPageBreak/>
        <w:t>于调整旗下部分开放式基金分红方式变更规则的公告》。</w:t>
      </w:r>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）建议基金份额持有人在修改分红方式后，在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DB420C" w:rsidRDefault="00D550C8">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w:t>
      </w:r>
      <w:r>
        <w:rPr>
          <w:rFonts w:asciiTheme="minorEastAsia" w:eastAsiaTheme="minorEastAsia" w:hAnsiTheme="minorEastAsia"/>
          <w:color w:val="000000"/>
          <w:sz w:val="24"/>
          <w:szCs w:val="24"/>
        </w:rPr>
        <w:t>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2025年12月12日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768E9"/>
    <w:rsid w:val="00981A21"/>
    <w:rsid w:val="0099338F"/>
    <w:rsid w:val="009B4BCB"/>
    <w:rsid w:val="009B7E1F"/>
    <w:rsid w:val="009F297D"/>
    <w:rsid w:val="00A27C8C"/>
    <w:rsid w:val="00A67015"/>
    <w:rsid w:val="00A81C93"/>
    <w:rsid w:val="00A83087"/>
    <w:rsid w:val="00A84B99"/>
    <w:rsid w:val="00AC470F"/>
    <w:rsid w:val="00B14D73"/>
    <w:rsid w:val="00B2390E"/>
    <w:rsid w:val="00B44BBE"/>
    <w:rsid w:val="00B5690D"/>
    <w:rsid w:val="00B60712"/>
    <w:rsid w:val="00B65299"/>
    <w:rsid w:val="00B77B08"/>
    <w:rsid w:val="00B81F29"/>
    <w:rsid w:val="00B93C0F"/>
    <w:rsid w:val="00BA7F58"/>
    <w:rsid w:val="00BD5FE1"/>
    <w:rsid w:val="00BD7533"/>
    <w:rsid w:val="00BE444C"/>
    <w:rsid w:val="00BE46A6"/>
    <w:rsid w:val="00BF5698"/>
    <w:rsid w:val="00C33DDD"/>
    <w:rsid w:val="00C47A36"/>
    <w:rsid w:val="00CB3D18"/>
    <w:rsid w:val="00CC333F"/>
    <w:rsid w:val="00CC53FB"/>
    <w:rsid w:val="00CE3E95"/>
    <w:rsid w:val="00D20292"/>
    <w:rsid w:val="00D462DF"/>
    <w:rsid w:val="00D53E01"/>
    <w:rsid w:val="00D550C8"/>
    <w:rsid w:val="00D66999"/>
    <w:rsid w:val="00D82E8A"/>
    <w:rsid w:val="00DA332C"/>
    <w:rsid w:val="00DA7420"/>
    <w:rsid w:val="00DA77C4"/>
    <w:rsid w:val="00DB420C"/>
    <w:rsid w:val="00DB6924"/>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1557</Characters>
  <Application>Microsoft Office Word</Application>
  <DocSecurity>4</DocSecurity>
  <Lines>12</Lines>
  <Paragraphs>3</Paragraphs>
  <ScaleCrop>false</ScaleCrop>
  <Company>微软中国</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2025-12-11T16:02:00Z</dcterms:created>
  <dcterms:modified xsi:type="dcterms:W3CDTF">2025-12-11T16:02:00Z</dcterms:modified>
</cp:coreProperties>
</file>