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9" w:rsidRPr="00270EE2" w:rsidRDefault="00C53299" w:rsidP="00296D3A">
      <w:pPr>
        <w:pStyle w:val="a6"/>
        <w:adjustRightInd w:val="0"/>
        <w:snapToGrid w:val="0"/>
        <w:spacing w:line="500" w:lineRule="exact"/>
        <w:jc w:val="center"/>
        <w:rPr>
          <w:rFonts w:ascii="黑体" w:eastAsia="黑体" w:hAnsi="黑体"/>
          <w:b/>
          <w:sz w:val="30"/>
          <w:szCs w:val="30"/>
        </w:rPr>
      </w:pPr>
      <w:bookmarkStart w:id="0" w:name="_GoBack"/>
      <w:bookmarkEnd w:id="0"/>
      <w:r w:rsidRPr="00270EE2">
        <w:rPr>
          <w:rFonts w:ascii="黑体" w:eastAsia="黑体" w:hAnsi="黑体" w:hint="eastAsia"/>
          <w:b/>
          <w:sz w:val="30"/>
          <w:szCs w:val="30"/>
        </w:rPr>
        <w:t>天弘</w:t>
      </w:r>
      <w:r w:rsidRPr="00270EE2">
        <w:rPr>
          <w:rFonts w:ascii="黑体" w:eastAsia="黑体" w:hAnsi="黑体"/>
          <w:b/>
          <w:sz w:val="30"/>
          <w:szCs w:val="30"/>
        </w:rPr>
        <w:t>基金管理有限公司</w:t>
      </w:r>
      <w:r>
        <w:rPr>
          <w:rFonts w:ascii="黑体" w:eastAsia="黑体" w:hAnsi="黑体" w:hint="eastAsia"/>
          <w:b/>
          <w:sz w:val="30"/>
          <w:szCs w:val="30"/>
        </w:rPr>
        <w:t>关于旗下基金关联交易事项的</w:t>
      </w:r>
      <w:r w:rsidRPr="00270EE2">
        <w:rPr>
          <w:rFonts w:ascii="黑体" w:eastAsia="黑体" w:hAnsi="黑体"/>
          <w:b/>
          <w:sz w:val="30"/>
          <w:szCs w:val="30"/>
        </w:rPr>
        <w:t>公告</w:t>
      </w: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p>
    <w:p w:rsidR="00C53299"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根据《</w:t>
      </w:r>
      <w:r w:rsidRPr="002867A0">
        <w:rPr>
          <w:rFonts w:ascii="仿宋_GB2312" w:eastAsia="仿宋_GB2312" w:hAnsiTheme="minorEastAsia" w:hint="eastAsia"/>
          <w:kern w:val="0"/>
          <w:sz w:val="24"/>
          <w:szCs w:val="24"/>
        </w:rPr>
        <w:t>中华人民共和国证券投资基金法</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w:t>
      </w:r>
      <w:r>
        <w:rPr>
          <w:rFonts w:ascii="仿宋_GB2312" w:eastAsia="仿宋_GB2312" w:hAnsiTheme="minorEastAsia"/>
          <w:kern w:val="0"/>
          <w:sz w:val="24"/>
          <w:szCs w:val="24"/>
        </w:rPr>
        <w:t>《</w:t>
      </w:r>
      <w:r>
        <w:rPr>
          <w:rFonts w:ascii="仿宋_GB2312" w:eastAsia="仿宋_GB2312" w:hAnsiTheme="minorEastAsia" w:hint="eastAsia"/>
          <w:kern w:val="0"/>
          <w:sz w:val="24"/>
          <w:szCs w:val="24"/>
        </w:rPr>
        <w:t>公开</w:t>
      </w:r>
      <w:r>
        <w:rPr>
          <w:rFonts w:ascii="仿宋_GB2312" w:eastAsia="仿宋_GB2312" w:hAnsiTheme="minorEastAsia"/>
          <w:kern w:val="0"/>
          <w:sz w:val="24"/>
          <w:szCs w:val="24"/>
        </w:rPr>
        <w:t>募集证券投资基金运作管理办法》</w:t>
      </w:r>
      <w:r>
        <w:rPr>
          <w:rFonts w:ascii="仿宋_GB2312" w:eastAsia="仿宋_GB2312" w:hAnsiTheme="minorEastAsia" w:hint="eastAsia"/>
          <w:kern w:val="0"/>
          <w:sz w:val="24"/>
          <w:szCs w:val="24"/>
        </w:rPr>
        <w:t>、</w:t>
      </w:r>
      <w:r w:rsidRPr="00E41072">
        <w:rPr>
          <w:rFonts w:ascii="仿宋_GB2312" w:eastAsia="仿宋_GB2312" w:hAnsiTheme="minorEastAsia" w:hint="eastAsia"/>
          <w:kern w:val="0"/>
          <w:sz w:val="24"/>
          <w:szCs w:val="24"/>
        </w:rPr>
        <w:t>《公开募集证券投资基金信息披露管理办法》等有关规定，</w:t>
      </w:r>
      <w:r w:rsidRPr="006F2D4F">
        <w:rPr>
          <w:rFonts w:ascii="仿宋_GB2312" w:eastAsia="仿宋_GB2312" w:hAnsiTheme="minorEastAsia" w:hint="eastAsia"/>
          <w:kern w:val="0"/>
          <w:sz w:val="24"/>
          <w:szCs w:val="24"/>
        </w:rPr>
        <w:t>在履行规定审批程序并经基金托管人同意后，</w:t>
      </w:r>
      <w:r w:rsidRPr="00E41072">
        <w:rPr>
          <w:rFonts w:ascii="仿宋_GB2312" w:eastAsia="仿宋_GB2312" w:hAnsiTheme="minorEastAsia" w:hint="eastAsia"/>
          <w:kern w:val="0"/>
          <w:sz w:val="24"/>
          <w:szCs w:val="24"/>
        </w:rPr>
        <w:t>天弘基金管理有限公司</w:t>
      </w:r>
      <w:r w:rsidRPr="006F2D4F">
        <w:rPr>
          <w:rFonts w:ascii="仿宋_GB2312" w:eastAsia="仿宋_GB2312" w:hAnsiTheme="minorEastAsia" w:hint="eastAsia"/>
          <w:kern w:val="0"/>
          <w:sz w:val="24"/>
          <w:szCs w:val="24"/>
        </w:rPr>
        <w:t>（以下简称“本公司”）旗下</w:t>
      </w:r>
      <w:bookmarkStart w:id="1" w:name="PO_flagFund"/>
      <w:r w:rsidR="008C7451">
        <w:rPr>
          <w:rFonts w:ascii="仿宋_GB2312" w:eastAsia="仿宋_GB2312" w:hAnsiTheme="minorEastAsia" w:hint="eastAsia"/>
          <w:kern w:val="0"/>
          <w:sz w:val="24"/>
          <w:szCs w:val="24"/>
        </w:rPr>
        <w:t>部分基金</w:t>
      </w:r>
      <w:bookmarkEnd w:id="1"/>
      <w:r w:rsidRPr="006F2D4F">
        <w:rPr>
          <w:rFonts w:ascii="仿宋_GB2312" w:eastAsia="仿宋_GB2312" w:hAnsiTheme="minorEastAsia" w:hint="eastAsia"/>
          <w:kern w:val="0"/>
          <w:sz w:val="24"/>
          <w:szCs w:val="24"/>
        </w:rPr>
        <w:t>参加了</w:t>
      </w:r>
      <w:bookmarkStart w:id="2" w:name="PO_addSubscriptionSituation"/>
      <w:r w:rsidR="008C7451">
        <w:rPr>
          <w:rFonts w:ascii="仿宋_GB2312" w:eastAsia="仿宋_GB2312" w:hAnsiTheme="minorEastAsia" w:hint="eastAsia"/>
          <w:kern w:val="0"/>
          <w:sz w:val="24"/>
          <w:szCs w:val="24"/>
        </w:rPr>
        <w:t>北京昂瑞微电子技术股份有限公司（以下简称“昂瑞微”）首次公开发行股票的网下申购</w:t>
      </w:r>
      <w:bookmarkEnd w:id="2"/>
      <w:r w:rsidR="000F620F">
        <w:rPr>
          <w:rFonts w:ascii="仿宋_GB2312" w:eastAsia="仿宋_GB2312" w:hAnsiTheme="minorEastAsia" w:hint="eastAsia"/>
          <w:kern w:val="0"/>
          <w:sz w:val="24"/>
          <w:szCs w:val="24"/>
        </w:rPr>
        <w:t>，</w:t>
      </w:r>
      <w:bookmarkStart w:id="3" w:name="PO_addAgencyFundRelation"/>
      <w:r w:rsidR="008C7451">
        <w:rPr>
          <w:rFonts w:ascii="仿宋_GB2312" w:eastAsia="仿宋_GB2312" w:hAnsiTheme="minorEastAsia" w:hint="eastAsia"/>
          <w:kern w:val="0"/>
          <w:sz w:val="24"/>
          <w:szCs w:val="24"/>
        </w:rPr>
        <w:t>本次发行的主承销商中信建投证券股份有限公司为上述基金的托管人</w:t>
      </w:r>
      <w:bookmarkEnd w:id="3"/>
      <w:r w:rsidRPr="00093B9B">
        <w:rPr>
          <w:rFonts w:ascii="仿宋_GB2312" w:eastAsia="仿宋_GB2312" w:hAnsiTheme="minorEastAsia" w:hint="eastAsia"/>
          <w:kern w:val="0"/>
          <w:sz w:val="24"/>
          <w:szCs w:val="24"/>
        </w:rPr>
        <w:t>。</w:t>
      </w:r>
      <w:bookmarkStart w:id="4" w:name="PO_securitiesName"/>
      <w:r w:rsidR="008C7451">
        <w:rPr>
          <w:rFonts w:ascii="仿宋_GB2312" w:eastAsia="仿宋_GB2312" w:hAnsiTheme="minorEastAsia" w:hint="eastAsia"/>
          <w:kern w:val="0"/>
          <w:sz w:val="24"/>
          <w:szCs w:val="24"/>
        </w:rPr>
        <w:t>昂瑞微</w:t>
      </w:r>
      <w:bookmarkEnd w:id="4"/>
      <w:r w:rsidRPr="00F3344F">
        <w:rPr>
          <w:rFonts w:ascii="仿宋_GB2312" w:eastAsia="仿宋_GB2312" w:hAnsiTheme="minorEastAsia" w:hint="eastAsia"/>
          <w:kern w:val="0"/>
          <w:sz w:val="24"/>
          <w:szCs w:val="24"/>
        </w:rPr>
        <w:t>发行价格为</w:t>
      </w:r>
      <w:bookmarkStart w:id="5" w:name="PO_unitPrice"/>
      <w:r w:rsidR="008C7451">
        <w:rPr>
          <w:rFonts w:ascii="仿宋_GB2312" w:eastAsia="仿宋_GB2312" w:hAnsiTheme="minorEastAsia"/>
          <w:kern w:val="0"/>
          <w:sz w:val="24"/>
          <w:szCs w:val="24"/>
        </w:rPr>
        <w:t>83.06</w:t>
      </w:r>
      <w:bookmarkEnd w:id="5"/>
      <w:r w:rsidRPr="00F3344F">
        <w:rPr>
          <w:rFonts w:ascii="仿宋_GB2312" w:eastAsia="仿宋_GB2312" w:hAnsiTheme="minorEastAsia" w:hint="eastAsia"/>
          <w:kern w:val="0"/>
          <w:sz w:val="24"/>
          <w:szCs w:val="24"/>
        </w:rPr>
        <w:t>元/股，</w:t>
      </w:r>
      <w:bookmarkStart w:id="6" w:name="PO_priceBasis"/>
      <w:r w:rsidR="008C7451">
        <w:rPr>
          <w:rFonts w:ascii="仿宋_GB2312" w:eastAsia="仿宋_GB2312" w:hAnsiTheme="minorEastAsia" w:hint="eastAsia"/>
          <w:kern w:val="0"/>
          <w:sz w:val="24"/>
          <w:szCs w:val="24"/>
        </w:rPr>
        <w:t>发行人和保荐人（主承销商）综合考虑剔除最高报价部分后的初步询价数据、公司盈利能力、未来成长性及可比公司估值水平等因素协商确定。</w:t>
      </w:r>
      <w:bookmarkEnd w:id="6"/>
    </w:p>
    <w:p w:rsidR="00C53299" w:rsidRPr="00F3344F" w:rsidRDefault="00C53299" w:rsidP="00C53299">
      <w:pPr>
        <w:pStyle w:val="a6"/>
        <w:adjustRightInd w:val="0"/>
        <w:snapToGrid w:val="0"/>
        <w:spacing w:line="500" w:lineRule="exact"/>
        <w:ind w:firstLineChars="200" w:firstLine="480"/>
        <w:rPr>
          <w:rFonts w:ascii="仿宋_GB2312" w:eastAsia="仿宋_GB2312" w:hAnsiTheme="minorEastAsia"/>
          <w:kern w:val="0"/>
          <w:sz w:val="24"/>
          <w:szCs w:val="24"/>
        </w:rPr>
      </w:pPr>
      <w:r>
        <w:rPr>
          <w:rFonts w:ascii="仿宋_GB2312" w:eastAsia="仿宋_GB2312" w:hAnsiTheme="minorEastAsia" w:hint="eastAsia"/>
          <w:kern w:val="0"/>
          <w:sz w:val="24"/>
          <w:szCs w:val="24"/>
        </w:rPr>
        <w:t>现将获配结果披露如下</w:t>
      </w:r>
      <w:r w:rsidRPr="00EB688F">
        <w:rPr>
          <w:rFonts w:ascii="仿宋_GB2312" w:eastAsia="仿宋_GB2312" w:hAnsiTheme="minorEastAsia" w:hint="eastAsia"/>
          <w:kern w:val="0"/>
          <w:sz w:val="24"/>
          <w:szCs w:val="24"/>
        </w:rPr>
        <w:t>：</w:t>
      </w:r>
    </w:p>
    <w:tbl>
      <w:tblPr>
        <w:tblStyle w:val="a7"/>
        <w:tblW w:w="5000" w:type="pct"/>
        <w:jc w:val="center"/>
        <w:tblLook w:val="04A0"/>
      </w:tblPr>
      <w:tblGrid>
        <w:gridCol w:w="992"/>
        <w:gridCol w:w="3617"/>
        <w:gridCol w:w="1290"/>
        <w:gridCol w:w="1327"/>
        <w:gridCol w:w="1296"/>
      </w:tblGrid>
      <w:tr w:rsidR="000B344C" w:rsidRPr="00D85D1A" w:rsidTr="00AD6EA0">
        <w:trPr>
          <w:jc w:val="center"/>
        </w:trPr>
        <w:tc>
          <w:tcPr>
            <w:tcW w:w="595" w:type="pct"/>
            <w:vAlign w:val="center"/>
          </w:tcPr>
          <w:p w:rsidR="000B344C" w:rsidRPr="0037372F" w:rsidRDefault="000B344C" w:rsidP="00BD7F19">
            <w:pPr>
              <w:jc w:val="center"/>
              <w:rPr>
                <w:rFonts w:ascii="仿宋_GB2312" w:eastAsia="仿宋_GB2312" w:hAnsiTheme="minorEastAsia"/>
                <w:sz w:val="24"/>
                <w:szCs w:val="28"/>
              </w:rPr>
            </w:pPr>
            <w:r>
              <w:rPr>
                <w:rFonts w:ascii="仿宋_GB2312" w:eastAsia="仿宋_GB2312" w:hAnsiTheme="minorEastAsia" w:hint="eastAsia"/>
                <w:sz w:val="24"/>
                <w:szCs w:val="28"/>
              </w:rPr>
              <w:t>基金</w:t>
            </w:r>
            <w:r w:rsidR="00BD7F19">
              <w:rPr>
                <w:rFonts w:ascii="仿宋_GB2312" w:eastAsia="仿宋_GB2312" w:hAnsiTheme="minorEastAsia" w:hint="eastAsia"/>
                <w:sz w:val="24"/>
                <w:szCs w:val="28"/>
              </w:rPr>
              <w:t>主</w:t>
            </w:r>
            <w:r>
              <w:rPr>
                <w:rFonts w:ascii="仿宋_GB2312" w:eastAsia="仿宋_GB2312" w:hAnsiTheme="minorEastAsia" w:hint="eastAsia"/>
                <w:sz w:val="24"/>
                <w:szCs w:val="28"/>
              </w:rPr>
              <w:t>代码</w:t>
            </w:r>
          </w:p>
        </w:tc>
        <w:tc>
          <w:tcPr>
            <w:tcW w:w="2135" w:type="pct"/>
            <w:vAlign w:val="center"/>
          </w:tcPr>
          <w:p w:rsidR="000B344C" w:rsidRPr="0037372F" w:rsidRDefault="000B344C" w:rsidP="0024674B">
            <w:pPr>
              <w:jc w:val="center"/>
              <w:rPr>
                <w:rFonts w:ascii="仿宋_GB2312" w:eastAsia="仿宋_GB2312" w:hAnsiTheme="minorEastAsia"/>
                <w:sz w:val="24"/>
                <w:szCs w:val="28"/>
              </w:rPr>
            </w:pPr>
            <w:bookmarkStart w:id="7" w:name="PO_relatedTradeStockTable"/>
            <w:r w:rsidRPr="0037372F">
              <w:rPr>
                <w:rFonts w:ascii="仿宋_GB2312" w:eastAsia="仿宋_GB2312" w:hAnsiTheme="minorEastAsia" w:hint="eastAsia"/>
                <w:sz w:val="24"/>
                <w:szCs w:val="28"/>
              </w:rPr>
              <w:t>基金名称</w:t>
            </w:r>
          </w:p>
        </w:tc>
        <w:tc>
          <w:tcPr>
            <w:tcW w:w="770" w:type="pct"/>
            <w:vAlign w:val="center"/>
          </w:tcPr>
          <w:p w:rsidR="000B344C" w:rsidRPr="0037372F" w:rsidRDefault="000B344C" w:rsidP="0024674B">
            <w:pPr>
              <w:jc w:val="center"/>
              <w:rPr>
                <w:rFonts w:ascii="仿宋_GB2312" w:eastAsia="仿宋_GB2312" w:hAnsiTheme="minorEastAsia"/>
                <w:sz w:val="24"/>
                <w:szCs w:val="28"/>
              </w:rPr>
            </w:pPr>
            <w:r w:rsidRPr="0037372F">
              <w:rPr>
                <w:rFonts w:ascii="仿宋_GB2312" w:eastAsia="仿宋_GB2312" w:hAnsiTheme="minorEastAsia" w:hint="eastAsia"/>
                <w:sz w:val="24"/>
                <w:szCs w:val="28"/>
              </w:rPr>
              <w:t>获配证券名称</w:t>
            </w:r>
          </w:p>
        </w:tc>
        <w:tc>
          <w:tcPr>
            <w:tcW w:w="791"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sidRPr="00014F9B">
              <w:rPr>
                <w:rFonts w:ascii="仿宋_GB2312" w:eastAsia="仿宋_GB2312" w:hAnsiTheme="minorEastAsia" w:hint="eastAsia"/>
                <w:sz w:val="24"/>
                <w:szCs w:val="28"/>
              </w:rPr>
              <w:t>获配数量（股）</w:t>
            </w:r>
          </w:p>
        </w:tc>
        <w:tc>
          <w:tcPr>
            <w:tcW w:w="709" w:type="pct"/>
            <w:vAlign w:val="center"/>
          </w:tcPr>
          <w:p w:rsidR="000B344C" w:rsidRPr="00D85D1A" w:rsidRDefault="000B344C" w:rsidP="0024674B">
            <w:pPr>
              <w:pStyle w:val="a5"/>
              <w:ind w:firstLineChars="0" w:firstLine="0"/>
              <w:jc w:val="center"/>
              <w:rPr>
                <w:rFonts w:ascii="仿宋_GB2312" w:eastAsia="仿宋_GB2312" w:hAnsiTheme="minorEastAsia"/>
                <w:sz w:val="24"/>
                <w:szCs w:val="28"/>
              </w:rPr>
            </w:pPr>
            <w:r>
              <w:rPr>
                <w:rFonts w:ascii="仿宋_GB2312" w:eastAsia="仿宋_GB2312" w:hAnsiTheme="minorEastAsia" w:hint="eastAsia"/>
                <w:sz w:val="24"/>
                <w:szCs w:val="28"/>
              </w:rPr>
              <w:t>获配</w:t>
            </w:r>
            <w:r>
              <w:rPr>
                <w:rFonts w:ascii="仿宋_GB2312" w:eastAsia="仿宋_GB2312" w:hAnsiTheme="minorEastAsia"/>
                <w:sz w:val="24"/>
                <w:szCs w:val="28"/>
              </w:rPr>
              <w:t>金额</w:t>
            </w:r>
          </w:p>
          <w:p w:rsidR="000B344C" w:rsidRPr="000B344C" w:rsidDel="00014F9B" w:rsidRDefault="000B344C" w:rsidP="000B344C">
            <w:pPr>
              <w:ind w:firstLineChars="100" w:firstLine="240"/>
              <w:rPr>
                <w:rFonts w:ascii="仿宋_GB2312" w:eastAsia="仿宋_GB2312" w:hAnsiTheme="minorEastAsia"/>
                <w:sz w:val="24"/>
                <w:szCs w:val="28"/>
              </w:rPr>
            </w:pPr>
            <w:r w:rsidRPr="000B344C">
              <w:rPr>
                <w:rFonts w:ascii="仿宋_GB2312" w:eastAsia="仿宋_GB2312" w:hAnsiTheme="minorEastAsia" w:hint="eastAsia"/>
                <w:sz w:val="24"/>
                <w:szCs w:val="28"/>
              </w:rPr>
              <w:t>(元)</w:t>
            </w:r>
          </w:p>
        </w:tc>
      </w:tr>
      <w:tr w:rsidR="000B344C" w:rsidRPr="00D85D1A" w:rsidTr="00AD6EA0">
        <w:trPr>
          <w:jc w:val="center"/>
        </w:trPr>
        <w:tc>
          <w:tcPr>
            <w:tcW w:w="595" w:type="pct"/>
            <w:vAlign w:val="center"/>
          </w:tcPr>
          <w:p w:rsidR="000B344C" w:rsidRPr="00750BE9" w:rsidRDefault="008C7451" w:rsidP="00750BE9">
            <w:pPr>
              <w:rPr>
                <w:rFonts w:ascii="仿宋_GB2312" w:eastAsia="仿宋_GB2312" w:hAnsiTheme="minorEastAsia"/>
                <w:sz w:val="24"/>
                <w:szCs w:val="28"/>
              </w:rPr>
            </w:pPr>
            <w:r>
              <w:rPr>
                <w:rFonts w:ascii="仿宋_GB2312" w:eastAsia="仿宋_GB2312" w:hAnsiTheme="minorEastAsia"/>
                <w:sz w:val="24"/>
                <w:szCs w:val="28"/>
              </w:rPr>
              <w:t>008592</w:t>
            </w:r>
          </w:p>
        </w:tc>
        <w:tc>
          <w:tcPr>
            <w:tcW w:w="2135" w:type="pct"/>
            <w:vAlign w:val="center"/>
          </w:tcPr>
          <w:p w:rsidR="000B344C" w:rsidRPr="00750BE9"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天弘沪深</w:t>
            </w:r>
            <w:r>
              <w:rPr>
                <w:rFonts w:ascii="仿宋_GB2312" w:eastAsia="仿宋_GB2312" w:hAnsiTheme="minorEastAsia"/>
                <w:sz w:val="24"/>
                <w:szCs w:val="28"/>
              </w:rPr>
              <w:t>300指数增强型发起式证券投资基金</w:t>
            </w:r>
          </w:p>
        </w:tc>
        <w:tc>
          <w:tcPr>
            <w:tcW w:w="770" w:type="pct"/>
            <w:vAlign w:val="center"/>
          </w:tcPr>
          <w:p w:rsidR="000B344C" w:rsidRPr="00750BE9"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昂瑞微</w:t>
            </w:r>
          </w:p>
        </w:tc>
        <w:tc>
          <w:tcPr>
            <w:tcW w:w="791" w:type="pct"/>
            <w:vAlign w:val="center"/>
          </w:tcPr>
          <w:p w:rsidR="000B344C" w:rsidRPr="00750BE9" w:rsidRDefault="008C7451" w:rsidP="00750BE9">
            <w:pPr>
              <w:rPr>
                <w:rFonts w:ascii="仿宋_GB2312" w:eastAsia="仿宋_GB2312" w:hAnsiTheme="minorEastAsia"/>
                <w:sz w:val="24"/>
                <w:szCs w:val="28"/>
              </w:rPr>
            </w:pPr>
            <w:r>
              <w:rPr>
                <w:rFonts w:ascii="仿宋_GB2312" w:eastAsia="仿宋_GB2312" w:hAnsiTheme="minorEastAsia"/>
                <w:sz w:val="24"/>
                <w:szCs w:val="28"/>
              </w:rPr>
              <w:t>1288</w:t>
            </w:r>
          </w:p>
        </w:tc>
        <w:tc>
          <w:tcPr>
            <w:tcW w:w="709" w:type="pct"/>
            <w:vAlign w:val="center"/>
          </w:tcPr>
          <w:p w:rsidR="000B344C" w:rsidRPr="00750BE9" w:rsidDel="00014F9B" w:rsidRDefault="008C7451" w:rsidP="00750BE9">
            <w:pPr>
              <w:rPr>
                <w:rFonts w:ascii="仿宋_GB2312" w:eastAsia="仿宋_GB2312" w:hAnsiTheme="minorEastAsia"/>
                <w:sz w:val="24"/>
                <w:szCs w:val="28"/>
              </w:rPr>
            </w:pPr>
            <w:r>
              <w:rPr>
                <w:rFonts w:ascii="仿宋_GB2312" w:eastAsia="仿宋_GB2312" w:hAnsiTheme="minorEastAsia"/>
                <w:sz w:val="24"/>
                <w:szCs w:val="28"/>
              </w:rPr>
              <w:t>106981.28</w:t>
            </w:r>
          </w:p>
        </w:tc>
      </w:tr>
      <w:tr w:rsidR="008C7451" w:rsidRPr="00D85D1A" w:rsidTr="00AD6EA0">
        <w:trPr>
          <w:jc w:val="center"/>
        </w:trPr>
        <w:tc>
          <w:tcPr>
            <w:tcW w:w="59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011102</w:t>
            </w:r>
          </w:p>
        </w:tc>
        <w:tc>
          <w:tcPr>
            <w:tcW w:w="213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天弘中证光伏产业指数型发起式证券投资基金</w:t>
            </w:r>
          </w:p>
        </w:tc>
        <w:tc>
          <w:tcPr>
            <w:tcW w:w="770"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昂瑞微</w:t>
            </w:r>
          </w:p>
        </w:tc>
        <w:tc>
          <w:tcPr>
            <w:tcW w:w="791"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1288</w:t>
            </w:r>
          </w:p>
        </w:tc>
        <w:tc>
          <w:tcPr>
            <w:tcW w:w="709"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106981.28</w:t>
            </w:r>
          </w:p>
        </w:tc>
      </w:tr>
      <w:tr w:rsidR="008C7451" w:rsidRPr="00D85D1A" w:rsidTr="00AD6EA0">
        <w:trPr>
          <w:jc w:val="center"/>
        </w:trPr>
        <w:tc>
          <w:tcPr>
            <w:tcW w:w="59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011839</w:t>
            </w:r>
          </w:p>
        </w:tc>
        <w:tc>
          <w:tcPr>
            <w:tcW w:w="213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天弘中证人工智能主题指数型发起式证券投资基金</w:t>
            </w:r>
          </w:p>
        </w:tc>
        <w:tc>
          <w:tcPr>
            <w:tcW w:w="770"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昂瑞微</w:t>
            </w:r>
          </w:p>
        </w:tc>
        <w:tc>
          <w:tcPr>
            <w:tcW w:w="791"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1288</w:t>
            </w:r>
          </w:p>
        </w:tc>
        <w:tc>
          <w:tcPr>
            <w:tcW w:w="709"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106981.28</w:t>
            </w:r>
          </w:p>
        </w:tc>
      </w:tr>
      <w:tr w:rsidR="008C7451" w:rsidRPr="00D85D1A" w:rsidTr="00AD6EA0">
        <w:trPr>
          <w:jc w:val="center"/>
        </w:trPr>
        <w:tc>
          <w:tcPr>
            <w:tcW w:w="59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159857</w:t>
            </w:r>
          </w:p>
        </w:tc>
        <w:tc>
          <w:tcPr>
            <w:tcW w:w="213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天弘中证光伏产业交易型开放式指数证券投资基金</w:t>
            </w:r>
          </w:p>
        </w:tc>
        <w:tc>
          <w:tcPr>
            <w:tcW w:w="770"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昂瑞微</w:t>
            </w:r>
          </w:p>
        </w:tc>
        <w:tc>
          <w:tcPr>
            <w:tcW w:w="791"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1288</w:t>
            </w:r>
          </w:p>
        </w:tc>
        <w:tc>
          <w:tcPr>
            <w:tcW w:w="709"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106981.28</w:t>
            </w:r>
          </w:p>
        </w:tc>
      </w:tr>
      <w:tr w:rsidR="008C7451" w:rsidRPr="00D85D1A" w:rsidTr="00AD6EA0">
        <w:trPr>
          <w:jc w:val="center"/>
        </w:trPr>
        <w:tc>
          <w:tcPr>
            <w:tcW w:w="59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159859</w:t>
            </w:r>
          </w:p>
        </w:tc>
        <w:tc>
          <w:tcPr>
            <w:tcW w:w="2135"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天弘国证生物医药交易型开放式指数证券投资基金</w:t>
            </w:r>
          </w:p>
        </w:tc>
        <w:tc>
          <w:tcPr>
            <w:tcW w:w="770"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hint="eastAsia"/>
                <w:sz w:val="24"/>
                <w:szCs w:val="28"/>
              </w:rPr>
              <w:t>昂瑞微</w:t>
            </w:r>
          </w:p>
        </w:tc>
        <w:tc>
          <w:tcPr>
            <w:tcW w:w="791"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1288</w:t>
            </w:r>
          </w:p>
        </w:tc>
        <w:tc>
          <w:tcPr>
            <w:tcW w:w="709" w:type="pct"/>
            <w:vAlign w:val="center"/>
          </w:tcPr>
          <w:p w:rsidR="008C7451" w:rsidRDefault="008C7451" w:rsidP="00750BE9">
            <w:pPr>
              <w:rPr>
                <w:rFonts w:ascii="仿宋_GB2312" w:eastAsia="仿宋_GB2312" w:hAnsiTheme="minorEastAsia"/>
                <w:sz w:val="24"/>
                <w:szCs w:val="28"/>
              </w:rPr>
            </w:pPr>
            <w:r>
              <w:rPr>
                <w:rFonts w:ascii="仿宋_GB2312" w:eastAsia="仿宋_GB2312" w:hAnsiTheme="minorEastAsia"/>
                <w:sz w:val="24"/>
                <w:szCs w:val="28"/>
              </w:rPr>
              <w:t>106981.28</w:t>
            </w:r>
          </w:p>
        </w:tc>
      </w:tr>
    </w:tbl>
    <w:bookmarkEnd w:id="7"/>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投资者可登录我公司官方网站（www.thfund.com.cn）或拨打我公司客户服务热线（</w:t>
      </w:r>
      <w:r w:rsidR="00DF320B" w:rsidRPr="00DF320B">
        <w:rPr>
          <w:rFonts w:ascii="仿宋_GB2312" w:eastAsia="仿宋_GB2312" w:hAnsiTheme="minorEastAsia"/>
          <w:kern w:val="0"/>
          <w:sz w:val="24"/>
          <w:szCs w:val="24"/>
        </w:rPr>
        <w:t>400-986-8888</w:t>
      </w:r>
      <w:r w:rsidRPr="00804185">
        <w:rPr>
          <w:rFonts w:ascii="仿宋_GB2312" w:eastAsia="仿宋_GB2312" w:hAnsiTheme="minorEastAsia" w:hint="eastAsia"/>
          <w:kern w:val="0"/>
          <w:sz w:val="24"/>
          <w:szCs w:val="24"/>
        </w:rPr>
        <w:t>）了解本基金的相关事宜。</w:t>
      </w:r>
    </w:p>
    <w:p w:rsidR="00C53299" w:rsidRPr="00804185" w:rsidRDefault="00C53299" w:rsidP="00C53299">
      <w:pPr>
        <w:spacing w:line="360" w:lineRule="auto"/>
        <w:rPr>
          <w:rFonts w:ascii="仿宋_GB2312" w:eastAsia="仿宋_GB2312" w:hAnsiTheme="minorEastAsia"/>
          <w:kern w:val="0"/>
          <w:sz w:val="24"/>
          <w:szCs w:val="24"/>
        </w:rPr>
      </w:pP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风险提示</w:t>
      </w:r>
    </w:p>
    <w:p w:rsidR="00C53299" w:rsidRPr="00804185" w:rsidRDefault="00C53299" w:rsidP="00C53299">
      <w:pPr>
        <w:spacing w:line="360" w:lineRule="auto"/>
        <w:ind w:firstLineChars="200" w:firstLine="480"/>
        <w:rPr>
          <w:rFonts w:ascii="仿宋_GB2312" w:eastAsia="仿宋_GB2312" w:hAnsiTheme="minorEastAsia"/>
          <w:kern w:val="0"/>
          <w:sz w:val="24"/>
          <w:szCs w:val="24"/>
        </w:rPr>
      </w:pPr>
      <w:r w:rsidRPr="00804185">
        <w:rPr>
          <w:rFonts w:ascii="仿宋_GB2312" w:eastAsia="仿宋_GB2312" w:hAnsiTheme="minorEastAsia" w:hint="eastAsia"/>
          <w:kern w:val="0"/>
          <w:sz w:val="24"/>
          <w:szCs w:val="24"/>
        </w:rPr>
        <w:t>基金管理人承诺以诚实信用、勤勉尽责的原则管理和运用基金资产，但不保证基金一定盈利，也不保证最低收益。投资者投资于本基金时应认真阅读本基金的《基金合同》和《招募说明书》等相关法律文件。</w:t>
      </w:r>
    </w:p>
    <w:p w:rsidR="00C53299" w:rsidRPr="00DB2D3B" w:rsidRDefault="00C53299" w:rsidP="00C53299">
      <w:pPr>
        <w:pStyle w:val="a5"/>
        <w:spacing w:line="360" w:lineRule="auto"/>
        <w:ind w:left="420" w:firstLineChars="0" w:firstLine="0"/>
        <w:rPr>
          <w:rFonts w:ascii="仿宋_GB2312" w:eastAsia="仿宋_GB2312" w:hAnsiTheme="minorEastAsia"/>
          <w:kern w:val="0"/>
          <w:sz w:val="24"/>
          <w:szCs w:val="24"/>
        </w:rPr>
      </w:pPr>
    </w:p>
    <w:p w:rsidR="00C53299" w:rsidRDefault="00C53299" w:rsidP="00C53299">
      <w:pPr>
        <w:pStyle w:val="a5"/>
        <w:spacing w:line="360" w:lineRule="auto"/>
        <w:ind w:left="420" w:firstLineChars="0" w:firstLine="0"/>
        <w:rPr>
          <w:rFonts w:ascii="仿宋_GB2312" w:eastAsia="仿宋_GB2312" w:hAnsiTheme="minorEastAsia"/>
          <w:kern w:val="0"/>
          <w:sz w:val="24"/>
          <w:szCs w:val="24"/>
        </w:rPr>
      </w:pPr>
      <w:r w:rsidRPr="00174352">
        <w:rPr>
          <w:rFonts w:ascii="仿宋_GB2312" w:eastAsia="仿宋_GB2312" w:hAnsiTheme="minorEastAsia" w:hint="eastAsia"/>
          <w:kern w:val="0"/>
          <w:sz w:val="24"/>
          <w:szCs w:val="24"/>
        </w:rPr>
        <w:t>特此</w:t>
      </w:r>
      <w:r w:rsidRPr="00174352">
        <w:rPr>
          <w:rFonts w:ascii="仿宋_GB2312" w:eastAsia="仿宋_GB2312" w:hAnsiTheme="minorEastAsia"/>
          <w:kern w:val="0"/>
          <w:sz w:val="24"/>
          <w:szCs w:val="24"/>
        </w:rPr>
        <w:t>公告</w:t>
      </w:r>
      <w:r>
        <w:rPr>
          <w:rFonts w:ascii="仿宋_GB2312" w:eastAsia="仿宋_GB2312" w:hAnsiTheme="minorEastAsia" w:hint="eastAsia"/>
          <w:kern w:val="0"/>
          <w:sz w:val="24"/>
          <w:szCs w:val="24"/>
        </w:rPr>
        <w:t>。</w:t>
      </w:r>
    </w:p>
    <w:p w:rsidR="00BA182F" w:rsidRDefault="00BA182F" w:rsidP="00C53299">
      <w:pPr>
        <w:pStyle w:val="a5"/>
        <w:spacing w:line="360" w:lineRule="auto"/>
        <w:ind w:left="420" w:firstLineChars="0" w:firstLine="0"/>
        <w:rPr>
          <w:rFonts w:ascii="仿宋_GB2312" w:eastAsia="仿宋_GB2312" w:hAnsiTheme="minorEastAsia"/>
          <w:kern w:val="0"/>
          <w:sz w:val="24"/>
          <w:szCs w:val="24"/>
        </w:rPr>
      </w:pPr>
    </w:p>
    <w:p w:rsidR="00BA182F" w:rsidRPr="00C53299" w:rsidRDefault="00BA182F" w:rsidP="00C53299">
      <w:pPr>
        <w:pStyle w:val="a5"/>
        <w:spacing w:line="360" w:lineRule="auto"/>
        <w:ind w:left="420" w:firstLineChars="0" w:firstLine="0"/>
        <w:rPr>
          <w:rFonts w:ascii="仿宋_GB2312" w:eastAsia="仿宋_GB2312" w:hAnsiTheme="minorEastAsia"/>
          <w:kern w:val="0"/>
          <w:sz w:val="24"/>
          <w:szCs w:val="24"/>
        </w:rPr>
      </w:pPr>
    </w:p>
    <w:p w:rsidR="00C53299" w:rsidRPr="004E4BA7" w:rsidRDefault="00C53299" w:rsidP="00C53299">
      <w:pPr>
        <w:spacing w:line="500" w:lineRule="exact"/>
        <w:jc w:val="right"/>
        <w:rPr>
          <w:rFonts w:ascii="仿宋_GB2312" w:eastAsia="仿宋_GB2312"/>
          <w:sz w:val="24"/>
          <w:szCs w:val="24"/>
        </w:rPr>
      </w:pPr>
      <w:r w:rsidRPr="004E4BA7">
        <w:rPr>
          <w:rFonts w:ascii="仿宋_GB2312" w:eastAsia="仿宋_GB2312" w:hint="eastAsia"/>
          <w:sz w:val="24"/>
          <w:szCs w:val="24"/>
        </w:rPr>
        <w:t xml:space="preserve">  天弘基金管理有限公司</w:t>
      </w:r>
    </w:p>
    <w:p w:rsidR="003E055C" w:rsidRPr="0076613D" w:rsidRDefault="008C7451" w:rsidP="0076613D">
      <w:pPr>
        <w:wordWrap w:val="0"/>
        <w:spacing w:line="500" w:lineRule="exact"/>
        <w:jc w:val="right"/>
        <w:rPr>
          <w:rFonts w:ascii="仿宋_GB2312" w:eastAsia="仿宋_GB2312"/>
          <w:sz w:val="24"/>
          <w:szCs w:val="24"/>
        </w:rPr>
      </w:pPr>
      <w:bookmarkStart w:id="8" w:name="PO_disclosureDate"/>
      <w:r>
        <w:rPr>
          <w:rFonts w:ascii="仿宋_GB2312" w:eastAsia="仿宋_GB2312" w:hint="eastAsia"/>
          <w:sz w:val="24"/>
          <w:szCs w:val="24"/>
        </w:rPr>
        <w:t>二〇二五年十二月十一日</w:t>
      </w:r>
      <w:bookmarkEnd w:id="8"/>
    </w:p>
    <w:sectPr w:rsidR="003E055C" w:rsidRPr="0076613D" w:rsidSect="008C56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720" w:rsidRDefault="00D75720" w:rsidP="00E2582B">
      <w:r>
        <w:separator/>
      </w:r>
    </w:p>
  </w:endnote>
  <w:endnote w:type="continuationSeparator" w:id="0">
    <w:p w:rsidR="00D75720" w:rsidRDefault="00D75720" w:rsidP="00E25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720" w:rsidRDefault="00D75720" w:rsidP="00E2582B">
      <w:r>
        <w:separator/>
      </w:r>
    </w:p>
  </w:footnote>
  <w:footnote w:type="continuationSeparator" w:id="0">
    <w:p w:rsidR="00D75720" w:rsidRDefault="00D75720" w:rsidP="00E25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537C"/>
    <w:multiLevelType w:val="hybridMultilevel"/>
    <w:tmpl w:val="65B89A5E"/>
    <w:lvl w:ilvl="0" w:tplc="CD2488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C6D"/>
    <w:rsid w:val="000B344C"/>
    <w:rsid w:val="000B4EAD"/>
    <w:rsid w:val="000C7F18"/>
    <w:rsid w:val="000D5173"/>
    <w:rsid w:val="000F620F"/>
    <w:rsid w:val="0015702A"/>
    <w:rsid w:val="00177566"/>
    <w:rsid w:val="001B5A7D"/>
    <w:rsid w:val="00296D3A"/>
    <w:rsid w:val="00325CC7"/>
    <w:rsid w:val="00355043"/>
    <w:rsid w:val="003D1CC9"/>
    <w:rsid w:val="0041161E"/>
    <w:rsid w:val="00456D98"/>
    <w:rsid w:val="004914BC"/>
    <w:rsid w:val="004B4ACF"/>
    <w:rsid w:val="004E783C"/>
    <w:rsid w:val="00595AC1"/>
    <w:rsid w:val="005E7030"/>
    <w:rsid w:val="00750BE9"/>
    <w:rsid w:val="0076613D"/>
    <w:rsid w:val="007E3DD2"/>
    <w:rsid w:val="007F005C"/>
    <w:rsid w:val="008269E9"/>
    <w:rsid w:val="008C5631"/>
    <w:rsid w:val="008C7451"/>
    <w:rsid w:val="00915C6D"/>
    <w:rsid w:val="00930385"/>
    <w:rsid w:val="00975B02"/>
    <w:rsid w:val="009A0ABF"/>
    <w:rsid w:val="00A92D37"/>
    <w:rsid w:val="00AD6EA0"/>
    <w:rsid w:val="00B63C4A"/>
    <w:rsid w:val="00B73793"/>
    <w:rsid w:val="00BA182F"/>
    <w:rsid w:val="00BB6E05"/>
    <w:rsid w:val="00BD7F19"/>
    <w:rsid w:val="00C23D77"/>
    <w:rsid w:val="00C32432"/>
    <w:rsid w:val="00C53299"/>
    <w:rsid w:val="00D40487"/>
    <w:rsid w:val="00D75720"/>
    <w:rsid w:val="00D83A68"/>
    <w:rsid w:val="00DA605E"/>
    <w:rsid w:val="00DF320B"/>
    <w:rsid w:val="00E15582"/>
    <w:rsid w:val="00E2582B"/>
    <w:rsid w:val="00F2492A"/>
    <w:rsid w:val="00F27BBD"/>
    <w:rsid w:val="00F97DD9"/>
    <w:rsid w:val="00FA668F"/>
    <w:rsid w:val="00FC42BD"/>
    <w:rsid w:val="00FF6C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82B"/>
    <w:rPr>
      <w:sz w:val="18"/>
      <w:szCs w:val="18"/>
    </w:rPr>
  </w:style>
  <w:style w:type="paragraph" w:styleId="a4">
    <w:name w:val="footer"/>
    <w:basedOn w:val="a"/>
    <w:link w:val="Char0"/>
    <w:uiPriority w:val="99"/>
    <w:unhideWhenUsed/>
    <w:rsid w:val="00E2582B"/>
    <w:pPr>
      <w:tabs>
        <w:tab w:val="center" w:pos="4153"/>
        <w:tab w:val="right" w:pos="8306"/>
      </w:tabs>
      <w:snapToGrid w:val="0"/>
      <w:jc w:val="left"/>
    </w:pPr>
    <w:rPr>
      <w:sz w:val="18"/>
      <w:szCs w:val="18"/>
    </w:rPr>
  </w:style>
  <w:style w:type="character" w:customStyle="1" w:styleId="Char0">
    <w:name w:val="页脚 Char"/>
    <w:basedOn w:val="a0"/>
    <w:link w:val="a4"/>
    <w:uiPriority w:val="99"/>
    <w:rsid w:val="00E2582B"/>
    <w:rPr>
      <w:sz w:val="18"/>
      <w:szCs w:val="18"/>
    </w:rPr>
  </w:style>
  <w:style w:type="paragraph" w:styleId="a5">
    <w:name w:val="List Paragraph"/>
    <w:basedOn w:val="a"/>
    <w:uiPriority w:val="34"/>
    <w:qFormat/>
    <w:rsid w:val="00E2582B"/>
    <w:pPr>
      <w:ind w:firstLineChars="200" w:firstLine="420"/>
    </w:pPr>
  </w:style>
  <w:style w:type="paragraph" w:styleId="a6">
    <w:name w:val="No Spacing"/>
    <w:uiPriority w:val="1"/>
    <w:qFormat/>
    <w:rsid w:val="00E2582B"/>
    <w:pPr>
      <w:widowControl w:val="0"/>
      <w:jc w:val="both"/>
    </w:pPr>
  </w:style>
  <w:style w:type="table" w:styleId="a7">
    <w:name w:val="Table Grid"/>
    <w:basedOn w:val="a1"/>
    <w:uiPriority w:val="39"/>
    <w:rsid w:val="00E2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2582B"/>
    <w:rPr>
      <w:sz w:val="21"/>
      <w:szCs w:val="21"/>
    </w:rPr>
  </w:style>
  <w:style w:type="paragraph" w:styleId="a9">
    <w:name w:val="annotation text"/>
    <w:basedOn w:val="a"/>
    <w:link w:val="Char1"/>
    <w:uiPriority w:val="99"/>
    <w:unhideWhenUsed/>
    <w:rsid w:val="00E2582B"/>
    <w:pPr>
      <w:jc w:val="left"/>
    </w:pPr>
  </w:style>
  <w:style w:type="character" w:customStyle="1" w:styleId="Char1">
    <w:name w:val="批注文字 Char"/>
    <w:basedOn w:val="a0"/>
    <w:link w:val="a9"/>
    <w:uiPriority w:val="99"/>
    <w:rsid w:val="00E2582B"/>
  </w:style>
  <w:style w:type="paragraph" w:styleId="aa">
    <w:name w:val="Balloon Text"/>
    <w:basedOn w:val="a"/>
    <w:link w:val="Char2"/>
    <w:uiPriority w:val="99"/>
    <w:semiHidden/>
    <w:unhideWhenUsed/>
    <w:rsid w:val="00E2582B"/>
    <w:rPr>
      <w:sz w:val="18"/>
      <w:szCs w:val="18"/>
    </w:rPr>
  </w:style>
  <w:style w:type="character" w:customStyle="1" w:styleId="Char2">
    <w:name w:val="批注框文本 Char"/>
    <w:basedOn w:val="a0"/>
    <w:link w:val="aa"/>
    <w:uiPriority w:val="99"/>
    <w:semiHidden/>
    <w:rsid w:val="00E2582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F7FF1-EB86-467B-B656-6119C70C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4</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2025-12-10T16:02:00Z</dcterms:created>
  <dcterms:modified xsi:type="dcterms:W3CDTF">2025-12-10T16:02:00Z</dcterms:modified>
</cp:coreProperties>
</file>