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05" w:rsidRPr="00D7415B" w:rsidRDefault="00C361D7" w:rsidP="00D7415B">
      <w:pPr>
        <w:spacing w:after="0" w:line="360" w:lineRule="auto"/>
        <w:jc w:val="center"/>
        <w:rPr>
          <w:rFonts w:ascii="Times New Roman" w:eastAsia="宋体" w:hAnsi="Times New Roman" w:cs="Times New Roman"/>
          <w:position w:val="-4"/>
          <w:sz w:val="28"/>
          <w:szCs w:val="30"/>
          <w:lang w:eastAsia="zh-CN"/>
        </w:rPr>
      </w:pPr>
      <w:bookmarkStart w:id="0" w:name="_GoBack"/>
      <w:bookmarkEnd w:id="0"/>
      <w:r w:rsidRPr="00D7415B">
        <w:rPr>
          <w:rFonts w:ascii="Times New Roman" w:eastAsia="宋体" w:hAnsi="Times New Roman" w:cs="Times New Roman" w:hint="eastAsia"/>
          <w:position w:val="-4"/>
          <w:sz w:val="28"/>
          <w:szCs w:val="30"/>
          <w:lang w:eastAsia="zh-CN"/>
        </w:rPr>
        <w:t>鹏扬基金管理有限公司关于增加基金合作销售机构</w:t>
      </w:r>
    </w:p>
    <w:p w:rsidR="008155C2" w:rsidRPr="00D7415B" w:rsidRDefault="00C361D7" w:rsidP="00D7415B">
      <w:pPr>
        <w:spacing w:after="0" w:line="360" w:lineRule="auto"/>
        <w:jc w:val="center"/>
        <w:rPr>
          <w:rFonts w:ascii="Times New Roman" w:eastAsia="宋体" w:hAnsi="Times New Roman" w:cs="Times New Roman"/>
          <w:position w:val="-4"/>
          <w:sz w:val="28"/>
          <w:szCs w:val="30"/>
          <w:lang w:eastAsia="zh-CN"/>
        </w:rPr>
      </w:pPr>
      <w:r w:rsidRPr="00D7415B">
        <w:rPr>
          <w:rFonts w:ascii="Times New Roman" w:eastAsia="宋体" w:hAnsi="Times New Roman" w:cs="Times New Roman" w:hint="eastAsia"/>
          <w:position w:val="-4"/>
          <w:sz w:val="28"/>
          <w:szCs w:val="30"/>
          <w:lang w:eastAsia="zh-CN"/>
        </w:rPr>
        <w:t>并参加</w:t>
      </w:r>
      <w:r w:rsidRPr="00D7415B">
        <w:rPr>
          <w:rFonts w:ascii="Times New Roman" w:eastAsia="宋体" w:hAnsi="Times New Roman" w:cs="Times New Roman"/>
          <w:position w:val="-4"/>
          <w:sz w:val="28"/>
          <w:szCs w:val="30"/>
          <w:lang w:eastAsia="zh-CN"/>
        </w:rPr>
        <w:t>费率优惠活动</w:t>
      </w:r>
      <w:r w:rsidRPr="00D7415B">
        <w:rPr>
          <w:rFonts w:ascii="Times New Roman" w:eastAsia="宋体" w:hAnsi="Times New Roman" w:cs="Times New Roman" w:hint="eastAsia"/>
          <w:position w:val="-4"/>
          <w:sz w:val="28"/>
          <w:szCs w:val="30"/>
          <w:lang w:eastAsia="zh-CN"/>
        </w:rPr>
        <w:t>的公告</w:t>
      </w:r>
    </w:p>
    <w:p w:rsidR="008155C2" w:rsidRPr="00D7415B" w:rsidRDefault="00C361D7" w:rsidP="00BA15B3">
      <w:pPr>
        <w:spacing w:beforeLines="50" w:after="0" w:line="36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eastAsia="zh-CN"/>
        </w:rPr>
      </w:pP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根据</w:t>
      </w:r>
      <w:r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鹏扬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基金管理有限公司（以下简称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“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本公司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”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）与</w:t>
      </w:r>
      <w:r w:rsidR="00337005"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上海浦东发展银行股份有限公司（以下简称“浦发银行”）签署的基金销售协议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，自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2025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年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12</w:t>
      </w:r>
      <w:r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月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11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日起</w:t>
      </w:r>
      <w:r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，投资者可到</w:t>
      </w:r>
      <w:r w:rsidR="00337005"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浦发银行</w:t>
      </w:r>
      <w:r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办理如下基金的相关业务。具体的业务流程、办理时间和办理方式以</w:t>
      </w:r>
      <w:r w:rsidR="00337005"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浦发银行</w:t>
      </w:r>
      <w:r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的规定为准。</w:t>
      </w:r>
    </w:p>
    <w:p w:rsidR="008155C2" w:rsidRPr="00D7415B" w:rsidRDefault="00C361D7" w:rsidP="00BA15B3">
      <w:pPr>
        <w:widowControl/>
        <w:shd w:val="clear" w:color="auto" w:fill="FFFFFF"/>
        <w:spacing w:beforeLines="50" w:after="0" w:line="360" w:lineRule="auto"/>
        <w:ind w:firstLineChars="200" w:firstLine="420"/>
        <w:outlineLvl w:val="0"/>
        <w:rPr>
          <w:rFonts w:ascii="Times New Roman" w:eastAsia="宋体" w:hAnsi="Times New Roman" w:cs="Times New Roman"/>
          <w:sz w:val="21"/>
          <w:szCs w:val="21"/>
          <w:lang w:eastAsia="zh-CN"/>
        </w:rPr>
        <w:pPrChange w:id="1" w:author="ZHONGM" w:date="2025-12-11T00:00:00Z">
          <w:pPr>
            <w:widowControl/>
            <w:shd w:val="clear" w:color="auto" w:fill="FFFFFF"/>
            <w:spacing w:beforeLines="50" w:after="0" w:line="360" w:lineRule="auto"/>
            <w:ind w:firstLineChars="200" w:firstLine="420"/>
            <w:outlineLvl w:val="0"/>
          </w:pPr>
        </w:pPrChange>
      </w:pP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一、费率优惠</w:t>
      </w:r>
      <w:r w:rsidR="00337005"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活动范围及内容</w:t>
      </w:r>
    </w:p>
    <w:tbl>
      <w:tblPr>
        <w:tblStyle w:val="aa"/>
        <w:tblW w:w="0" w:type="auto"/>
        <w:jc w:val="center"/>
        <w:tblLayout w:type="fixed"/>
        <w:tblLook w:val="04A0"/>
      </w:tblPr>
      <w:tblGrid>
        <w:gridCol w:w="2789"/>
        <w:gridCol w:w="1175"/>
        <w:gridCol w:w="2268"/>
        <w:gridCol w:w="2322"/>
      </w:tblGrid>
      <w:tr w:rsidR="00337005" w:rsidRPr="00337005" w:rsidTr="00D7415B">
        <w:trPr>
          <w:trHeight w:val="351"/>
          <w:jc w:val="center"/>
        </w:trPr>
        <w:tc>
          <w:tcPr>
            <w:tcW w:w="2789" w:type="dxa"/>
            <w:noWrap/>
            <w:vAlign w:val="center"/>
          </w:tcPr>
          <w:p w:rsidR="00337005" w:rsidRPr="00D7415B" w:rsidRDefault="00337005" w:rsidP="00D7415B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D7415B">
              <w:rPr>
                <w:rFonts w:ascii="Times New Roman" w:hAnsi="Times New Roman" w:cs="Times New Roman" w:hint="eastAsia"/>
                <w:sz w:val="21"/>
                <w:szCs w:val="21"/>
              </w:rPr>
              <w:t>基金简称</w:t>
            </w:r>
          </w:p>
        </w:tc>
        <w:tc>
          <w:tcPr>
            <w:tcW w:w="1175" w:type="dxa"/>
            <w:noWrap/>
            <w:vAlign w:val="center"/>
          </w:tcPr>
          <w:p w:rsidR="00337005" w:rsidRPr="00D7415B" w:rsidRDefault="00337005" w:rsidP="00D7415B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D7415B">
              <w:rPr>
                <w:rFonts w:ascii="Times New Roman" w:hAnsi="Times New Roman" w:cs="Times New Roman" w:hint="eastAsia"/>
                <w:sz w:val="21"/>
                <w:szCs w:val="21"/>
              </w:rPr>
              <w:t>基金代码</w:t>
            </w:r>
          </w:p>
        </w:tc>
        <w:tc>
          <w:tcPr>
            <w:tcW w:w="2268" w:type="dxa"/>
            <w:vAlign w:val="center"/>
          </w:tcPr>
          <w:p w:rsidR="00337005" w:rsidRPr="00D7415B" w:rsidRDefault="00337005" w:rsidP="00D7415B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415B">
              <w:rPr>
                <w:rFonts w:ascii="Times New Roman" w:hAnsi="Times New Roman" w:cs="Times New Roman" w:hint="eastAsia"/>
                <w:sz w:val="21"/>
                <w:szCs w:val="21"/>
              </w:rPr>
              <w:t>开通业务类型</w:t>
            </w:r>
          </w:p>
        </w:tc>
        <w:tc>
          <w:tcPr>
            <w:tcW w:w="2322" w:type="dxa"/>
            <w:vAlign w:val="center"/>
          </w:tcPr>
          <w:p w:rsidR="00337005" w:rsidRPr="00D7415B" w:rsidRDefault="00337005" w:rsidP="00D7415B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415B">
              <w:rPr>
                <w:rFonts w:ascii="Times New Roman" w:hAnsi="Times New Roman" w:cs="Times New Roman" w:hint="eastAsia"/>
                <w:sz w:val="21"/>
                <w:szCs w:val="21"/>
              </w:rPr>
              <w:t>费率优惠</w:t>
            </w:r>
          </w:p>
        </w:tc>
      </w:tr>
      <w:tr w:rsidR="00337005" w:rsidRPr="00337005" w:rsidTr="00D7415B">
        <w:trPr>
          <w:trHeight w:val="351"/>
          <w:jc w:val="center"/>
        </w:trPr>
        <w:tc>
          <w:tcPr>
            <w:tcW w:w="2789" w:type="dxa"/>
            <w:noWrap/>
            <w:vAlign w:val="center"/>
          </w:tcPr>
          <w:p w:rsidR="00337005" w:rsidRPr="00D7415B" w:rsidRDefault="00337005" w:rsidP="00D7415B">
            <w:pPr>
              <w:pStyle w:val="2"/>
              <w:widowControl/>
              <w:shd w:val="clear" w:color="auto" w:fill="FFFFFF"/>
              <w:spacing w:beforeAutospacing="0" w:afterAutospacing="0" w:line="240" w:lineRule="auto"/>
              <w:jc w:val="center"/>
              <w:outlineLvl w:val="1"/>
              <w:rPr>
                <w:rFonts w:ascii="Times New Roman" w:hAnsi="Times New Roman" w:hint="default"/>
                <w:b w:val="0"/>
                <w:bCs w:val="0"/>
                <w:kern w:val="0"/>
                <w:sz w:val="21"/>
                <w:szCs w:val="21"/>
              </w:rPr>
            </w:pPr>
            <w:r w:rsidRPr="00D7415B"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>鹏扬中证</w:t>
            </w:r>
            <w:r w:rsidRPr="00D7415B"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A500</w:t>
            </w:r>
            <w:r w:rsidRPr="00D7415B"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>指数增强</w:t>
            </w:r>
            <w:r w:rsidRPr="00D7415B"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A</w:t>
            </w:r>
          </w:p>
        </w:tc>
        <w:tc>
          <w:tcPr>
            <w:tcW w:w="1175" w:type="dxa"/>
            <w:noWrap/>
            <w:vAlign w:val="center"/>
          </w:tcPr>
          <w:p w:rsidR="00337005" w:rsidRPr="00D7415B" w:rsidRDefault="00337005" w:rsidP="00D7415B">
            <w:pPr>
              <w:pStyle w:val="2"/>
              <w:widowControl/>
              <w:shd w:val="clear" w:color="auto" w:fill="FFFFFF"/>
              <w:spacing w:beforeAutospacing="0" w:afterAutospacing="0" w:line="240" w:lineRule="auto"/>
              <w:jc w:val="center"/>
              <w:outlineLvl w:val="1"/>
              <w:rPr>
                <w:rFonts w:ascii="Times New Roman" w:hAnsi="Times New Roman" w:hint="default"/>
                <w:b w:val="0"/>
                <w:bCs w:val="0"/>
                <w:kern w:val="0"/>
                <w:sz w:val="21"/>
                <w:szCs w:val="21"/>
              </w:rPr>
            </w:pPr>
            <w:r w:rsidRPr="00D7415B"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022756</w:t>
            </w:r>
          </w:p>
        </w:tc>
        <w:tc>
          <w:tcPr>
            <w:tcW w:w="2268" w:type="dxa"/>
            <w:vMerge w:val="restart"/>
            <w:vAlign w:val="center"/>
          </w:tcPr>
          <w:p w:rsidR="00337005" w:rsidRPr="00D7415B" w:rsidRDefault="00337005" w:rsidP="00D7415B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D7415B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申购、赎回、转换、定期定额投资（以下简称“定投”）</w:t>
            </w:r>
            <w:r w:rsidRPr="00D7415B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Pr="00D7415B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业务</w:t>
            </w:r>
          </w:p>
        </w:tc>
        <w:tc>
          <w:tcPr>
            <w:tcW w:w="2322" w:type="dxa"/>
            <w:vMerge w:val="restart"/>
            <w:vAlign w:val="center"/>
          </w:tcPr>
          <w:p w:rsidR="00337005" w:rsidRPr="00D7415B" w:rsidRDefault="00337005" w:rsidP="00D7415B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D7415B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申购、定投申购费率不低于</w:t>
            </w:r>
            <w:r w:rsidRPr="00D7415B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</w:t>
            </w:r>
            <w:r w:rsidRPr="00D7415B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折。适用于固定费率的，按原费率执行</w:t>
            </w:r>
          </w:p>
        </w:tc>
      </w:tr>
      <w:tr w:rsidR="00337005" w:rsidRPr="00337005" w:rsidTr="00D7415B">
        <w:trPr>
          <w:trHeight w:val="351"/>
          <w:jc w:val="center"/>
        </w:trPr>
        <w:tc>
          <w:tcPr>
            <w:tcW w:w="2789" w:type="dxa"/>
            <w:noWrap/>
            <w:vAlign w:val="center"/>
          </w:tcPr>
          <w:p w:rsidR="00337005" w:rsidRPr="00D7415B" w:rsidRDefault="00337005" w:rsidP="00D7415B">
            <w:pPr>
              <w:pStyle w:val="2"/>
              <w:widowControl/>
              <w:shd w:val="clear" w:color="auto" w:fill="FFFFFF"/>
              <w:spacing w:beforeAutospacing="0" w:afterAutospacing="0" w:line="240" w:lineRule="auto"/>
              <w:jc w:val="center"/>
              <w:outlineLvl w:val="1"/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</w:pPr>
            <w:r w:rsidRPr="00D7415B"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>鹏扬中证</w:t>
            </w:r>
            <w:r w:rsidRPr="00D7415B"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A500</w:t>
            </w:r>
            <w:r w:rsidRPr="00D7415B"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>指数增强</w:t>
            </w:r>
            <w:r w:rsidRPr="00D7415B"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C</w:t>
            </w:r>
          </w:p>
        </w:tc>
        <w:tc>
          <w:tcPr>
            <w:tcW w:w="1175" w:type="dxa"/>
            <w:noWrap/>
            <w:vAlign w:val="center"/>
          </w:tcPr>
          <w:p w:rsidR="00337005" w:rsidRPr="00D7415B" w:rsidRDefault="00337005" w:rsidP="00D7415B">
            <w:pPr>
              <w:pStyle w:val="2"/>
              <w:widowControl/>
              <w:shd w:val="clear" w:color="auto" w:fill="FFFFFF"/>
              <w:spacing w:beforeAutospacing="0" w:afterAutospacing="0" w:line="240" w:lineRule="auto"/>
              <w:jc w:val="center"/>
              <w:outlineLvl w:val="1"/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</w:pPr>
            <w:r w:rsidRPr="00D7415B"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022757</w:t>
            </w:r>
          </w:p>
        </w:tc>
        <w:tc>
          <w:tcPr>
            <w:tcW w:w="2268" w:type="dxa"/>
            <w:vMerge/>
            <w:vAlign w:val="center"/>
          </w:tcPr>
          <w:p w:rsidR="00337005" w:rsidRPr="00D7415B" w:rsidRDefault="0033700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322" w:type="dxa"/>
            <w:vMerge/>
            <w:vAlign w:val="center"/>
          </w:tcPr>
          <w:p w:rsidR="00337005" w:rsidRPr="00D7415B" w:rsidRDefault="0033700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</w:p>
        </w:tc>
      </w:tr>
    </w:tbl>
    <w:p w:rsidR="008155C2" w:rsidRPr="00D7415B" w:rsidRDefault="00C361D7" w:rsidP="00BA15B3">
      <w:pPr>
        <w:spacing w:beforeLines="100" w:after="0" w:line="360" w:lineRule="auto"/>
        <w:ind w:firstLineChars="200" w:firstLine="420"/>
        <w:outlineLvl w:val="0"/>
        <w:rPr>
          <w:rFonts w:ascii="Times New Roman" w:eastAsia="宋体" w:hAnsi="Times New Roman" w:cs="Times New Roman"/>
          <w:sz w:val="21"/>
          <w:szCs w:val="21"/>
          <w:lang w:eastAsia="zh-CN"/>
        </w:rPr>
      </w:pPr>
      <w:r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二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、重要提示</w:t>
      </w:r>
    </w:p>
    <w:p w:rsidR="008155C2" w:rsidRPr="007E090D" w:rsidRDefault="00C361D7" w:rsidP="00337005">
      <w:pPr>
        <w:spacing w:after="0" w:line="360" w:lineRule="auto"/>
        <w:ind w:firstLineChars="200" w:firstLine="420"/>
        <w:rPr>
          <w:rFonts w:ascii="Times New Roman" w:eastAsia="宋体" w:hAnsi="Times New Roman" w:cs="Times New Roman"/>
          <w:szCs w:val="21"/>
          <w:lang w:eastAsia="zh-CN"/>
        </w:rPr>
      </w:pP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1</w:t>
      </w:r>
      <w:r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、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投资者在</w:t>
      </w:r>
      <w:r w:rsidR="00337005"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浦发银行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办理基金的投资事务，具体费率计算、办理规则及程序以</w:t>
      </w:r>
      <w:r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销售机构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的安排和规定为准。</w:t>
      </w:r>
      <w:r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基金的原费率，参见上述基金的《基金合同》、更新的《招募说明书》、更新的《产品资料概要》及本公司发布的最新相关公告。</w:t>
      </w:r>
    </w:p>
    <w:p w:rsidR="008155C2" w:rsidRPr="00D7415B" w:rsidRDefault="00C361D7" w:rsidP="00D7415B">
      <w:pPr>
        <w:spacing w:after="0" w:line="36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  <w:lang w:eastAsia="zh-CN"/>
        </w:rPr>
      </w:pP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2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、本优惠活动</w:t>
      </w:r>
      <w:r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仅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适用于</w:t>
      </w:r>
      <w:r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我司产品在</w:t>
      </w:r>
      <w:r w:rsidR="00337005"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浦发银行</w:t>
      </w:r>
      <w:r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的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申购</w:t>
      </w:r>
      <w:r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及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定</w:t>
      </w:r>
      <w:r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投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申购费率</w:t>
      </w:r>
      <w:r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，不包括基金赎回、转换等其他业务的手续费。</w:t>
      </w:r>
    </w:p>
    <w:p w:rsidR="008155C2" w:rsidRPr="00D7415B" w:rsidRDefault="00C361D7" w:rsidP="00D7415B">
      <w:pPr>
        <w:spacing w:after="0" w:line="36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  <w:lang w:eastAsia="zh-CN"/>
        </w:rPr>
      </w:pP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3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、</w:t>
      </w:r>
      <w:r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费率优惠活动解释权归销售机构所有，敬请投资者留意前述销售机构的有关公告。</w:t>
      </w:r>
    </w:p>
    <w:p w:rsidR="008155C2" w:rsidRPr="00D7415B" w:rsidRDefault="00C361D7" w:rsidP="00BA15B3">
      <w:pPr>
        <w:spacing w:beforeLines="50" w:after="0" w:line="360" w:lineRule="auto"/>
        <w:ind w:firstLineChars="200" w:firstLine="420"/>
        <w:outlineLvl w:val="0"/>
        <w:rPr>
          <w:rFonts w:ascii="Times New Roman" w:eastAsia="宋体" w:hAnsi="Times New Roman" w:cs="Times New Roman"/>
          <w:sz w:val="21"/>
          <w:szCs w:val="21"/>
          <w:lang w:eastAsia="zh-CN"/>
        </w:rPr>
      </w:pPr>
      <w:r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三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、</w:t>
      </w:r>
      <w:r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咨询途径</w:t>
      </w:r>
    </w:p>
    <w:p w:rsidR="008155C2" w:rsidRPr="00D7415B" w:rsidRDefault="00C361D7" w:rsidP="00D7415B">
      <w:pPr>
        <w:spacing w:after="0" w:line="36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  <w:lang w:eastAsia="zh-CN"/>
        </w:rPr>
      </w:pP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投资者可</w:t>
      </w:r>
      <w:r w:rsidRPr="00D7415B">
        <w:rPr>
          <w:rFonts w:ascii="Times New Roman" w:eastAsia="宋体" w:hAnsi="Times New Roman" w:cs="Times New Roman"/>
          <w:spacing w:val="-5"/>
          <w:sz w:val="21"/>
          <w:szCs w:val="21"/>
          <w:lang w:eastAsia="zh-CN"/>
        </w:rPr>
        <w:t>通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过以下</w:t>
      </w:r>
      <w:r w:rsidRPr="00D7415B">
        <w:rPr>
          <w:rFonts w:ascii="Times New Roman" w:eastAsia="宋体" w:hAnsi="Times New Roman" w:cs="Times New Roman"/>
          <w:spacing w:val="-5"/>
          <w:sz w:val="21"/>
          <w:szCs w:val="21"/>
          <w:lang w:eastAsia="zh-CN"/>
        </w:rPr>
        <w:t>途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径咨询</w:t>
      </w:r>
      <w:r w:rsidRPr="00D7415B">
        <w:rPr>
          <w:rFonts w:ascii="Times New Roman" w:eastAsia="宋体" w:hAnsi="Times New Roman" w:cs="Times New Roman"/>
          <w:spacing w:val="-5"/>
          <w:sz w:val="21"/>
          <w:szCs w:val="21"/>
          <w:lang w:eastAsia="zh-CN"/>
        </w:rPr>
        <w:t>有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关详情：</w:t>
      </w:r>
    </w:p>
    <w:p w:rsidR="008155C2" w:rsidRPr="00D7415B" w:rsidRDefault="00337005" w:rsidP="00D7415B">
      <w:pPr>
        <w:pStyle w:val="a8"/>
        <w:spacing w:before="0" w:beforeAutospacing="0" w:after="0" w:afterAutospacing="0"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 w:rsidRPr="00D7415B">
        <w:rPr>
          <w:rFonts w:ascii="Times New Roman" w:hAnsi="Times New Roman" w:cs="Times New Roman"/>
          <w:sz w:val="21"/>
          <w:szCs w:val="21"/>
        </w:rPr>
        <w:t>1</w:t>
      </w:r>
      <w:r w:rsidRPr="00D7415B">
        <w:rPr>
          <w:rFonts w:ascii="Times New Roman" w:hAnsi="Times New Roman" w:cs="Times New Roman" w:hint="eastAsia"/>
          <w:sz w:val="21"/>
          <w:szCs w:val="21"/>
        </w:rPr>
        <w:t>、</w:t>
      </w:r>
      <w:r w:rsidR="00C361D7" w:rsidRPr="00D7415B">
        <w:rPr>
          <w:rFonts w:ascii="Times New Roman" w:hAnsi="Times New Roman" w:cs="Times New Roman" w:hint="eastAsia"/>
          <w:sz w:val="21"/>
          <w:szCs w:val="21"/>
        </w:rPr>
        <w:t>上海浦东发展银行股份有限公司</w:t>
      </w:r>
    </w:p>
    <w:p w:rsidR="008155C2" w:rsidRPr="00D7415B" w:rsidRDefault="00C361D7" w:rsidP="00D7415B">
      <w:pPr>
        <w:pStyle w:val="a8"/>
        <w:spacing w:before="0" w:beforeAutospacing="0" w:after="0" w:afterAutospacing="0"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 w:rsidRPr="00D7415B">
        <w:rPr>
          <w:rFonts w:ascii="Times New Roman" w:hAnsi="Times New Roman" w:cs="Times New Roman" w:hint="eastAsia"/>
          <w:sz w:val="21"/>
          <w:szCs w:val="21"/>
        </w:rPr>
        <w:t>客服电话：</w:t>
      </w:r>
      <w:r w:rsidRPr="00D7415B">
        <w:rPr>
          <w:rFonts w:ascii="Times New Roman" w:hAnsi="Times New Roman" w:cs="Times New Roman"/>
          <w:sz w:val="21"/>
          <w:szCs w:val="21"/>
        </w:rPr>
        <w:t>95528</w:t>
      </w:r>
    </w:p>
    <w:p w:rsidR="008155C2" w:rsidRPr="00D7415B" w:rsidRDefault="00C361D7" w:rsidP="00D7415B">
      <w:pPr>
        <w:pStyle w:val="a8"/>
        <w:spacing w:before="0" w:beforeAutospacing="0" w:after="0" w:afterAutospacing="0"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 w:rsidRPr="00D7415B">
        <w:rPr>
          <w:rFonts w:ascii="Times New Roman" w:hAnsi="Times New Roman" w:cs="Times New Roman" w:hint="eastAsia"/>
          <w:sz w:val="21"/>
          <w:szCs w:val="21"/>
        </w:rPr>
        <w:t>网址：</w:t>
      </w:r>
      <w:r w:rsidRPr="00D7415B">
        <w:rPr>
          <w:rFonts w:ascii="Times New Roman" w:hAnsi="Times New Roman" w:cs="Times New Roman"/>
          <w:sz w:val="21"/>
          <w:szCs w:val="21"/>
        </w:rPr>
        <w:t>www.spdb.com</w:t>
      </w:r>
      <w:r w:rsidR="007E090D">
        <w:rPr>
          <w:rFonts w:ascii="Times New Roman" w:hAnsi="Times New Roman" w:cs="Times New Roman" w:hint="eastAsia"/>
          <w:sz w:val="21"/>
          <w:szCs w:val="21"/>
        </w:rPr>
        <w:t>.</w:t>
      </w:r>
      <w:r w:rsidR="007E090D">
        <w:rPr>
          <w:rFonts w:ascii="Times New Roman" w:hAnsi="Times New Roman" w:cs="Times New Roman"/>
          <w:sz w:val="21"/>
          <w:szCs w:val="21"/>
        </w:rPr>
        <w:t>cn</w:t>
      </w:r>
    </w:p>
    <w:p w:rsidR="008155C2" w:rsidRPr="00D7415B" w:rsidRDefault="00337005" w:rsidP="00D7415B">
      <w:pPr>
        <w:spacing w:after="0" w:line="36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  <w:lang w:eastAsia="zh-CN"/>
        </w:rPr>
      </w:pP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2</w:t>
      </w:r>
      <w:r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、</w:t>
      </w:r>
      <w:r w:rsidR="00C361D7"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鹏扬基金管理有限公司</w:t>
      </w:r>
    </w:p>
    <w:p w:rsidR="00337005" w:rsidRPr="00D7415B" w:rsidRDefault="00C361D7" w:rsidP="00D7415B">
      <w:pPr>
        <w:spacing w:after="0" w:line="36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  <w:lang w:eastAsia="zh-CN"/>
        </w:rPr>
      </w:pPr>
      <w:r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客服电话：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400-968-6688</w:t>
      </w:r>
    </w:p>
    <w:p w:rsidR="008155C2" w:rsidRPr="00D7415B" w:rsidRDefault="00C361D7" w:rsidP="00D7415B">
      <w:pPr>
        <w:spacing w:after="0" w:line="36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  <w:lang w:eastAsia="zh-CN"/>
        </w:rPr>
      </w:pPr>
      <w:r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网址：</w:t>
      </w:r>
      <w:r w:rsidRPr="00D7415B">
        <w:rPr>
          <w:rFonts w:ascii="Times New Roman" w:eastAsia="宋体" w:hAnsi="Times New Roman" w:cs="Times New Roman"/>
          <w:sz w:val="21"/>
          <w:szCs w:val="21"/>
          <w:lang w:eastAsia="zh-CN"/>
        </w:rPr>
        <w:t>www.pyamc.com</w:t>
      </w:r>
    </w:p>
    <w:p w:rsidR="008155C2" w:rsidRPr="00D7415B" w:rsidRDefault="00C361D7" w:rsidP="00BA15B3">
      <w:pPr>
        <w:spacing w:beforeLines="50" w:after="0" w:line="360" w:lineRule="auto"/>
        <w:ind w:firstLineChars="200" w:firstLine="420"/>
        <w:outlineLvl w:val="0"/>
        <w:rPr>
          <w:rFonts w:ascii="Times New Roman" w:eastAsia="宋体" w:hAnsi="Times New Roman" w:cs="Times New Roman"/>
          <w:sz w:val="21"/>
          <w:szCs w:val="21"/>
          <w:lang w:eastAsia="zh-CN"/>
        </w:rPr>
      </w:pPr>
      <w:r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四、风险提示</w:t>
      </w:r>
    </w:p>
    <w:p w:rsidR="008155C2" w:rsidRPr="00337005" w:rsidRDefault="00C361D7" w:rsidP="00D7415B">
      <w:pPr>
        <w:widowControl/>
        <w:shd w:val="clear" w:color="auto" w:fill="FFFFFF"/>
        <w:spacing w:after="0" w:line="360" w:lineRule="auto"/>
        <w:ind w:firstLineChars="200" w:firstLine="420"/>
        <w:rPr>
          <w:rFonts w:ascii="Times New Roman" w:hAnsi="Times New Roman" w:cs="Times New Roman"/>
          <w:szCs w:val="21"/>
          <w:lang w:eastAsia="zh-CN"/>
        </w:rPr>
      </w:pPr>
      <w:r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本公司承诺以诚实信用、勤勉尽责的原则管理和运用基金资产，但不保证基金一定盈利，也不保证最低收益。基金的过往业绩及其净值高低并不预示其未来业绩表现。销售机构根据法规要求对投资者类别、风险承受能力和基金的风险等级进行划分，并提出适当性匹配意见。投资者投资本公司管理的基金时，应认真阅读基金合同、招募说明书（更新）、产品资料概要（更新）等法律文件，全面认识基金的风险收益特征和产品特性，在了解产品情况、听取销售机构适当性匹配意见的基础上，充分考虑自身的风险承受能力、投资期限和投资目标，</w:t>
      </w:r>
      <w:r w:rsidRPr="00D7415B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lastRenderedPageBreak/>
        <w:t>理性判断市场，谨慎做出投资决策。基金管理人提醒投资者基金投资的“买者自负”原则，在做出投资决策后，基金运营状况与基金净值变化引致的投资风险，由投资者自行负担。请投资者严格遵守反洗钱相关法律法规的规定，切实履行反洗钱义务。</w:t>
      </w:r>
    </w:p>
    <w:p w:rsidR="008155C2" w:rsidRPr="00D7415B" w:rsidRDefault="00C361D7" w:rsidP="00BA15B3">
      <w:pPr>
        <w:pStyle w:val="a8"/>
        <w:spacing w:beforeLines="100" w:beforeAutospacing="0" w:afterLines="100" w:afterAutospacing="0" w:line="360" w:lineRule="auto"/>
        <w:ind w:firstLineChars="200" w:firstLine="420"/>
        <w:rPr>
          <w:rFonts w:ascii="Times New Roman" w:hAnsi="Times New Roman" w:cs="Times New Roman"/>
          <w:color w:val="000000"/>
          <w:sz w:val="21"/>
          <w:szCs w:val="21"/>
        </w:rPr>
      </w:pPr>
      <w:r w:rsidRPr="00D7415B">
        <w:rPr>
          <w:rFonts w:ascii="Times New Roman" w:hAnsi="Times New Roman" w:cs="Times New Roman"/>
          <w:color w:val="000000"/>
          <w:sz w:val="21"/>
          <w:szCs w:val="21"/>
        </w:rPr>
        <w:t>特此公告</w:t>
      </w:r>
      <w:r w:rsidRPr="00D7415B">
        <w:rPr>
          <w:rFonts w:ascii="Times New Roman" w:hAnsi="Times New Roman" w:cs="Times New Roman" w:hint="eastAsia"/>
          <w:color w:val="000000"/>
          <w:sz w:val="21"/>
          <w:szCs w:val="21"/>
        </w:rPr>
        <w:t>。</w:t>
      </w:r>
    </w:p>
    <w:p w:rsidR="008155C2" w:rsidRPr="00D7415B" w:rsidRDefault="00C361D7">
      <w:pPr>
        <w:pStyle w:val="a8"/>
        <w:spacing w:before="0" w:beforeAutospacing="0" w:after="0" w:afterAutospacing="0" w:line="360" w:lineRule="auto"/>
        <w:ind w:firstLineChars="200" w:firstLine="420"/>
        <w:jc w:val="right"/>
        <w:rPr>
          <w:rFonts w:ascii="Times New Roman" w:hAnsi="Times New Roman" w:cs="Times New Roman"/>
          <w:color w:val="000000"/>
          <w:sz w:val="21"/>
          <w:szCs w:val="21"/>
        </w:rPr>
      </w:pPr>
      <w:r w:rsidRPr="00D7415B">
        <w:rPr>
          <w:rFonts w:ascii="Times New Roman" w:hAnsi="Times New Roman" w:cs="Times New Roman"/>
          <w:color w:val="000000"/>
          <w:sz w:val="21"/>
          <w:szCs w:val="21"/>
        </w:rPr>
        <w:t>鹏扬基金管理有限公司</w:t>
      </w:r>
    </w:p>
    <w:p w:rsidR="008155C2" w:rsidRPr="00D7415B" w:rsidRDefault="00337005">
      <w:pPr>
        <w:pStyle w:val="a8"/>
        <w:spacing w:before="0" w:beforeAutospacing="0" w:after="0" w:afterAutospacing="0" w:line="360" w:lineRule="auto"/>
        <w:ind w:firstLineChars="200" w:firstLine="420"/>
        <w:jc w:val="right"/>
        <w:rPr>
          <w:rFonts w:ascii="Times New Roman" w:hAnsi="Times New Roman" w:cs="Times New Roman"/>
          <w:color w:val="000000"/>
          <w:sz w:val="21"/>
          <w:szCs w:val="21"/>
        </w:rPr>
      </w:pPr>
      <w:r w:rsidRPr="00D7415B">
        <w:rPr>
          <w:rFonts w:ascii="Times New Roman" w:hAnsi="Times New Roman" w:cs="Times New Roman"/>
          <w:color w:val="000000"/>
          <w:sz w:val="21"/>
          <w:szCs w:val="21"/>
        </w:rPr>
        <w:t>2025</w:t>
      </w:r>
      <w:r w:rsidRPr="00D7415B">
        <w:rPr>
          <w:rFonts w:ascii="Times New Roman" w:hAnsi="Times New Roman" w:cs="Times New Roman"/>
          <w:color w:val="000000"/>
          <w:sz w:val="21"/>
          <w:szCs w:val="21"/>
        </w:rPr>
        <w:t>年</w:t>
      </w:r>
      <w:r w:rsidRPr="00D7415B">
        <w:rPr>
          <w:rFonts w:ascii="Times New Roman" w:hAnsi="Times New Roman" w:cs="Times New Roman"/>
          <w:color w:val="000000"/>
          <w:sz w:val="21"/>
          <w:szCs w:val="21"/>
        </w:rPr>
        <w:t>12</w:t>
      </w:r>
      <w:r w:rsidRPr="00D7415B">
        <w:rPr>
          <w:rFonts w:ascii="Times New Roman" w:hAnsi="Times New Roman" w:cs="Times New Roman"/>
          <w:color w:val="000000"/>
          <w:sz w:val="21"/>
          <w:szCs w:val="21"/>
        </w:rPr>
        <w:t>月</w:t>
      </w:r>
      <w:r w:rsidRPr="00D7415B">
        <w:rPr>
          <w:rFonts w:ascii="Times New Roman" w:hAnsi="Times New Roman" w:cs="Times New Roman"/>
          <w:color w:val="000000"/>
          <w:sz w:val="21"/>
          <w:szCs w:val="21"/>
        </w:rPr>
        <w:t>11</w:t>
      </w:r>
      <w:r w:rsidRPr="00D7415B">
        <w:rPr>
          <w:rFonts w:ascii="Times New Roman" w:hAnsi="Times New Roman" w:cs="Times New Roman"/>
          <w:color w:val="000000"/>
          <w:sz w:val="21"/>
          <w:szCs w:val="21"/>
        </w:rPr>
        <w:t>日</w:t>
      </w:r>
    </w:p>
    <w:sectPr w:rsidR="008155C2" w:rsidRPr="00D7415B" w:rsidSect="00853FA6">
      <w:type w:val="continuous"/>
      <w:pgSz w:w="11920" w:h="16840"/>
      <w:pgMar w:top="1559" w:right="1678" w:bottom="1134" w:left="167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461" w:rsidRDefault="00AC5461">
      <w:pPr>
        <w:spacing w:line="240" w:lineRule="auto"/>
      </w:pPr>
      <w:r>
        <w:separator/>
      </w:r>
    </w:p>
  </w:endnote>
  <w:endnote w:type="continuationSeparator" w:id="0">
    <w:p w:rsidR="00AC5461" w:rsidRDefault="00AC54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461" w:rsidRDefault="00AC5461">
      <w:pPr>
        <w:spacing w:after="0"/>
      </w:pPr>
      <w:r>
        <w:separator/>
      </w:r>
    </w:p>
  </w:footnote>
  <w:footnote w:type="continuationSeparator" w:id="0">
    <w:p w:rsidR="00AC5461" w:rsidRDefault="00AC546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A331D"/>
    <w:multiLevelType w:val="multilevel"/>
    <w:tmpl w:val="5A3A331D"/>
    <w:lvl w:ilvl="0">
      <w:start w:val="1"/>
      <w:numFmt w:val="decimal"/>
      <w:lvlText w:val="%1."/>
      <w:lvlJc w:val="left"/>
      <w:pPr>
        <w:ind w:left="935" w:hanging="420"/>
      </w:pPr>
    </w:lvl>
    <w:lvl w:ilvl="1">
      <w:start w:val="1"/>
      <w:numFmt w:val="lowerLetter"/>
      <w:lvlText w:val="%2)"/>
      <w:lvlJc w:val="left"/>
      <w:pPr>
        <w:ind w:left="1355" w:hanging="420"/>
      </w:pPr>
    </w:lvl>
    <w:lvl w:ilvl="2">
      <w:start w:val="1"/>
      <w:numFmt w:val="lowerRoman"/>
      <w:lvlText w:val="%3."/>
      <w:lvlJc w:val="right"/>
      <w:pPr>
        <w:ind w:left="1775" w:hanging="420"/>
      </w:pPr>
    </w:lvl>
    <w:lvl w:ilvl="3">
      <w:start w:val="1"/>
      <w:numFmt w:val="decimal"/>
      <w:lvlText w:val="%4."/>
      <w:lvlJc w:val="left"/>
      <w:pPr>
        <w:ind w:left="2195" w:hanging="420"/>
      </w:pPr>
    </w:lvl>
    <w:lvl w:ilvl="4">
      <w:start w:val="1"/>
      <w:numFmt w:val="lowerLetter"/>
      <w:lvlText w:val="%5)"/>
      <w:lvlJc w:val="left"/>
      <w:pPr>
        <w:ind w:left="2615" w:hanging="420"/>
      </w:pPr>
    </w:lvl>
    <w:lvl w:ilvl="5">
      <w:start w:val="1"/>
      <w:numFmt w:val="lowerRoman"/>
      <w:lvlText w:val="%6."/>
      <w:lvlJc w:val="right"/>
      <w:pPr>
        <w:ind w:left="3035" w:hanging="420"/>
      </w:pPr>
    </w:lvl>
    <w:lvl w:ilvl="6">
      <w:start w:val="1"/>
      <w:numFmt w:val="decimal"/>
      <w:lvlText w:val="%7."/>
      <w:lvlJc w:val="left"/>
      <w:pPr>
        <w:ind w:left="3455" w:hanging="420"/>
      </w:pPr>
    </w:lvl>
    <w:lvl w:ilvl="7">
      <w:start w:val="1"/>
      <w:numFmt w:val="lowerLetter"/>
      <w:lvlText w:val="%8)"/>
      <w:lvlJc w:val="left"/>
      <w:pPr>
        <w:ind w:left="3875" w:hanging="420"/>
      </w:pPr>
    </w:lvl>
    <w:lvl w:ilvl="8">
      <w:start w:val="1"/>
      <w:numFmt w:val="lowerRoman"/>
      <w:lvlText w:val="%9."/>
      <w:lvlJc w:val="right"/>
      <w:pPr>
        <w:ind w:left="429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</w:compat>
  <w:docVars>
    <w:docVar w:name="commondata" w:val="eyJoZGlkIjoiMDgzMDQzMGY1NDY1ZGQzNWEwZDFkYzkwNmRiN2M5ODIifQ=="/>
  </w:docVars>
  <w:rsids>
    <w:rsidRoot w:val="00133F02"/>
    <w:rsid w:val="00001C85"/>
    <w:rsid w:val="00016025"/>
    <w:rsid w:val="00040675"/>
    <w:rsid w:val="000534B0"/>
    <w:rsid w:val="000546AC"/>
    <w:rsid w:val="000549EB"/>
    <w:rsid w:val="000625AC"/>
    <w:rsid w:val="000626CE"/>
    <w:rsid w:val="00070A3B"/>
    <w:rsid w:val="00081CD2"/>
    <w:rsid w:val="000903D1"/>
    <w:rsid w:val="00090CB1"/>
    <w:rsid w:val="000B6C69"/>
    <w:rsid w:val="000D2BC9"/>
    <w:rsid w:val="000D7A78"/>
    <w:rsid w:val="000D7A7C"/>
    <w:rsid w:val="000F09D6"/>
    <w:rsid w:val="000F5A37"/>
    <w:rsid w:val="001032D0"/>
    <w:rsid w:val="00105015"/>
    <w:rsid w:val="00106E86"/>
    <w:rsid w:val="001154D0"/>
    <w:rsid w:val="001201FC"/>
    <w:rsid w:val="001232E7"/>
    <w:rsid w:val="00133F02"/>
    <w:rsid w:val="00135203"/>
    <w:rsid w:val="00136C75"/>
    <w:rsid w:val="00144CFF"/>
    <w:rsid w:val="001457B6"/>
    <w:rsid w:val="00177788"/>
    <w:rsid w:val="001777DF"/>
    <w:rsid w:val="001844FB"/>
    <w:rsid w:val="00190952"/>
    <w:rsid w:val="001932F0"/>
    <w:rsid w:val="00194BD2"/>
    <w:rsid w:val="001A0EAC"/>
    <w:rsid w:val="001A506E"/>
    <w:rsid w:val="001A6E18"/>
    <w:rsid w:val="001B2ED6"/>
    <w:rsid w:val="001C1297"/>
    <w:rsid w:val="001C27BA"/>
    <w:rsid w:val="001C3422"/>
    <w:rsid w:val="001C697C"/>
    <w:rsid w:val="001F1FD3"/>
    <w:rsid w:val="001F4462"/>
    <w:rsid w:val="00217766"/>
    <w:rsid w:val="00222184"/>
    <w:rsid w:val="002236AC"/>
    <w:rsid w:val="002241C3"/>
    <w:rsid w:val="002244A1"/>
    <w:rsid w:val="002360FB"/>
    <w:rsid w:val="002362D9"/>
    <w:rsid w:val="0024428A"/>
    <w:rsid w:val="002556C7"/>
    <w:rsid w:val="002671A5"/>
    <w:rsid w:val="0027204F"/>
    <w:rsid w:val="0029408D"/>
    <w:rsid w:val="00296976"/>
    <w:rsid w:val="002B116C"/>
    <w:rsid w:val="002B2370"/>
    <w:rsid w:val="002C0E6B"/>
    <w:rsid w:val="002C265B"/>
    <w:rsid w:val="003060A1"/>
    <w:rsid w:val="003072E1"/>
    <w:rsid w:val="00316490"/>
    <w:rsid w:val="00325F06"/>
    <w:rsid w:val="00337005"/>
    <w:rsid w:val="00341532"/>
    <w:rsid w:val="00344D34"/>
    <w:rsid w:val="00354D36"/>
    <w:rsid w:val="0036192F"/>
    <w:rsid w:val="0036483B"/>
    <w:rsid w:val="00365469"/>
    <w:rsid w:val="00371D62"/>
    <w:rsid w:val="00372AA7"/>
    <w:rsid w:val="00374569"/>
    <w:rsid w:val="003750E3"/>
    <w:rsid w:val="00377AF0"/>
    <w:rsid w:val="003842DF"/>
    <w:rsid w:val="00384835"/>
    <w:rsid w:val="00394A64"/>
    <w:rsid w:val="003A249C"/>
    <w:rsid w:val="003B089A"/>
    <w:rsid w:val="003B13FC"/>
    <w:rsid w:val="003B274E"/>
    <w:rsid w:val="003C2BD5"/>
    <w:rsid w:val="003C2CB2"/>
    <w:rsid w:val="003C48E0"/>
    <w:rsid w:val="003D6CEC"/>
    <w:rsid w:val="003E408C"/>
    <w:rsid w:val="003E64AE"/>
    <w:rsid w:val="003F0470"/>
    <w:rsid w:val="003F109B"/>
    <w:rsid w:val="003F7AEC"/>
    <w:rsid w:val="004016B9"/>
    <w:rsid w:val="00410FF2"/>
    <w:rsid w:val="00413B55"/>
    <w:rsid w:val="00426502"/>
    <w:rsid w:val="00443E30"/>
    <w:rsid w:val="004526ED"/>
    <w:rsid w:val="00453FD1"/>
    <w:rsid w:val="004551CA"/>
    <w:rsid w:val="00460BC3"/>
    <w:rsid w:val="004636A3"/>
    <w:rsid w:val="00466553"/>
    <w:rsid w:val="00485BEA"/>
    <w:rsid w:val="004A4B0C"/>
    <w:rsid w:val="004A4E2F"/>
    <w:rsid w:val="004A6A48"/>
    <w:rsid w:val="004B3451"/>
    <w:rsid w:val="004C75F6"/>
    <w:rsid w:val="004E02D0"/>
    <w:rsid w:val="004E0635"/>
    <w:rsid w:val="004E3D6C"/>
    <w:rsid w:val="004F6575"/>
    <w:rsid w:val="005030B1"/>
    <w:rsid w:val="00504E48"/>
    <w:rsid w:val="00514053"/>
    <w:rsid w:val="00524005"/>
    <w:rsid w:val="005311B4"/>
    <w:rsid w:val="005524E4"/>
    <w:rsid w:val="00552A87"/>
    <w:rsid w:val="005532E9"/>
    <w:rsid w:val="00554160"/>
    <w:rsid w:val="00563541"/>
    <w:rsid w:val="00566940"/>
    <w:rsid w:val="0056709B"/>
    <w:rsid w:val="005735B3"/>
    <w:rsid w:val="00573648"/>
    <w:rsid w:val="00573F23"/>
    <w:rsid w:val="00577045"/>
    <w:rsid w:val="00577B20"/>
    <w:rsid w:val="0058448C"/>
    <w:rsid w:val="005C1A02"/>
    <w:rsid w:val="005C44FD"/>
    <w:rsid w:val="005C7330"/>
    <w:rsid w:val="005D3F4A"/>
    <w:rsid w:val="005F03D6"/>
    <w:rsid w:val="005F3224"/>
    <w:rsid w:val="005F3840"/>
    <w:rsid w:val="005F52CF"/>
    <w:rsid w:val="005F7899"/>
    <w:rsid w:val="00605A44"/>
    <w:rsid w:val="006224B7"/>
    <w:rsid w:val="0062322A"/>
    <w:rsid w:val="00625B75"/>
    <w:rsid w:val="00626C08"/>
    <w:rsid w:val="00634A86"/>
    <w:rsid w:val="00641D62"/>
    <w:rsid w:val="00645D6E"/>
    <w:rsid w:val="00666EB0"/>
    <w:rsid w:val="00672237"/>
    <w:rsid w:val="00684C61"/>
    <w:rsid w:val="00687C83"/>
    <w:rsid w:val="00690259"/>
    <w:rsid w:val="00690B42"/>
    <w:rsid w:val="00691A73"/>
    <w:rsid w:val="0069611E"/>
    <w:rsid w:val="006966FF"/>
    <w:rsid w:val="006A00F1"/>
    <w:rsid w:val="006A4F59"/>
    <w:rsid w:val="006A65F7"/>
    <w:rsid w:val="006A71F2"/>
    <w:rsid w:val="006B1459"/>
    <w:rsid w:val="006B573D"/>
    <w:rsid w:val="006C1D60"/>
    <w:rsid w:val="006C3F55"/>
    <w:rsid w:val="006C54B2"/>
    <w:rsid w:val="006D6181"/>
    <w:rsid w:val="006D6281"/>
    <w:rsid w:val="006E2B77"/>
    <w:rsid w:val="006E46AF"/>
    <w:rsid w:val="006E7547"/>
    <w:rsid w:val="006F0E52"/>
    <w:rsid w:val="006F1AE0"/>
    <w:rsid w:val="006F1D89"/>
    <w:rsid w:val="00704E11"/>
    <w:rsid w:val="007126CD"/>
    <w:rsid w:val="00720257"/>
    <w:rsid w:val="00726E10"/>
    <w:rsid w:val="0072790E"/>
    <w:rsid w:val="00744672"/>
    <w:rsid w:val="00750867"/>
    <w:rsid w:val="00760ACB"/>
    <w:rsid w:val="00763444"/>
    <w:rsid w:val="00781CEE"/>
    <w:rsid w:val="00794E89"/>
    <w:rsid w:val="007A071F"/>
    <w:rsid w:val="007A778A"/>
    <w:rsid w:val="007B3BD7"/>
    <w:rsid w:val="007C2892"/>
    <w:rsid w:val="007C6829"/>
    <w:rsid w:val="007D4D9A"/>
    <w:rsid w:val="007D55B4"/>
    <w:rsid w:val="007E090D"/>
    <w:rsid w:val="007E11FD"/>
    <w:rsid w:val="007E6A29"/>
    <w:rsid w:val="007F03A8"/>
    <w:rsid w:val="007F1187"/>
    <w:rsid w:val="007F34CD"/>
    <w:rsid w:val="00802157"/>
    <w:rsid w:val="00805E1A"/>
    <w:rsid w:val="008073DB"/>
    <w:rsid w:val="00813F95"/>
    <w:rsid w:val="008155C2"/>
    <w:rsid w:val="00823E7E"/>
    <w:rsid w:val="00831C09"/>
    <w:rsid w:val="00833B5E"/>
    <w:rsid w:val="00840E5A"/>
    <w:rsid w:val="00840E8D"/>
    <w:rsid w:val="00845EA1"/>
    <w:rsid w:val="00846052"/>
    <w:rsid w:val="00851AA4"/>
    <w:rsid w:val="00852195"/>
    <w:rsid w:val="00853FA6"/>
    <w:rsid w:val="00861A15"/>
    <w:rsid w:val="00871329"/>
    <w:rsid w:val="00871E3B"/>
    <w:rsid w:val="00877C2B"/>
    <w:rsid w:val="00892082"/>
    <w:rsid w:val="0089784E"/>
    <w:rsid w:val="008A6269"/>
    <w:rsid w:val="008C3B55"/>
    <w:rsid w:val="008D28ED"/>
    <w:rsid w:val="008D470C"/>
    <w:rsid w:val="008D5AE2"/>
    <w:rsid w:val="008E2B6D"/>
    <w:rsid w:val="008E2ECC"/>
    <w:rsid w:val="008E30DB"/>
    <w:rsid w:val="008E7DC9"/>
    <w:rsid w:val="008F09C0"/>
    <w:rsid w:val="008F5C2D"/>
    <w:rsid w:val="00904CE2"/>
    <w:rsid w:val="009101A6"/>
    <w:rsid w:val="00922145"/>
    <w:rsid w:val="009250D6"/>
    <w:rsid w:val="00925164"/>
    <w:rsid w:val="009320C4"/>
    <w:rsid w:val="00940E16"/>
    <w:rsid w:val="0094189F"/>
    <w:rsid w:val="00942877"/>
    <w:rsid w:val="00964BDB"/>
    <w:rsid w:val="009663DB"/>
    <w:rsid w:val="0096666F"/>
    <w:rsid w:val="009754C5"/>
    <w:rsid w:val="009831E0"/>
    <w:rsid w:val="0098652D"/>
    <w:rsid w:val="00990553"/>
    <w:rsid w:val="009943E8"/>
    <w:rsid w:val="00996124"/>
    <w:rsid w:val="009A1FF4"/>
    <w:rsid w:val="009A6A92"/>
    <w:rsid w:val="009A7DC1"/>
    <w:rsid w:val="009B30AA"/>
    <w:rsid w:val="009C3885"/>
    <w:rsid w:val="009C50B0"/>
    <w:rsid w:val="009D0EBD"/>
    <w:rsid w:val="009D5359"/>
    <w:rsid w:val="009D7DFF"/>
    <w:rsid w:val="009D7EEA"/>
    <w:rsid w:val="009F581C"/>
    <w:rsid w:val="00A06251"/>
    <w:rsid w:val="00A23C47"/>
    <w:rsid w:val="00A25624"/>
    <w:rsid w:val="00A4198E"/>
    <w:rsid w:val="00A42783"/>
    <w:rsid w:val="00A479D1"/>
    <w:rsid w:val="00A5324A"/>
    <w:rsid w:val="00A55A8E"/>
    <w:rsid w:val="00A56152"/>
    <w:rsid w:val="00A57BE9"/>
    <w:rsid w:val="00A6149E"/>
    <w:rsid w:val="00A66FAE"/>
    <w:rsid w:val="00A70E48"/>
    <w:rsid w:val="00A7532D"/>
    <w:rsid w:val="00A808D7"/>
    <w:rsid w:val="00A92F64"/>
    <w:rsid w:val="00A97660"/>
    <w:rsid w:val="00AA4BE8"/>
    <w:rsid w:val="00AB255D"/>
    <w:rsid w:val="00AC5461"/>
    <w:rsid w:val="00AC6D8E"/>
    <w:rsid w:val="00AE421A"/>
    <w:rsid w:val="00AF3553"/>
    <w:rsid w:val="00B11DE5"/>
    <w:rsid w:val="00B1619D"/>
    <w:rsid w:val="00B16CA5"/>
    <w:rsid w:val="00B24CA4"/>
    <w:rsid w:val="00B256AB"/>
    <w:rsid w:val="00B26076"/>
    <w:rsid w:val="00B26E6A"/>
    <w:rsid w:val="00B271CC"/>
    <w:rsid w:val="00B41BBB"/>
    <w:rsid w:val="00B41D4E"/>
    <w:rsid w:val="00B420D8"/>
    <w:rsid w:val="00B440ED"/>
    <w:rsid w:val="00B44200"/>
    <w:rsid w:val="00B502D1"/>
    <w:rsid w:val="00B51D01"/>
    <w:rsid w:val="00B53B82"/>
    <w:rsid w:val="00B60BD7"/>
    <w:rsid w:val="00B6180D"/>
    <w:rsid w:val="00B735F3"/>
    <w:rsid w:val="00B81614"/>
    <w:rsid w:val="00B81A2B"/>
    <w:rsid w:val="00B926C9"/>
    <w:rsid w:val="00BA15B3"/>
    <w:rsid w:val="00BA2F74"/>
    <w:rsid w:val="00BA7305"/>
    <w:rsid w:val="00BB0BC9"/>
    <w:rsid w:val="00BB206B"/>
    <w:rsid w:val="00BB603B"/>
    <w:rsid w:val="00BD5D2E"/>
    <w:rsid w:val="00BE1A93"/>
    <w:rsid w:val="00BE423D"/>
    <w:rsid w:val="00BF0087"/>
    <w:rsid w:val="00BF0322"/>
    <w:rsid w:val="00BF3007"/>
    <w:rsid w:val="00BF40A7"/>
    <w:rsid w:val="00BF4874"/>
    <w:rsid w:val="00C13A5E"/>
    <w:rsid w:val="00C3014C"/>
    <w:rsid w:val="00C32C97"/>
    <w:rsid w:val="00C361D7"/>
    <w:rsid w:val="00C4120E"/>
    <w:rsid w:val="00C428D0"/>
    <w:rsid w:val="00C54161"/>
    <w:rsid w:val="00C60F45"/>
    <w:rsid w:val="00C61803"/>
    <w:rsid w:val="00C82B88"/>
    <w:rsid w:val="00C83EDA"/>
    <w:rsid w:val="00C86C6A"/>
    <w:rsid w:val="00C90C55"/>
    <w:rsid w:val="00CA7296"/>
    <w:rsid w:val="00CC10E2"/>
    <w:rsid w:val="00CC7BA5"/>
    <w:rsid w:val="00CE16C9"/>
    <w:rsid w:val="00CF0705"/>
    <w:rsid w:val="00CF4EB0"/>
    <w:rsid w:val="00D219D9"/>
    <w:rsid w:val="00D22C18"/>
    <w:rsid w:val="00D33572"/>
    <w:rsid w:val="00D40A64"/>
    <w:rsid w:val="00D40F31"/>
    <w:rsid w:val="00D5054D"/>
    <w:rsid w:val="00D5208D"/>
    <w:rsid w:val="00D56D88"/>
    <w:rsid w:val="00D640AA"/>
    <w:rsid w:val="00D7415B"/>
    <w:rsid w:val="00D77CA7"/>
    <w:rsid w:val="00D874C8"/>
    <w:rsid w:val="00D87A96"/>
    <w:rsid w:val="00D9490C"/>
    <w:rsid w:val="00D9493E"/>
    <w:rsid w:val="00DB4ED5"/>
    <w:rsid w:val="00DB562E"/>
    <w:rsid w:val="00DB7B5E"/>
    <w:rsid w:val="00DC1142"/>
    <w:rsid w:val="00DE0AAB"/>
    <w:rsid w:val="00DE318C"/>
    <w:rsid w:val="00DF25A9"/>
    <w:rsid w:val="00E16915"/>
    <w:rsid w:val="00E26E65"/>
    <w:rsid w:val="00E35E45"/>
    <w:rsid w:val="00E502BC"/>
    <w:rsid w:val="00E50394"/>
    <w:rsid w:val="00E60636"/>
    <w:rsid w:val="00E61456"/>
    <w:rsid w:val="00E65716"/>
    <w:rsid w:val="00E72464"/>
    <w:rsid w:val="00E77D06"/>
    <w:rsid w:val="00E80488"/>
    <w:rsid w:val="00E805F1"/>
    <w:rsid w:val="00E84A2B"/>
    <w:rsid w:val="00E94AEB"/>
    <w:rsid w:val="00EA2304"/>
    <w:rsid w:val="00EA7D9D"/>
    <w:rsid w:val="00ED79C0"/>
    <w:rsid w:val="00EE2E26"/>
    <w:rsid w:val="00EE5855"/>
    <w:rsid w:val="00EE7CE2"/>
    <w:rsid w:val="00EF7076"/>
    <w:rsid w:val="00F024E3"/>
    <w:rsid w:val="00F04EBA"/>
    <w:rsid w:val="00F05AF4"/>
    <w:rsid w:val="00F12231"/>
    <w:rsid w:val="00F12308"/>
    <w:rsid w:val="00F126BD"/>
    <w:rsid w:val="00F12E9D"/>
    <w:rsid w:val="00F132AC"/>
    <w:rsid w:val="00F20FAC"/>
    <w:rsid w:val="00F35AA9"/>
    <w:rsid w:val="00F4084C"/>
    <w:rsid w:val="00F55AD3"/>
    <w:rsid w:val="00F561D4"/>
    <w:rsid w:val="00F577DE"/>
    <w:rsid w:val="00F65495"/>
    <w:rsid w:val="00F83E22"/>
    <w:rsid w:val="00F91873"/>
    <w:rsid w:val="00FA4404"/>
    <w:rsid w:val="00FA492D"/>
    <w:rsid w:val="00FA6E47"/>
    <w:rsid w:val="00FC1628"/>
    <w:rsid w:val="00FC7F1B"/>
    <w:rsid w:val="00FD2CCC"/>
    <w:rsid w:val="00FD59EF"/>
    <w:rsid w:val="00FE1FDA"/>
    <w:rsid w:val="00FE791E"/>
    <w:rsid w:val="04BE2115"/>
    <w:rsid w:val="0ABE242B"/>
    <w:rsid w:val="0AC81F27"/>
    <w:rsid w:val="0F9E71FD"/>
    <w:rsid w:val="105814F8"/>
    <w:rsid w:val="11FF3BCF"/>
    <w:rsid w:val="23CE4935"/>
    <w:rsid w:val="2A5B0943"/>
    <w:rsid w:val="2DC74075"/>
    <w:rsid w:val="2DDC599D"/>
    <w:rsid w:val="305C0294"/>
    <w:rsid w:val="36FA5166"/>
    <w:rsid w:val="37133C97"/>
    <w:rsid w:val="388E24A6"/>
    <w:rsid w:val="388F044A"/>
    <w:rsid w:val="3ED739D2"/>
    <w:rsid w:val="3F5A1788"/>
    <w:rsid w:val="40987CAD"/>
    <w:rsid w:val="4554545C"/>
    <w:rsid w:val="45B5160B"/>
    <w:rsid w:val="45B557EC"/>
    <w:rsid w:val="4D68589C"/>
    <w:rsid w:val="4EB12979"/>
    <w:rsid w:val="59353E09"/>
    <w:rsid w:val="5B241A39"/>
    <w:rsid w:val="5D18170E"/>
    <w:rsid w:val="5D670419"/>
    <w:rsid w:val="621532A0"/>
    <w:rsid w:val="623B153A"/>
    <w:rsid w:val="628207F7"/>
    <w:rsid w:val="644F56B5"/>
    <w:rsid w:val="68D950F4"/>
    <w:rsid w:val="6A8910EC"/>
    <w:rsid w:val="6DC2515F"/>
    <w:rsid w:val="719D528A"/>
    <w:rsid w:val="743A1E64"/>
    <w:rsid w:val="7DB9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A6"/>
    <w:pPr>
      <w:widowControl w:val="0"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rsid w:val="00853FA6"/>
    <w:pPr>
      <w:spacing w:beforeAutospacing="1" w:after="0" w:afterAutospacing="1"/>
      <w:outlineLvl w:val="1"/>
    </w:pPr>
    <w:rPr>
      <w:rFonts w:ascii="宋体" w:eastAsia="宋体" w:hAnsi="宋体" w:cs="Times New Roman" w:hint="eastAsia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53FA6"/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853FA6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853FA6"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53FA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53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853FA6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sid w:val="00853FA6"/>
    <w:rPr>
      <w:b/>
      <w:bCs/>
    </w:rPr>
  </w:style>
  <w:style w:type="table" w:styleId="aa">
    <w:name w:val="Table Grid"/>
    <w:basedOn w:val="a1"/>
    <w:uiPriority w:val="59"/>
    <w:qFormat/>
    <w:rsid w:val="00853FA6"/>
    <w:rPr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qFormat/>
    <w:rsid w:val="00853FA6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853FA6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853FA6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53FA6"/>
    <w:rPr>
      <w:sz w:val="18"/>
      <w:szCs w:val="18"/>
    </w:rPr>
  </w:style>
  <w:style w:type="paragraph" w:styleId="ad">
    <w:name w:val="List Paragraph"/>
    <w:basedOn w:val="a"/>
    <w:uiPriority w:val="34"/>
    <w:qFormat/>
    <w:rsid w:val="00853FA6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853FA6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853FA6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har0">
    <w:name w:val="日期 Char"/>
    <w:basedOn w:val="a0"/>
    <w:link w:val="a4"/>
    <w:uiPriority w:val="99"/>
    <w:semiHidden/>
    <w:qFormat/>
    <w:rsid w:val="00853FA6"/>
  </w:style>
  <w:style w:type="character" w:customStyle="1" w:styleId="Char">
    <w:name w:val="批注文字 Char"/>
    <w:basedOn w:val="a0"/>
    <w:link w:val="a3"/>
    <w:uiPriority w:val="99"/>
    <w:semiHidden/>
    <w:qFormat/>
    <w:rsid w:val="00853FA6"/>
  </w:style>
  <w:style w:type="character" w:customStyle="1" w:styleId="Char4">
    <w:name w:val="批注主题 Char"/>
    <w:basedOn w:val="Char"/>
    <w:link w:val="a9"/>
    <w:uiPriority w:val="99"/>
    <w:semiHidden/>
    <w:qFormat/>
    <w:rsid w:val="00853FA6"/>
    <w:rPr>
      <w:b/>
      <w:bCs/>
    </w:rPr>
  </w:style>
  <w:style w:type="paragraph" w:customStyle="1" w:styleId="Default">
    <w:name w:val="Default"/>
    <w:qFormat/>
    <w:rsid w:val="00853FA6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89DEB-AA36-4487-8C54-FF73F609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863</Characters>
  <Application>Microsoft Office Word</Application>
  <DocSecurity>4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卢春玲</dc:creator>
  <cp:lastModifiedBy>ZHONGM</cp:lastModifiedBy>
  <cp:revision>2</cp:revision>
  <dcterms:created xsi:type="dcterms:W3CDTF">2025-12-10T16:00:00Z</dcterms:created>
  <dcterms:modified xsi:type="dcterms:W3CDTF">2025-12-10T16:00:00Z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LastSaved">
    <vt:filetime>2017-07-11T00:00:00Z</vt:filetime>
  </property>
  <property fmtid="{D5CDD505-2E9C-101B-9397-08002B2CF9AE}" pid="4" name="KSOProductBuildVer">
    <vt:lpwstr>2052-12.1.0.23542</vt:lpwstr>
  </property>
  <property fmtid="{D5CDD505-2E9C-101B-9397-08002B2CF9AE}" pid="5" name="ICV">
    <vt:lpwstr>E65E4D66B0084564B478F6C9770400E3_13</vt:lpwstr>
  </property>
  <property fmtid="{D5CDD505-2E9C-101B-9397-08002B2CF9AE}" pid="6" name="KSOTemplateDocerSaveRecord">
    <vt:lpwstr>eyJoZGlkIjoiMDgzMDQzMGY1NDY1ZGQzNWEwZDFkYzkwNmRiN2M5ODIiLCJ1c2VySWQiOiIyNTA3NDEyNTAifQ==</vt:lpwstr>
  </property>
</Properties>
</file>