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66" w:rsidRDefault="00FA5082">
      <w:pPr>
        <w:widowControl/>
        <w:shd w:val="clear" w:color="auto" w:fill="FFFFFF"/>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关于红土创新转型精选灵活配置混合型证券投资基金（</w:t>
      </w:r>
      <w:r>
        <w:rPr>
          <w:rFonts w:ascii="宋体" w:eastAsia="宋体" w:hAnsi="宋体" w:cs="宋体" w:hint="eastAsia"/>
          <w:b/>
          <w:bCs/>
          <w:kern w:val="0"/>
          <w:sz w:val="36"/>
          <w:szCs w:val="36"/>
        </w:rPr>
        <w:t>LOF</w:t>
      </w:r>
      <w:r>
        <w:rPr>
          <w:rFonts w:ascii="宋体" w:eastAsia="宋体" w:hAnsi="宋体" w:cs="宋体" w:hint="eastAsia"/>
          <w:b/>
          <w:bCs/>
          <w:kern w:val="0"/>
          <w:sz w:val="36"/>
          <w:szCs w:val="36"/>
        </w:rPr>
        <w:t>）增设</w:t>
      </w:r>
      <w:r>
        <w:rPr>
          <w:rFonts w:ascii="宋体" w:eastAsia="宋体" w:hAnsi="宋体" w:cs="宋体" w:hint="eastAsia"/>
          <w:b/>
          <w:bCs/>
          <w:kern w:val="0"/>
          <w:sz w:val="36"/>
          <w:szCs w:val="36"/>
        </w:rPr>
        <w:t>C</w:t>
      </w:r>
      <w:r>
        <w:rPr>
          <w:rFonts w:ascii="宋体" w:eastAsia="宋体" w:hAnsi="宋体" w:cs="宋体" w:hint="eastAsia"/>
          <w:b/>
          <w:bCs/>
          <w:kern w:val="0"/>
          <w:sz w:val="36"/>
          <w:szCs w:val="36"/>
        </w:rPr>
        <w:t>类基金份额及基金合同修改的公告</w:t>
      </w:r>
    </w:p>
    <w:p w:rsidR="00821D66" w:rsidRDefault="00821D66" w:rsidP="00FA5082">
      <w:pPr>
        <w:widowControl/>
        <w:shd w:val="clear" w:color="auto" w:fill="FFFFFF"/>
        <w:spacing w:line="360" w:lineRule="auto"/>
        <w:ind w:firstLineChars="177" w:firstLine="425"/>
        <w:jc w:val="left"/>
        <w:rPr>
          <w:rFonts w:ascii="宋体" w:eastAsia="宋体" w:hAnsi="宋体" w:cs="宋体"/>
          <w:kern w:val="0"/>
          <w:sz w:val="24"/>
          <w:szCs w:val="24"/>
        </w:rPr>
      </w:pP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为满足不同市场情况下投资者日益多样化的需求，提高产品市场竞争力，根据《中华人民共和国证券投资基金法》、《公开募集证券投资基金运作管理办法》等法律法规的规定和《红土创新转型精选灵活配置混合型证券投资基金（</w:t>
      </w:r>
      <w:r>
        <w:rPr>
          <w:rFonts w:ascii="宋体" w:eastAsia="宋体" w:hAnsi="宋体" w:cs="宋体" w:hint="eastAsia"/>
          <w:kern w:val="0"/>
          <w:sz w:val="24"/>
          <w:szCs w:val="24"/>
        </w:rPr>
        <w:t>LOF</w:t>
      </w:r>
      <w:r>
        <w:rPr>
          <w:rFonts w:ascii="宋体" w:eastAsia="宋体" w:hAnsi="宋体" w:cs="宋体" w:hint="eastAsia"/>
          <w:kern w:val="0"/>
          <w:sz w:val="24"/>
          <w:szCs w:val="24"/>
        </w:rPr>
        <w:t>）基金合同》（以下简称“《基金合同》”）的有关约定，红土创新基金管理有限公司（以下简称“本公司”）经与基金托管人中国工商银行股份有限公司协商一致，决定自</w:t>
      </w:r>
      <w:r>
        <w:rPr>
          <w:rFonts w:ascii="宋体" w:eastAsia="宋体" w:hAnsi="宋体" w:cs="宋体"/>
          <w:kern w:val="0"/>
          <w:sz w:val="24"/>
          <w:szCs w:val="24"/>
        </w:rPr>
        <w:t>2025</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kern w:val="0"/>
          <w:sz w:val="24"/>
          <w:szCs w:val="24"/>
        </w:rPr>
        <w:t>2</w:t>
      </w:r>
      <w:r>
        <w:rPr>
          <w:rFonts w:ascii="宋体" w:eastAsia="宋体" w:hAnsi="宋体" w:cs="宋体" w:hint="eastAsia"/>
          <w:kern w:val="0"/>
          <w:sz w:val="24"/>
          <w:szCs w:val="24"/>
        </w:rPr>
        <w:t>月</w:t>
      </w:r>
      <w:r>
        <w:rPr>
          <w:rFonts w:ascii="宋体" w:eastAsia="宋体" w:hAnsi="宋体" w:cs="宋体" w:hint="eastAsia"/>
          <w:kern w:val="0"/>
          <w:sz w:val="24"/>
          <w:szCs w:val="24"/>
        </w:rPr>
        <w:t>1</w:t>
      </w:r>
      <w:r>
        <w:rPr>
          <w:rFonts w:ascii="宋体" w:eastAsia="宋体" w:hAnsi="宋体" w:cs="宋体"/>
          <w:kern w:val="0"/>
          <w:sz w:val="24"/>
          <w:szCs w:val="24"/>
        </w:rPr>
        <w:t>1</w:t>
      </w:r>
      <w:r>
        <w:rPr>
          <w:rFonts w:ascii="宋体" w:eastAsia="宋体" w:hAnsi="宋体" w:cs="宋体" w:hint="eastAsia"/>
          <w:kern w:val="0"/>
          <w:sz w:val="24"/>
          <w:szCs w:val="24"/>
        </w:rPr>
        <w:t>日起对红土创新转型精选灵活配置混合型证券投资基金（</w:t>
      </w:r>
      <w:r>
        <w:rPr>
          <w:rFonts w:ascii="宋体" w:eastAsia="宋体" w:hAnsi="宋体" w:cs="宋体" w:hint="eastAsia"/>
          <w:kern w:val="0"/>
          <w:sz w:val="24"/>
          <w:szCs w:val="24"/>
        </w:rPr>
        <w:t>LOF</w:t>
      </w:r>
      <w:r>
        <w:rPr>
          <w:rFonts w:ascii="宋体" w:eastAsia="宋体" w:hAnsi="宋体" w:cs="宋体" w:hint="eastAsia"/>
          <w:kern w:val="0"/>
          <w:sz w:val="24"/>
          <w:szCs w:val="24"/>
        </w:rPr>
        <w:t>）（以下简称“本基金）增设</w:t>
      </w:r>
      <w:r>
        <w:rPr>
          <w:rFonts w:ascii="宋体" w:eastAsia="宋体" w:hAnsi="宋体" w:cs="宋体" w:hint="eastAsia"/>
          <w:kern w:val="0"/>
          <w:sz w:val="24"/>
          <w:szCs w:val="24"/>
        </w:rPr>
        <w:t>C</w:t>
      </w:r>
      <w:r>
        <w:rPr>
          <w:rFonts w:ascii="宋体" w:eastAsia="宋体" w:hAnsi="宋体" w:cs="宋体" w:hint="eastAsia"/>
          <w:kern w:val="0"/>
          <w:sz w:val="24"/>
          <w:szCs w:val="24"/>
        </w:rPr>
        <w:t>类基金份额类别（基金代码：</w:t>
      </w:r>
      <w:r>
        <w:rPr>
          <w:rFonts w:ascii="宋体" w:eastAsia="宋体" w:hAnsi="宋体" w:cs="宋体"/>
          <w:kern w:val="0"/>
          <w:sz w:val="24"/>
          <w:szCs w:val="24"/>
        </w:rPr>
        <w:t>026293</w:t>
      </w:r>
      <w:r>
        <w:rPr>
          <w:rFonts w:ascii="宋体" w:eastAsia="宋体" w:hAnsi="宋体" w:cs="宋体" w:hint="eastAsia"/>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并对《基金合同》作相应修改。现将有关事项公告如下</w:t>
      </w:r>
      <w:r>
        <w:rPr>
          <w:rFonts w:ascii="宋体" w:eastAsia="宋体" w:hAnsi="宋体" w:cs="宋体" w:hint="eastAsia"/>
          <w:kern w:val="0"/>
          <w:sz w:val="24"/>
          <w:szCs w:val="24"/>
        </w:rPr>
        <w:t>:</w:t>
      </w:r>
    </w:p>
    <w:p w:rsidR="00821D66" w:rsidRDefault="00821D66" w:rsidP="00FA5082">
      <w:pPr>
        <w:widowControl/>
        <w:shd w:val="clear" w:color="auto" w:fill="FFFFFF"/>
        <w:spacing w:line="360" w:lineRule="auto"/>
        <w:ind w:firstLineChars="177" w:firstLine="425"/>
        <w:jc w:val="left"/>
        <w:rPr>
          <w:rFonts w:ascii="宋体" w:eastAsia="宋体" w:hAnsi="宋体" w:cs="宋体"/>
          <w:kern w:val="0"/>
          <w:sz w:val="24"/>
          <w:szCs w:val="24"/>
        </w:rPr>
      </w:pPr>
    </w:p>
    <w:p w:rsidR="00821D66" w:rsidRDefault="00FA5082">
      <w:pPr>
        <w:widowControl/>
        <w:shd w:val="clear" w:color="auto" w:fill="FFFFFF"/>
        <w:spacing w:line="360" w:lineRule="auto"/>
        <w:jc w:val="left"/>
        <w:outlineLvl w:val="0"/>
        <w:rPr>
          <w:rFonts w:ascii="宋体" w:eastAsia="宋体" w:hAnsi="宋体" w:cs="宋体"/>
          <w:b/>
          <w:bCs/>
          <w:kern w:val="36"/>
          <w:sz w:val="32"/>
          <w:szCs w:val="36"/>
        </w:rPr>
      </w:pPr>
      <w:r>
        <w:rPr>
          <w:rFonts w:ascii="宋体" w:eastAsia="宋体" w:hAnsi="宋体" w:cs="宋体" w:hint="eastAsia"/>
          <w:b/>
          <w:bCs/>
          <w:kern w:val="36"/>
          <w:sz w:val="32"/>
          <w:szCs w:val="36"/>
        </w:rPr>
        <w:t>一、增设</w:t>
      </w:r>
      <w:r>
        <w:rPr>
          <w:rFonts w:ascii="宋体" w:eastAsia="宋体" w:hAnsi="宋体" w:cs="宋体" w:hint="eastAsia"/>
          <w:b/>
          <w:bCs/>
          <w:kern w:val="36"/>
          <w:sz w:val="32"/>
          <w:szCs w:val="36"/>
        </w:rPr>
        <w:t>C</w:t>
      </w:r>
      <w:r>
        <w:rPr>
          <w:rFonts w:ascii="宋体" w:eastAsia="宋体" w:hAnsi="宋体" w:cs="宋体" w:hint="eastAsia"/>
          <w:b/>
          <w:bCs/>
          <w:kern w:val="36"/>
          <w:sz w:val="32"/>
          <w:szCs w:val="36"/>
        </w:rPr>
        <w:t>类基金份额类别基本情况</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本基金增加</w:t>
      </w:r>
      <w:r>
        <w:rPr>
          <w:rFonts w:ascii="宋体" w:eastAsia="宋体" w:hAnsi="宋体" w:cs="宋体"/>
          <w:kern w:val="0"/>
          <w:sz w:val="24"/>
          <w:szCs w:val="24"/>
        </w:rPr>
        <w:t>C</w:t>
      </w:r>
      <w:r>
        <w:rPr>
          <w:rFonts w:ascii="宋体" w:eastAsia="宋体" w:hAnsi="宋体" w:cs="宋体"/>
          <w:kern w:val="0"/>
          <w:sz w:val="24"/>
          <w:szCs w:val="24"/>
        </w:rPr>
        <w:t>类基金份额后，将设置该份额对应的基金代码并计算基金份额净值</w:t>
      </w:r>
      <w:r>
        <w:rPr>
          <w:rFonts w:ascii="宋体" w:eastAsia="宋体" w:hAnsi="宋体" w:cs="宋体" w:hint="eastAsia"/>
          <w:kern w:val="0"/>
          <w:sz w:val="24"/>
          <w:szCs w:val="24"/>
        </w:rPr>
        <w:t>，现有的基金份额自动转为</w:t>
      </w:r>
      <w:r>
        <w:rPr>
          <w:rFonts w:ascii="宋体" w:eastAsia="宋体" w:hAnsi="宋体" w:cs="宋体"/>
          <w:kern w:val="0"/>
          <w:sz w:val="24"/>
          <w:szCs w:val="24"/>
        </w:rPr>
        <w:t>A</w:t>
      </w:r>
      <w:r>
        <w:rPr>
          <w:rFonts w:ascii="宋体" w:eastAsia="宋体" w:hAnsi="宋体" w:cs="宋体"/>
          <w:kern w:val="0"/>
          <w:sz w:val="24"/>
          <w:szCs w:val="24"/>
        </w:rPr>
        <w:t>类基金份额（基金代码不变）。投资者申购时可以自主选择与</w:t>
      </w:r>
      <w:r>
        <w:rPr>
          <w:rFonts w:ascii="宋体" w:eastAsia="宋体" w:hAnsi="宋体" w:cs="宋体"/>
          <w:kern w:val="0"/>
          <w:sz w:val="24"/>
          <w:szCs w:val="24"/>
        </w:rPr>
        <w:t>A</w:t>
      </w:r>
      <w:r>
        <w:rPr>
          <w:rFonts w:ascii="宋体" w:eastAsia="宋体" w:hAnsi="宋体" w:cs="宋体"/>
          <w:kern w:val="0"/>
          <w:sz w:val="24"/>
          <w:szCs w:val="24"/>
        </w:rPr>
        <w:t>类基金份额、</w:t>
      </w:r>
      <w:r>
        <w:rPr>
          <w:rFonts w:ascii="宋体" w:eastAsia="宋体" w:hAnsi="宋体" w:cs="宋体"/>
          <w:kern w:val="0"/>
          <w:sz w:val="24"/>
          <w:szCs w:val="24"/>
        </w:rPr>
        <w:t>C</w:t>
      </w:r>
      <w:r>
        <w:rPr>
          <w:rFonts w:ascii="宋体" w:eastAsia="宋体" w:hAnsi="宋体" w:cs="宋体"/>
          <w:kern w:val="0"/>
          <w:sz w:val="24"/>
          <w:szCs w:val="24"/>
        </w:rPr>
        <w:t>类基金份额相对应的基金代码进行申购。</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、基金份额类别</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本基金将基金份额分为</w:t>
      </w:r>
      <w:r>
        <w:rPr>
          <w:rFonts w:ascii="宋体" w:eastAsia="宋体" w:hAnsi="宋体" w:cs="宋体" w:hint="eastAsia"/>
          <w:kern w:val="0"/>
          <w:sz w:val="24"/>
          <w:szCs w:val="24"/>
        </w:rPr>
        <w:t>A</w:t>
      </w:r>
      <w:r>
        <w:rPr>
          <w:rFonts w:ascii="宋体" w:eastAsia="宋体" w:hAnsi="宋体" w:cs="宋体" w:hint="eastAsia"/>
          <w:kern w:val="0"/>
          <w:sz w:val="24"/>
          <w:szCs w:val="24"/>
        </w:rPr>
        <w:t>类和</w:t>
      </w:r>
      <w:r>
        <w:rPr>
          <w:rFonts w:ascii="宋体" w:eastAsia="宋体" w:hAnsi="宋体" w:cs="宋体" w:hint="eastAsia"/>
          <w:kern w:val="0"/>
          <w:sz w:val="24"/>
          <w:szCs w:val="24"/>
        </w:rPr>
        <w:t>C</w:t>
      </w:r>
      <w:r>
        <w:rPr>
          <w:rFonts w:ascii="宋体" w:eastAsia="宋体" w:hAnsi="宋体" w:cs="宋体" w:hint="eastAsia"/>
          <w:kern w:val="0"/>
          <w:sz w:val="24"/>
          <w:szCs w:val="24"/>
        </w:rPr>
        <w:t>类不同的类别。</w:t>
      </w:r>
      <w:r>
        <w:rPr>
          <w:rFonts w:ascii="宋体" w:eastAsia="宋体" w:hAnsi="宋体" w:cs="宋体" w:hint="eastAsia"/>
          <w:kern w:val="0"/>
          <w:sz w:val="24"/>
          <w:szCs w:val="24"/>
        </w:rPr>
        <w:t>A</w:t>
      </w:r>
      <w:r>
        <w:rPr>
          <w:rFonts w:ascii="宋体" w:eastAsia="宋体" w:hAnsi="宋体" w:cs="宋体" w:hint="eastAsia"/>
          <w:kern w:val="0"/>
          <w:sz w:val="24"/>
          <w:szCs w:val="24"/>
        </w:rPr>
        <w:t>类基金份额在投资者申购时收取前端</w:t>
      </w:r>
      <w:r>
        <w:rPr>
          <w:rFonts w:ascii="宋体" w:eastAsia="宋体" w:hAnsi="宋体" w:cs="宋体" w:hint="eastAsia"/>
          <w:kern w:val="0"/>
          <w:sz w:val="24"/>
          <w:szCs w:val="24"/>
        </w:rPr>
        <w:t>申购费、赎回时收取赎回费，不计提销售服务费；</w:t>
      </w:r>
      <w:r>
        <w:rPr>
          <w:rFonts w:ascii="宋体" w:eastAsia="宋体" w:hAnsi="宋体" w:cs="宋体" w:hint="eastAsia"/>
          <w:kern w:val="0"/>
          <w:sz w:val="24"/>
          <w:szCs w:val="24"/>
        </w:rPr>
        <w:t>C</w:t>
      </w:r>
      <w:r>
        <w:rPr>
          <w:rFonts w:ascii="宋体" w:eastAsia="宋体" w:hAnsi="宋体" w:cs="宋体" w:hint="eastAsia"/>
          <w:kern w:val="0"/>
          <w:sz w:val="24"/>
          <w:szCs w:val="24"/>
        </w:rPr>
        <w:t>类基金份额均指在投资者申购时不收取申购费用，但在赎回时收取赎回费，并从本类别基金资产中计提销售服务费的基金份额。</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本基金</w:t>
      </w:r>
      <w:r>
        <w:rPr>
          <w:rFonts w:ascii="宋体" w:eastAsia="宋体" w:hAnsi="宋体" w:cs="宋体"/>
          <w:kern w:val="0"/>
          <w:sz w:val="24"/>
          <w:szCs w:val="24"/>
        </w:rPr>
        <w:t>A</w:t>
      </w:r>
      <w:r>
        <w:rPr>
          <w:rFonts w:ascii="宋体" w:eastAsia="宋体" w:hAnsi="宋体" w:cs="宋体"/>
          <w:kern w:val="0"/>
          <w:sz w:val="24"/>
          <w:szCs w:val="24"/>
        </w:rPr>
        <w:t>类和</w:t>
      </w:r>
      <w:r>
        <w:rPr>
          <w:rFonts w:ascii="宋体" w:eastAsia="宋体" w:hAnsi="宋体" w:cs="宋体"/>
          <w:kern w:val="0"/>
          <w:sz w:val="24"/>
          <w:szCs w:val="24"/>
        </w:rPr>
        <w:t>C</w:t>
      </w:r>
      <w:r>
        <w:rPr>
          <w:rFonts w:ascii="宋体" w:eastAsia="宋体" w:hAnsi="宋体" w:cs="宋体"/>
          <w:kern w:val="0"/>
          <w:sz w:val="24"/>
          <w:szCs w:val="24"/>
        </w:rPr>
        <w:t>类基金份额分别设置代码。</w:t>
      </w:r>
      <w:r>
        <w:rPr>
          <w:rFonts w:ascii="宋体" w:eastAsia="宋体" w:hAnsi="宋体" w:cs="宋体"/>
          <w:kern w:val="0"/>
          <w:sz w:val="24"/>
          <w:szCs w:val="24"/>
        </w:rPr>
        <w:t>A</w:t>
      </w:r>
      <w:r>
        <w:rPr>
          <w:rFonts w:ascii="宋体" w:eastAsia="宋体" w:hAnsi="宋体" w:cs="宋体"/>
          <w:kern w:val="0"/>
          <w:sz w:val="24"/>
          <w:szCs w:val="24"/>
        </w:rPr>
        <w:t>类基金份额通过场外和场内两种方式申购、赎回，并在交易所上市交易（场内份额上市交易，场外份额不上市交易），</w:t>
      </w:r>
      <w:r>
        <w:rPr>
          <w:rFonts w:ascii="宋体" w:eastAsia="宋体" w:hAnsi="宋体" w:cs="宋体"/>
          <w:kern w:val="0"/>
          <w:sz w:val="24"/>
          <w:szCs w:val="24"/>
        </w:rPr>
        <w:t>A</w:t>
      </w:r>
      <w:r>
        <w:rPr>
          <w:rFonts w:ascii="宋体" w:eastAsia="宋体" w:hAnsi="宋体" w:cs="宋体"/>
          <w:kern w:val="0"/>
          <w:sz w:val="24"/>
          <w:szCs w:val="24"/>
        </w:rPr>
        <w:t>类基金份额持有人可进行跨系统转托管；</w:t>
      </w:r>
      <w:r>
        <w:rPr>
          <w:rFonts w:ascii="宋体" w:eastAsia="宋体" w:hAnsi="宋体" w:cs="宋体"/>
          <w:kern w:val="0"/>
          <w:sz w:val="24"/>
          <w:szCs w:val="24"/>
        </w:rPr>
        <w:t>C</w:t>
      </w:r>
      <w:r>
        <w:rPr>
          <w:rFonts w:ascii="宋体" w:eastAsia="宋体" w:hAnsi="宋体" w:cs="宋体"/>
          <w:kern w:val="0"/>
          <w:sz w:val="24"/>
          <w:szCs w:val="24"/>
        </w:rPr>
        <w:t>类基金份额仅通过场外方式申购、赎回，不在交易所上市交易。除经基金管理人另行公告，</w:t>
      </w:r>
      <w:r>
        <w:rPr>
          <w:rFonts w:ascii="宋体" w:eastAsia="宋体" w:hAnsi="宋体" w:cs="宋体"/>
          <w:kern w:val="0"/>
          <w:sz w:val="24"/>
          <w:szCs w:val="24"/>
        </w:rPr>
        <w:t>C</w:t>
      </w:r>
      <w:r>
        <w:rPr>
          <w:rFonts w:ascii="宋体" w:eastAsia="宋体" w:hAnsi="宋体" w:cs="宋体"/>
          <w:kern w:val="0"/>
          <w:sz w:val="24"/>
          <w:szCs w:val="24"/>
        </w:rPr>
        <w:t>类基金份额持有人不能进行跨系统转托管。由于基金费用的不同，本基金</w:t>
      </w:r>
      <w:r>
        <w:rPr>
          <w:rFonts w:ascii="宋体" w:eastAsia="宋体" w:hAnsi="宋体" w:cs="宋体"/>
          <w:kern w:val="0"/>
          <w:sz w:val="24"/>
          <w:szCs w:val="24"/>
        </w:rPr>
        <w:t>A</w:t>
      </w:r>
      <w:r>
        <w:rPr>
          <w:rFonts w:ascii="宋体" w:eastAsia="宋体" w:hAnsi="宋体" w:cs="宋体"/>
          <w:kern w:val="0"/>
          <w:sz w:val="24"/>
          <w:szCs w:val="24"/>
        </w:rPr>
        <w:t>类基金份额和</w:t>
      </w:r>
      <w:r>
        <w:rPr>
          <w:rFonts w:ascii="宋体" w:eastAsia="宋体" w:hAnsi="宋体" w:cs="宋体"/>
          <w:kern w:val="0"/>
          <w:sz w:val="24"/>
          <w:szCs w:val="24"/>
        </w:rPr>
        <w:t>C</w:t>
      </w:r>
      <w:r>
        <w:rPr>
          <w:rFonts w:ascii="宋体" w:eastAsia="宋体" w:hAnsi="宋体" w:cs="宋体"/>
          <w:kern w:val="0"/>
          <w:sz w:val="24"/>
          <w:szCs w:val="24"/>
        </w:rPr>
        <w:t>类基金</w:t>
      </w:r>
      <w:r>
        <w:rPr>
          <w:rFonts w:ascii="宋体" w:eastAsia="宋体" w:hAnsi="宋体" w:cs="宋体"/>
          <w:kern w:val="0"/>
          <w:sz w:val="24"/>
          <w:szCs w:val="24"/>
        </w:rPr>
        <w:t>份额将分别计算并公告基金份额净值</w:t>
      </w:r>
      <w:r>
        <w:rPr>
          <w:rFonts w:ascii="宋体" w:eastAsia="宋体" w:hAnsi="宋体" w:cs="宋体" w:hint="eastAsia"/>
          <w:kern w:val="0"/>
          <w:sz w:val="24"/>
          <w:szCs w:val="24"/>
        </w:rPr>
        <w:t>。投资者在申购基金份额时可自行选择基金份额类别。</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lastRenderedPageBreak/>
        <w:t>有关基金份额类别的具体设置、费率水平等由基金管理人确定，并在招募说明书及基金产品资料概要中公告。根据基金实际运作情况，在不违反法律法规、基金合同的约定以及对基金份额持有人利益无实质性不利影响的情况下，经与基金托管人协商一致，基金管理人在履行适当程序后可调整基金份额类别设置、对基金份额分类办法及规则进行调整，并在调整前及时公告，不需要召开基金份额持有人大会。</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类基金份额的费率结构</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）本基金</w:t>
      </w:r>
      <w:r>
        <w:rPr>
          <w:rFonts w:ascii="宋体" w:eastAsia="宋体" w:hAnsi="宋体" w:cs="宋体" w:hint="eastAsia"/>
          <w:kern w:val="0"/>
          <w:sz w:val="24"/>
          <w:szCs w:val="24"/>
        </w:rPr>
        <w:t>C</w:t>
      </w:r>
      <w:r>
        <w:rPr>
          <w:rFonts w:ascii="宋体" w:eastAsia="宋体" w:hAnsi="宋体" w:cs="宋体" w:hint="eastAsia"/>
          <w:kern w:val="0"/>
          <w:sz w:val="24"/>
          <w:szCs w:val="24"/>
        </w:rPr>
        <w:t>类基金份额不收取申购费</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）本基金</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类基金份额的销售服务费年费率为</w:t>
      </w:r>
      <w:r>
        <w:rPr>
          <w:rFonts w:ascii="宋体" w:eastAsia="宋体" w:hAnsi="宋体" w:cs="宋体" w:hint="eastAsia"/>
          <w:kern w:val="0"/>
          <w:sz w:val="24"/>
          <w:szCs w:val="24"/>
        </w:rPr>
        <w:t>0.40%</w:t>
      </w:r>
      <w:r>
        <w:rPr>
          <w:rFonts w:ascii="宋体" w:eastAsia="宋体" w:hAnsi="宋体" w:cs="宋体" w:hint="eastAsia"/>
          <w:kern w:val="0"/>
          <w:sz w:val="24"/>
          <w:szCs w:val="24"/>
        </w:rPr>
        <w:t>。</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类基金份额的销售服务费按前一日该类基金份额的基金资产净值的销售服务费年费率计提。计算方法如下：</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kern w:val="0"/>
          <w:sz w:val="24"/>
          <w:szCs w:val="24"/>
        </w:rPr>
        <w:t>H</w:t>
      </w:r>
      <w:r>
        <w:rPr>
          <w:rFonts w:ascii="宋体" w:eastAsia="宋体" w:hAnsi="宋体" w:cs="宋体"/>
          <w:kern w:val="0"/>
          <w:sz w:val="24"/>
          <w:szCs w:val="24"/>
        </w:rPr>
        <w:t>＝</w:t>
      </w:r>
      <w:r>
        <w:rPr>
          <w:rFonts w:ascii="宋体" w:eastAsia="宋体" w:hAnsi="宋体" w:cs="宋体"/>
          <w:kern w:val="0"/>
          <w:sz w:val="24"/>
          <w:szCs w:val="24"/>
        </w:rPr>
        <w:t>E×</w:t>
      </w:r>
      <w:r>
        <w:rPr>
          <w:rFonts w:ascii="宋体" w:eastAsia="宋体" w:hAnsi="宋体" w:cs="宋体"/>
          <w:kern w:val="0"/>
          <w:sz w:val="24"/>
          <w:szCs w:val="24"/>
        </w:rPr>
        <w:t>年销售服务费率</w:t>
      </w:r>
      <w:r>
        <w:rPr>
          <w:rFonts w:ascii="宋体" w:eastAsia="宋体" w:hAnsi="宋体" w:cs="宋体"/>
          <w:kern w:val="0"/>
          <w:sz w:val="24"/>
          <w:szCs w:val="24"/>
        </w:rPr>
        <w:t>÷</w:t>
      </w:r>
      <w:r>
        <w:rPr>
          <w:rFonts w:ascii="宋体" w:eastAsia="宋体" w:hAnsi="宋体" w:cs="宋体"/>
          <w:kern w:val="0"/>
          <w:sz w:val="24"/>
          <w:szCs w:val="24"/>
        </w:rPr>
        <w:t>当年天数</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kern w:val="0"/>
          <w:sz w:val="24"/>
          <w:szCs w:val="24"/>
        </w:rPr>
        <w:t>H</w:t>
      </w:r>
      <w:r>
        <w:rPr>
          <w:rFonts w:ascii="宋体" w:eastAsia="宋体" w:hAnsi="宋体" w:cs="宋体"/>
          <w:kern w:val="0"/>
          <w:sz w:val="24"/>
          <w:szCs w:val="24"/>
        </w:rPr>
        <w:t>为</w:t>
      </w:r>
      <w:r>
        <w:rPr>
          <w:rFonts w:ascii="宋体" w:eastAsia="宋体" w:hAnsi="宋体" w:cs="宋体"/>
          <w:kern w:val="0"/>
          <w:sz w:val="24"/>
          <w:szCs w:val="24"/>
        </w:rPr>
        <w:t>C</w:t>
      </w:r>
      <w:r>
        <w:rPr>
          <w:rFonts w:ascii="宋体" w:eastAsia="宋体" w:hAnsi="宋体" w:cs="宋体"/>
          <w:kern w:val="0"/>
          <w:sz w:val="24"/>
          <w:szCs w:val="24"/>
        </w:rPr>
        <w:t>类基金份额每日应计提的销售服务费</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kern w:val="0"/>
          <w:sz w:val="24"/>
          <w:szCs w:val="24"/>
        </w:rPr>
        <w:t>E</w:t>
      </w:r>
      <w:r>
        <w:rPr>
          <w:rFonts w:ascii="宋体" w:eastAsia="宋体" w:hAnsi="宋体" w:cs="宋体"/>
          <w:kern w:val="0"/>
          <w:sz w:val="24"/>
          <w:szCs w:val="24"/>
        </w:rPr>
        <w:t>为</w:t>
      </w:r>
      <w:r>
        <w:rPr>
          <w:rFonts w:ascii="宋体" w:eastAsia="宋体" w:hAnsi="宋体" w:cs="宋体"/>
          <w:kern w:val="0"/>
          <w:sz w:val="24"/>
          <w:szCs w:val="24"/>
        </w:rPr>
        <w:t>C</w:t>
      </w:r>
      <w:r>
        <w:rPr>
          <w:rFonts w:ascii="宋体" w:eastAsia="宋体" w:hAnsi="宋体" w:cs="宋体"/>
          <w:kern w:val="0"/>
          <w:sz w:val="24"/>
          <w:szCs w:val="24"/>
        </w:rPr>
        <w:t>类基金份额前一日基金资产净值</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基金销售服务费每日计提，逐日累计至每月月末，按月支付。由基金管理人与基金托管人核对一致后，基金托管人自动于月初</w:t>
      </w:r>
      <w:r>
        <w:rPr>
          <w:rFonts w:ascii="宋体" w:eastAsia="宋体" w:hAnsi="宋体" w:cs="宋体"/>
          <w:kern w:val="0"/>
          <w:sz w:val="24"/>
          <w:szCs w:val="24"/>
        </w:rPr>
        <w:t>2</w:t>
      </w:r>
      <w:r>
        <w:rPr>
          <w:rFonts w:ascii="宋体" w:eastAsia="宋体" w:hAnsi="宋体" w:cs="宋体"/>
          <w:kern w:val="0"/>
          <w:sz w:val="24"/>
          <w:szCs w:val="24"/>
        </w:rPr>
        <w:t>个工作日内从基金财产按照指定的账户路径从基金财产中一次性支付，基金管理人无需再出具资金划拨指令，由登记机构代收，登记机构收到后按相关合同规定</w:t>
      </w:r>
      <w:r>
        <w:rPr>
          <w:rFonts w:ascii="宋体" w:eastAsia="宋体" w:hAnsi="宋体" w:cs="宋体"/>
          <w:kern w:val="0"/>
          <w:sz w:val="24"/>
          <w:szCs w:val="24"/>
        </w:rPr>
        <w:t>支付给基金销售机构。若遇法定节假日、休息日、不可抗力等，支付日期顺延。</w:t>
      </w:r>
    </w:p>
    <w:p w:rsidR="00821D66" w:rsidRDefault="00FA5082" w:rsidP="00FA5082">
      <w:pPr>
        <w:widowControl/>
        <w:shd w:val="clear" w:color="auto" w:fill="FFFFFF"/>
        <w:spacing w:line="360" w:lineRule="auto"/>
        <w:ind w:firstLineChars="177" w:firstLine="425"/>
        <w:jc w:val="left"/>
        <w:rPr>
          <w:rFonts w:ascii="宋体" w:eastAsia="宋体" w:hAnsi="宋体" w:cs="宋体"/>
          <w:b/>
          <w:bCs/>
          <w:kern w:val="36"/>
          <w:sz w:val="36"/>
          <w:szCs w:val="36"/>
        </w:rPr>
      </w:pPr>
      <w:r>
        <w:rPr>
          <w:rFonts w:ascii="宋体" w:eastAsia="宋体" w:hAnsi="宋体" w:cs="宋体" w:hint="eastAsia"/>
          <w:kern w:val="0"/>
          <w:sz w:val="24"/>
          <w:szCs w:val="24"/>
        </w:rPr>
        <w:t>基金管理人和基金托管人可根据基金发展情况调低基金管理费率、基金托管费率或销售服务费率。基金管理人必须最迟于新的费率实施日</w:t>
      </w:r>
      <w:r>
        <w:rPr>
          <w:rFonts w:ascii="宋体" w:eastAsia="宋体" w:hAnsi="宋体" w:cs="宋体" w:hint="eastAsia"/>
          <w:kern w:val="0"/>
          <w:sz w:val="24"/>
          <w:szCs w:val="24"/>
        </w:rPr>
        <w:t>2</w:t>
      </w:r>
      <w:r>
        <w:rPr>
          <w:rFonts w:ascii="宋体" w:eastAsia="宋体" w:hAnsi="宋体" w:cs="宋体" w:hint="eastAsia"/>
          <w:kern w:val="0"/>
          <w:sz w:val="24"/>
          <w:szCs w:val="24"/>
        </w:rPr>
        <w:t>日前在指定媒介上刊登公告。</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）增设</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类基金份额的赎回费用</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类基金份额的赎回费用由该类基金份额赎回人承担，在基金份额持有人赎回基金份额时收取，对持续持有期少于</w:t>
      </w:r>
      <w:r>
        <w:rPr>
          <w:rFonts w:ascii="宋体" w:eastAsia="宋体" w:hAnsi="宋体" w:cs="宋体" w:hint="eastAsia"/>
          <w:kern w:val="0"/>
          <w:sz w:val="24"/>
          <w:szCs w:val="24"/>
        </w:rPr>
        <w:t>7</w:t>
      </w:r>
      <w:r>
        <w:rPr>
          <w:rFonts w:ascii="宋体" w:eastAsia="宋体" w:hAnsi="宋体" w:cs="宋体" w:hint="eastAsia"/>
          <w:kern w:val="0"/>
          <w:sz w:val="24"/>
          <w:szCs w:val="24"/>
        </w:rPr>
        <w:t>日的投资者收取不低于</w:t>
      </w:r>
      <w:r>
        <w:rPr>
          <w:rFonts w:ascii="宋体" w:eastAsia="宋体" w:hAnsi="宋体" w:cs="宋体" w:hint="eastAsia"/>
          <w:kern w:val="0"/>
          <w:sz w:val="24"/>
          <w:szCs w:val="24"/>
        </w:rPr>
        <w:t>1.5%</w:t>
      </w:r>
      <w:r>
        <w:rPr>
          <w:rFonts w:ascii="宋体" w:eastAsia="宋体" w:hAnsi="宋体" w:cs="宋体" w:hint="eastAsia"/>
          <w:kern w:val="0"/>
          <w:sz w:val="24"/>
          <w:szCs w:val="24"/>
        </w:rPr>
        <w:t>的赎回费，并全额计入基金财产。</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类基金份额赎回费率具体如下表所示：</w:t>
      </w:r>
    </w:p>
    <w:tbl>
      <w:tblPr>
        <w:tblStyle w:val="a7"/>
        <w:tblW w:w="7083" w:type="dxa"/>
        <w:tblInd w:w="846" w:type="dxa"/>
        <w:tblLook w:val="04A0"/>
      </w:tblPr>
      <w:tblGrid>
        <w:gridCol w:w="3539"/>
        <w:gridCol w:w="3544"/>
      </w:tblGrid>
      <w:tr w:rsidR="00821D66">
        <w:tc>
          <w:tcPr>
            <w:tcW w:w="3539" w:type="dxa"/>
            <w:vAlign w:val="center"/>
          </w:tcPr>
          <w:p w:rsidR="00821D66" w:rsidRDefault="00FA5082" w:rsidP="00FA5082">
            <w:pPr>
              <w:widowControl/>
              <w:spacing w:line="360" w:lineRule="auto"/>
              <w:ind w:firstLineChars="177" w:firstLine="425"/>
              <w:jc w:val="center"/>
              <w:rPr>
                <w:rFonts w:ascii="宋体" w:eastAsia="宋体" w:hAnsi="宋体" w:cs="宋体"/>
                <w:b/>
                <w:bCs/>
                <w:kern w:val="0"/>
                <w:sz w:val="24"/>
                <w:szCs w:val="24"/>
              </w:rPr>
            </w:pPr>
            <w:r>
              <w:rPr>
                <w:rFonts w:ascii="宋体" w:eastAsia="宋体" w:hAnsiTheme="minorEastAsia" w:hint="eastAsia"/>
                <w:sz w:val="24"/>
                <w:szCs w:val="24"/>
              </w:rPr>
              <w:t>基金份额持有时间（</w:t>
            </w:r>
            <w:r>
              <w:rPr>
                <w:rFonts w:ascii="宋体" w:eastAsia="宋体" w:hAnsiTheme="minorEastAsia" w:hint="eastAsia"/>
                <w:sz w:val="24"/>
                <w:szCs w:val="24"/>
              </w:rPr>
              <w:t>Y</w:t>
            </w:r>
            <w:r>
              <w:rPr>
                <w:rFonts w:ascii="宋体" w:eastAsia="宋体" w:hAnsiTheme="minorEastAsia" w:hint="eastAsia"/>
                <w:sz w:val="24"/>
                <w:szCs w:val="24"/>
              </w:rPr>
              <w:t>）</w:t>
            </w:r>
          </w:p>
        </w:tc>
        <w:tc>
          <w:tcPr>
            <w:tcW w:w="3544" w:type="dxa"/>
            <w:vAlign w:val="center"/>
          </w:tcPr>
          <w:p w:rsidR="00821D66" w:rsidRDefault="00FA5082" w:rsidP="00FA5082">
            <w:pPr>
              <w:widowControl/>
              <w:spacing w:line="360" w:lineRule="auto"/>
              <w:ind w:firstLineChars="177" w:firstLine="425"/>
              <w:jc w:val="center"/>
              <w:rPr>
                <w:rFonts w:ascii="宋体" w:eastAsia="宋体" w:hAnsi="宋体" w:cs="宋体"/>
                <w:b/>
                <w:bCs/>
                <w:kern w:val="0"/>
                <w:sz w:val="24"/>
                <w:szCs w:val="24"/>
              </w:rPr>
            </w:pPr>
            <w:r>
              <w:rPr>
                <w:rFonts w:ascii="宋体" w:eastAsia="宋体" w:hAnsiTheme="minorEastAsia" w:hint="eastAsia"/>
                <w:sz w:val="24"/>
                <w:szCs w:val="24"/>
              </w:rPr>
              <w:t>基金份额赎回费率</w:t>
            </w:r>
          </w:p>
        </w:tc>
      </w:tr>
      <w:tr w:rsidR="00821D66">
        <w:tc>
          <w:tcPr>
            <w:tcW w:w="3539" w:type="dxa"/>
          </w:tcPr>
          <w:p w:rsidR="00821D66" w:rsidRDefault="00FA5082" w:rsidP="00FA5082">
            <w:pPr>
              <w:widowControl/>
              <w:spacing w:line="360" w:lineRule="auto"/>
              <w:ind w:firstLineChars="177" w:firstLine="372"/>
              <w:jc w:val="center"/>
              <w:rPr>
                <w:rFonts w:ascii="宋体" w:eastAsia="宋体" w:hAnsi="宋体" w:cs="宋体"/>
                <w:kern w:val="0"/>
                <w:sz w:val="24"/>
                <w:szCs w:val="24"/>
              </w:rPr>
            </w:pPr>
            <w:r>
              <w:rPr>
                <w:rFonts w:ascii="宋体" w:eastAsia="宋体" w:hAnsiTheme="minorEastAsia"/>
                <w:szCs w:val="21"/>
              </w:rPr>
              <w:t>Y</w:t>
            </w:r>
            <w:r>
              <w:rPr>
                <w:rFonts w:ascii="宋体" w:eastAsia="宋体" w:hAnsiTheme="minorEastAsia"/>
                <w:szCs w:val="21"/>
              </w:rPr>
              <w:t>＜</w:t>
            </w:r>
            <w:r>
              <w:rPr>
                <w:rFonts w:ascii="宋体" w:eastAsia="宋体" w:hAnsiTheme="minorEastAsia"/>
                <w:szCs w:val="21"/>
              </w:rPr>
              <w:t>7</w:t>
            </w:r>
            <w:r>
              <w:rPr>
                <w:rFonts w:ascii="宋体" w:eastAsia="宋体" w:hAnsiTheme="minorEastAsia" w:hint="eastAsia"/>
                <w:szCs w:val="21"/>
              </w:rPr>
              <w:t>天</w:t>
            </w:r>
          </w:p>
        </w:tc>
        <w:tc>
          <w:tcPr>
            <w:tcW w:w="3544" w:type="dxa"/>
          </w:tcPr>
          <w:p w:rsidR="00821D66" w:rsidRDefault="00FA5082" w:rsidP="00FA5082">
            <w:pPr>
              <w:widowControl/>
              <w:spacing w:line="360" w:lineRule="auto"/>
              <w:ind w:firstLineChars="177" w:firstLine="372"/>
              <w:jc w:val="center"/>
              <w:rPr>
                <w:rFonts w:ascii="宋体" w:eastAsia="宋体" w:hAnsi="宋体" w:cs="宋体"/>
                <w:kern w:val="0"/>
                <w:sz w:val="24"/>
                <w:szCs w:val="24"/>
              </w:rPr>
            </w:pPr>
            <w:r>
              <w:rPr>
                <w:rFonts w:ascii="宋体" w:eastAsia="宋体" w:hAnsiTheme="minorEastAsia"/>
                <w:szCs w:val="21"/>
              </w:rPr>
              <w:t>1.50%</w:t>
            </w:r>
          </w:p>
        </w:tc>
      </w:tr>
      <w:tr w:rsidR="00821D66">
        <w:tc>
          <w:tcPr>
            <w:tcW w:w="3539" w:type="dxa"/>
          </w:tcPr>
          <w:p w:rsidR="00821D66" w:rsidRDefault="00FA5082" w:rsidP="00FA5082">
            <w:pPr>
              <w:widowControl/>
              <w:spacing w:line="360" w:lineRule="auto"/>
              <w:ind w:firstLineChars="177" w:firstLine="372"/>
              <w:jc w:val="center"/>
              <w:rPr>
                <w:rFonts w:ascii="宋体" w:eastAsia="宋体" w:hAnsiTheme="minorEastAsia"/>
                <w:sz w:val="24"/>
                <w:szCs w:val="24"/>
              </w:rPr>
            </w:pPr>
            <w:bookmarkStart w:id="0" w:name="OLE_LINK1"/>
            <w:r>
              <w:rPr>
                <w:rFonts w:ascii="宋体" w:eastAsia="宋体" w:hAnsiTheme="minorEastAsia"/>
                <w:szCs w:val="21"/>
              </w:rPr>
              <w:t>7</w:t>
            </w:r>
            <w:r>
              <w:rPr>
                <w:rFonts w:ascii="宋体" w:eastAsia="宋体" w:hAnsiTheme="minorEastAsia" w:hint="eastAsia"/>
                <w:szCs w:val="21"/>
              </w:rPr>
              <w:t>天≤</w:t>
            </w:r>
            <w:bookmarkEnd w:id="0"/>
            <w:r>
              <w:rPr>
                <w:rFonts w:ascii="宋体" w:eastAsia="宋体" w:hAnsiTheme="minorEastAsia"/>
                <w:szCs w:val="21"/>
              </w:rPr>
              <w:t>Y</w:t>
            </w:r>
            <w:r>
              <w:rPr>
                <w:rFonts w:ascii="宋体" w:eastAsia="宋体" w:hAnsiTheme="minorEastAsia" w:hint="eastAsia"/>
                <w:szCs w:val="21"/>
              </w:rPr>
              <w:t>＜</w:t>
            </w:r>
            <w:r>
              <w:rPr>
                <w:rFonts w:ascii="宋体" w:eastAsia="宋体" w:hAnsiTheme="minorEastAsia"/>
                <w:szCs w:val="21"/>
              </w:rPr>
              <w:t>30</w:t>
            </w:r>
            <w:r>
              <w:rPr>
                <w:rFonts w:ascii="宋体" w:eastAsia="宋体" w:hAnsiTheme="minorEastAsia" w:hint="eastAsia"/>
                <w:szCs w:val="21"/>
              </w:rPr>
              <w:t>天</w:t>
            </w:r>
          </w:p>
        </w:tc>
        <w:tc>
          <w:tcPr>
            <w:tcW w:w="3544" w:type="dxa"/>
          </w:tcPr>
          <w:p w:rsidR="00821D66" w:rsidRDefault="00FA5082" w:rsidP="00FA5082">
            <w:pPr>
              <w:widowControl/>
              <w:spacing w:line="360" w:lineRule="auto"/>
              <w:ind w:firstLineChars="177" w:firstLine="372"/>
              <w:jc w:val="center"/>
              <w:rPr>
                <w:rFonts w:ascii="宋体" w:eastAsia="宋体" w:hAnsiTheme="minorEastAsia"/>
                <w:sz w:val="24"/>
                <w:szCs w:val="24"/>
              </w:rPr>
            </w:pPr>
            <w:r>
              <w:rPr>
                <w:rFonts w:ascii="宋体" w:eastAsia="宋体" w:hAnsiTheme="minorEastAsia"/>
                <w:szCs w:val="21"/>
              </w:rPr>
              <w:t>0.50%</w:t>
            </w:r>
          </w:p>
        </w:tc>
      </w:tr>
      <w:tr w:rsidR="00821D66">
        <w:tc>
          <w:tcPr>
            <w:tcW w:w="3539" w:type="dxa"/>
            <w:vAlign w:val="center"/>
          </w:tcPr>
          <w:p w:rsidR="00821D66" w:rsidRDefault="00FA5082" w:rsidP="00FA5082">
            <w:pPr>
              <w:widowControl/>
              <w:spacing w:line="360" w:lineRule="auto"/>
              <w:ind w:firstLineChars="177" w:firstLine="425"/>
              <w:jc w:val="center"/>
              <w:rPr>
                <w:rFonts w:ascii="宋体" w:eastAsia="宋体" w:hAnsi="宋体" w:cs="宋体"/>
                <w:kern w:val="0"/>
                <w:sz w:val="24"/>
                <w:szCs w:val="24"/>
              </w:rPr>
            </w:pPr>
            <w:r>
              <w:rPr>
                <w:rFonts w:ascii="宋体" w:eastAsia="宋体" w:hAnsiTheme="minorEastAsia"/>
                <w:sz w:val="24"/>
                <w:szCs w:val="24"/>
              </w:rPr>
              <w:t>30</w:t>
            </w:r>
            <w:r>
              <w:rPr>
                <w:rFonts w:ascii="宋体" w:eastAsia="宋体" w:hAnsiTheme="minorEastAsia" w:hint="eastAsia"/>
                <w:sz w:val="24"/>
                <w:szCs w:val="24"/>
              </w:rPr>
              <w:t>天≤</w:t>
            </w:r>
            <w:r>
              <w:rPr>
                <w:rFonts w:ascii="宋体" w:eastAsia="宋体" w:hAnsiTheme="minorEastAsia" w:hint="eastAsia"/>
                <w:sz w:val="24"/>
                <w:szCs w:val="24"/>
              </w:rPr>
              <w:t>Y</w:t>
            </w:r>
          </w:p>
        </w:tc>
        <w:tc>
          <w:tcPr>
            <w:tcW w:w="3544" w:type="dxa"/>
            <w:vAlign w:val="center"/>
          </w:tcPr>
          <w:p w:rsidR="00821D66" w:rsidRDefault="00FA5082" w:rsidP="00FA5082">
            <w:pPr>
              <w:widowControl/>
              <w:spacing w:line="360" w:lineRule="auto"/>
              <w:ind w:firstLineChars="177" w:firstLine="425"/>
              <w:jc w:val="center"/>
              <w:rPr>
                <w:rFonts w:ascii="宋体" w:eastAsia="宋体" w:hAnsi="宋体" w:cs="宋体"/>
                <w:kern w:val="0"/>
                <w:sz w:val="24"/>
                <w:szCs w:val="24"/>
              </w:rPr>
            </w:pPr>
            <w:r>
              <w:rPr>
                <w:rFonts w:ascii="宋体" w:eastAsia="宋体" w:hAnsiTheme="minorEastAsia" w:hint="eastAsia"/>
                <w:sz w:val="24"/>
                <w:szCs w:val="24"/>
              </w:rPr>
              <w:t>0</w:t>
            </w:r>
          </w:p>
        </w:tc>
      </w:tr>
    </w:tbl>
    <w:p w:rsidR="00821D66" w:rsidRDefault="00821D66" w:rsidP="00FA5082">
      <w:pPr>
        <w:widowControl/>
        <w:shd w:val="clear" w:color="auto" w:fill="FFFFFF"/>
        <w:spacing w:line="360" w:lineRule="auto"/>
        <w:ind w:firstLineChars="177" w:firstLine="425"/>
        <w:jc w:val="left"/>
        <w:rPr>
          <w:rFonts w:ascii="宋体" w:eastAsia="宋体" w:hAnsi="宋体" w:cs="宋体"/>
          <w:kern w:val="0"/>
          <w:sz w:val="24"/>
          <w:szCs w:val="24"/>
        </w:rPr>
      </w:pP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、投资管理</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本基金将对各类基金份额的资产合并进行投资管理。</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、信息披露</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由于基金费用的不同，本基金各类基金份额将分别计算并公布基金份额净值和基金份额累计净值。</w:t>
      </w:r>
      <w:r>
        <w:rPr>
          <w:rFonts w:ascii="宋体" w:eastAsia="宋体" w:hAnsi="宋体" w:cs="宋体"/>
          <w:kern w:val="0"/>
          <w:sz w:val="24"/>
          <w:szCs w:val="24"/>
        </w:rPr>
        <w:t>通过规定网站、基金销售机构网站或营业网点，披露基金份额净值和基金份额累计净值。</w:t>
      </w:r>
    </w:p>
    <w:p w:rsidR="00821D66" w:rsidRDefault="00821D66">
      <w:pPr>
        <w:widowControl/>
        <w:shd w:val="clear" w:color="auto" w:fill="FFFFFF"/>
        <w:spacing w:line="360" w:lineRule="auto"/>
        <w:ind w:firstLineChars="177" w:firstLine="640"/>
        <w:jc w:val="left"/>
        <w:outlineLvl w:val="0"/>
        <w:rPr>
          <w:rFonts w:ascii="宋体" w:eastAsia="宋体" w:hAnsi="宋体" w:cs="宋体"/>
          <w:b/>
          <w:bCs/>
          <w:kern w:val="36"/>
          <w:sz w:val="36"/>
          <w:szCs w:val="36"/>
        </w:rPr>
      </w:pPr>
    </w:p>
    <w:p w:rsidR="00821D66" w:rsidRDefault="00FA5082">
      <w:pPr>
        <w:widowControl/>
        <w:shd w:val="clear" w:color="auto" w:fill="FFFFFF"/>
        <w:spacing w:line="360" w:lineRule="auto"/>
        <w:ind w:firstLineChars="152" w:firstLine="488"/>
        <w:jc w:val="left"/>
        <w:rPr>
          <w:rFonts w:ascii="宋体" w:eastAsia="宋体" w:hAnsi="宋体" w:cs="宋体"/>
          <w:b/>
          <w:bCs/>
          <w:kern w:val="36"/>
          <w:sz w:val="32"/>
          <w:szCs w:val="36"/>
        </w:rPr>
      </w:pPr>
      <w:r>
        <w:rPr>
          <w:rFonts w:ascii="宋体" w:eastAsia="宋体" w:hAnsi="宋体" w:cs="宋体" w:hint="eastAsia"/>
          <w:b/>
          <w:bCs/>
          <w:kern w:val="36"/>
          <w:sz w:val="32"/>
          <w:szCs w:val="36"/>
        </w:rPr>
        <w:t>二、</w:t>
      </w:r>
      <w:r>
        <w:rPr>
          <w:rFonts w:ascii="宋体" w:eastAsia="宋体" w:hAnsi="宋体" w:cs="宋体" w:hint="eastAsia"/>
          <w:b/>
          <w:bCs/>
          <w:kern w:val="36"/>
          <w:sz w:val="32"/>
          <w:szCs w:val="36"/>
        </w:rPr>
        <w:t>C</w:t>
      </w:r>
      <w:r>
        <w:rPr>
          <w:rFonts w:ascii="宋体" w:eastAsia="宋体" w:hAnsi="宋体" w:cs="宋体" w:hint="eastAsia"/>
          <w:b/>
          <w:bCs/>
          <w:kern w:val="36"/>
          <w:sz w:val="32"/>
          <w:szCs w:val="36"/>
        </w:rPr>
        <w:t>类基金份额使用的销售机构</w:t>
      </w: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）直销机构</w:t>
      </w: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kern w:val="0"/>
          <w:sz w:val="24"/>
          <w:szCs w:val="24"/>
        </w:rPr>
        <w:t>红土创新基金管理有限公司直销中心</w:t>
      </w: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办公地址：深圳市福田区深南大道</w:t>
      </w:r>
      <w:r>
        <w:rPr>
          <w:rFonts w:ascii="宋体" w:eastAsia="宋体" w:hAnsi="宋体" w:cs="宋体"/>
          <w:kern w:val="0"/>
          <w:sz w:val="24"/>
          <w:szCs w:val="24"/>
        </w:rPr>
        <w:t>4011</w:t>
      </w:r>
      <w:r>
        <w:rPr>
          <w:rFonts w:ascii="宋体" w:eastAsia="宋体" w:hAnsi="宋体" w:cs="宋体"/>
          <w:kern w:val="0"/>
          <w:sz w:val="24"/>
          <w:szCs w:val="24"/>
        </w:rPr>
        <w:t>号港中旅大厦</w:t>
      </w:r>
      <w:r>
        <w:rPr>
          <w:rFonts w:ascii="宋体" w:eastAsia="宋体" w:hAnsi="宋体" w:cs="宋体"/>
          <w:kern w:val="0"/>
          <w:sz w:val="24"/>
          <w:szCs w:val="24"/>
        </w:rPr>
        <w:t>13</w:t>
      </w:r>
      <w:r>
        <w:rPr>
          <w:rFonts w:ascii="宋体" w:eastAsia="宋体" w:hAnsi="宋体" w:cs="宋体"/>
          <w:kern w:val="0"/>
          <w:sz w:val="24"/>
          <w:szCs w:val="24"/>
        </w:rPr>
        <w:t>层</w:t>
      </w: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联系电话：</w:t>
      </w:r>
      <w:r>
        <w:rPr>
          <w:rFonts w:ascii="宋体" w:eastAsia="宋体" w:hAnsi="宋体" w:cs="宋体"/>
          <w:kern w:val="0"/>
          <w:sz w:val="24"/>
          <w:szCs w:val="24"/>
        </w:rPr>
        <w:t>0755</w:t>
      </w:r>
      <w:r>
        <w:rPr>
          <w:rFonts w:ascii="宋体" w:eastAsia="宋体" w:hAnsi="宋体" w:cs="宋体"/>
          <w:kern w:val="0"/>
          <w:sz w:val="24"/>
          <w:szCs w:val="24"/>
        </w:rPr>
        <w:t>～</w:t>
      </w:r>
      <w:r>
        <w:rPr>
          <w:rFonts w:ascii="宋体" w:eastAsia="宋体" w:hAnsi="宋体" w:cs="宋体"/>
          <w:kern w:val="0"/>
          <w:sz w:val="24"/>
          <w:szCs w:val="24"/>
        </w:rPr>
        <w:t>33011863</w:t>
      </w: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传真电话：</w:t>
      </w:r>
      <w:r>
        <w:rPr>
          <w:rFonts w:ascii="宋体" w:eastAsia="宋体" w:hAnsi="宋体" w:cs="宋体"/>
          <w:kern w:val="0"/>
          <w:sz w:val="24"/>
          <w:szCs w:val="24"/>
        </w:rPr>
        <w:t>0755</w:t>
      </w:r>
      <w:r>
        <w:rPr>
          <w:rFonts w:ascii="宋体" w:eastAsia="宋体" w:hAnsi="宋体" w:cs="宋体"/>
          <w:kern w:val="0"/>
          <w:sz w:val="24"/>
          <w:szCs w:val="24"/>
        </w:rPr>
        <w:t>～</w:t>
      </w:r>
      <w:r>
        <w:rPr>
          <w:rFonts w:ascii="宋体" w:eastAsia="宋体" w:hAnsi="宋体" w:cs="宋体"/>
          <w:kern w:val="0"/>
          <w:sz w:val="24"/>
          <w:szCs w:val="24"/>
        </w:rPr>
        <w:t>33061855</w:t>
      </w: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客户服务及投诉电话：</w:t>
      </w:r>
      <w:r>
        <w:rPr>
          <w:rFonts w:ascii="宋体" w:eastAsia="宋体" w:hAnsi="宋体" w:cs="宋体"/>
          <w:kern w:val="0"/>
          <w:sz w:val="24"/>
          <w:szCs w:val="24"/>
        </w:rPr>
        <w:t>400-060-3333</w:t>
      </w: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电子邮箱：</w:t>
      </w:r>
      <w:r>
        <w:rPr>
          <w:rFonts w:ascii="宋体" w:eastAsia="宋体" w:hAnsi="宋体" w:cs="宋体"/>
          <w:kern w:val="0"/>
          <w:sz w:val="24"/>
          <w:szCs w:val="24"/>
        </w:rPr>
        <w:t>service@htcxfund.com</w:t>
      </w:r>
    </w:p>
    <w:p w:rsidR="00821D66" w:rsidRDefault="00821D66" w:rsidP="00FA5082">
      <w:pPr>
        <w:widowControl/>
        <w:shd w:val="clear" w:color="auto" w:fill="FFFFFF"/>
        <w:spacing w:line="360" w:lineRule="auto"/>
        <w:ind w:firstLineChars="152" w:firstLine="365"/>
        <w:jc w:val="left"/>
        <w:rPr>
          <w:rFonts w:ascii="宋体" w:eastAsia="宋体" w:hAnsi="宋体" w:cs="宋体"/>
          <w:kern w:val="0"/>
          <w:sz w:val="24"/>
          <w:szCs w:val="24"/>
        </w:rPr>
      </w:pP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kern w:val="0"/>
          <w:sz w:val="24"/>
          <w:szCs w:val="24"/>
        </w:rPr>
        <w:t>红土创新基金管理有限公司网上交易系统网址：</w:t>
      </w: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kern w:val="0"/>
          <w:sz w:val="24"/>
          <w:szCs w:val="24"/>
        </w:rPr>
        <w:t>https://trade.htcxfund.com</w:t>
      </w:r>
    </w:p>
    <w:p w:rsidR="00821D66" w:rsidRDefault="00821D66" w:rsidP="00FA5082">
      <w:pPr>
        <w:widowControl/>
        <w:shd w:val="clear" w:color="auto" w:fill="FFFFFF"/>
        <w:spacing w:line="360" w:lineRule="auto"/>
        <w:ind w:firstLineChars="152" w:firstLine="365"/>
        <w:jc w:val="left"/>
        <w:rPr>
          <w:rFonts w:ascii="宋体" w:eastAsia="宋体" w:hAnsi="宋体" w:cs="宋体"/>
          <w:kern w:val="0"/>
          <w:sz w:val="24"/>
          <w:szCs w:val="24"/>
        </w:rPr>
      </w:pP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）其他销售机构</w:t>
      </w:r>
    </w:p>
    <w:p w:rsidR="00821D66" w:rsidRDefault="00FA5082" w:rsidP="00FA5082">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基金管理人可根据实际情况调整销售机构，各销售机构的具体名单见基金管理人网站披露的销售机构名录。</w:t>
      </w:r>
    </w:p>
    <w:p w:rsidR="00821D66" w:rsidRDefault="00821D66" w:rsidP="00FA5082">
      <w:pPr>
        <w:widowControl/>
        <w:shd w:val="clear" w:color="auto" w:fill="FFFFFF"/>
        <w:spacing w:line="360" w:lineRule="auto"/>
        <w:ind w:firstLineChars="152" w:firstLine="365"/>
        <w:jc w:val="left"/>
        <w:rPr>
          <w:rFonts w:ascii="宋体" w:eastAsia="宋体" w:hAnsi="宋体" w:cs="宋体"/>
          <w:kern w:val="0"/>
          <w:sz w:val="24"/>
          <w:szCs w:val="24"/>
        </w:rPr>
      </w:pPr>
    </w:p>
    <w:p w:rsidR="00821D66" w:rsidRDefault="00FA5082">
      <w:pPr>
        <w:widowControl/>
        <w:shd w:val="clear" w:color="auto" w:fill="FFFFFF"/>
        <w:spacing w:line="360" w:lineRule="auto"/>
        <w:ind w:firstLineChars="152" w:firstLine="488"/>
        <w:jc w:val="left"/>
        <w:rPr>
          <w:rFonts w:ascii="宋体" w:eastAsia="宋体" w:hAnsi="宋体" w:cs="宋体"/>
          <w:b/>
          <w:bCs/>
          <w:kern w:val="36"/>
          <w:sz w:val="32"/>
          <w:szCs w:val="36"/>
        </w:rPr>
      </w:pPr>
      <w:r>
        <w:rPr>
          <w:rFonts w:ascii="宋体" w:eastAsia="宋体" w:hAnsi="宋体" w:cs="宋体" w:hint="eastAsia"/>
          <w:b/>
          <w:bCs/>
          <w:kern w:val="36"/>
          <w:sz w:val="32"/>
          <w:szCs w:val="36"/>
        </w:rPr>
        <w:t>三、重要提示</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、本基金增设</w:t>
      </w:r>
      <w:r>
        <w:rPr>
          <w:rFonts w:ascii="宋体" w:eastAsia="宋体" w:hAnsi="宋体" w:cs="宋体"/>
          <w:kern w:val="0"/>
          <w:sz w:val="24"/>
          <w:szCs w:val="24"/>
        </w:rPr>
        <w:t>C</w:t>
      </w:r>
      <w:r>
        <w:rPr>
          <w:rFonts w:ascii="宋体" w:eastAsia="宋体" w:hAnsi="宋体" w:cs="宋体"/>
          <w:kern w:val="0"/>
          <w:sz w:val="24"/>
          <w:szCs w:val="24"/>
        </w:rPr>
        <w:t>类基金份额并相应修订基金合同等法律文件对原有基金份额持有人的利益无实质性不利影响，不需召开基金份额持有人大会。此次修订已经履行了规定的程序，符合相关法律法规及基金合同的规定</w:t>
      </w:r>
      <w:r>
        <w:rPr>
          <w:rFonts w:ascii="宋体" w:eastAsia="宋体" w:hAnsi="宋体" w:cs="宋体" w:hint="eastAsia"/>
          <w:kern w:val="0"/>
          <w:sz w:val="24"/>
          <w:szCs w:val="24"/>
        </w:rPr>
        <w:t>。</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、本公告仅对本基金增加</w:t>
      </w:r>
      <w:r>
        <w:rPr>
          <w:rFonts w:ascii="宋体" w:eastAsia="宋体" w:hAnsi="宋体" w:cs="宋体"/>
          <w:kern w:val="0"/>
          <w:sz w:val="24"/>
          <w:szCs w:val="24"/>
        </w:rPr>
        <w:t>C</w:t>
      </w:r>
      <w:r>
        <w:rPr>
          <w:rFonts w:ascii="宋体" w:eastAsia="宋体" w:hAnsi="宋体" w:cs="宋体"/>
          <w:kern w:val="0"/>
          <w:sz w:val="24"/>
          <w:szCs w:val="24"/>
        </w:rPr>
        <w:t>类基金份额的有关事项予以说明。投资者欲了解本基金的详细情况，请登录本公司网站（</w:t>
      </w:r>
      <w:r>
        <w:rPr>
          <w:rFonts w:ascii="宋体" w:eastAsia="宋体" w:hAnsi="宋体" w:cs="宋体" w:hint="eastAsia"/>
          <w:kern w:val="0"/>
          <w:sz w:val="24"/>
          <w:szCs w:val="24"/>
        </w:rPr>
        <w:t>www.htcxfund.com</w:t>
      </w:r>
      <w:r>
        <w:rPr>
          <w:rFonts w:ascii="宋体" w:eastAsia="宋体" w:hAnsi="宋体" w:cs="宋体"/>
          <w:kern w:val="0"/>
          <w:sz w:val="24"/>
          <w:szCs w:val="24"/>
        </w:rPr>
        <w:t>）查询本基金的基金合同、托管协议及招募说明书（更新）</w:t>
      </w:r>
      <w:r>
        <w:rPr>
          <w:rFonts w:ascii="宋体" w:eastAsia="宋体" w:hAnsi="宋体" w:cs="宋体" w:hint="eastAsia"/>
          <w:kern w:val="0"/>
          <w:sz w:val="24"/>
          <w:szCs w:val="24"/>
        </w:rPr>
        <w:t>。</w:t>
      </w: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如有疑问，投资者可登录本公司网站</w:t>
      </w:r>
      <w:r>
        <w:rPr>
          <w:rFonts w:ascii="宋体" w:eastAsia="宋体" w:hAnsi="宋体" w:cs="宋体" w:hint="eastAsia"/>
          <w:kern w:val="0"/>
          <w:sz w:val="24"/>
          <w:szCs w:val="24"/>
        </w:rPr>
        <w:t>(www.htcxfund.com)</w:t>
      </w:r>
      <w:r>
        <w:rPr>
          <w:rFonts w:ascii="宋体" w:eastAsia="宋体" w:hAnsi="宋体" w:cs="宋体" w:hint="eastAsia"/>
          <w:kern w:val="0"/>
          <w:sz w:val="24"/>
          <w:szCs w:val="24"/>
        </w:rPr>
        <w:t>或拨打本公司客户服务热线（</w:t>
      </w:r>
      <w:r>
        <w:rPr>
          <w:rFonts w:ascii="宋体" w:eastAsia="宋体" w:hAnsiTheme="minorEastAsia" w:hint="eastAsia"/>
          <w:sz w:val="24"/>
          <w:szCs w:val="24"/>
        </w:rPr>
        <w:t>400-060-3333</w:t>
      </w:r>
      <w:r>
        <w:rPr>
          <w:rFonts w:ascii="宋体" w:eastAsia="宋体" w:hAnsi="宋体" w:cs="宋体" w:hint="eastAsia"/>
          <w:kern w:val="0"/>
          <w:sz w:val="24"/>
          <w:szCs w:val="24"/>
        </w:rPr>
        <w:t>）咨询相关信息。</w:t>
      </w:r>
    </w:p>
    <w:p w:rsidR="00821D66" w:rsidRDefault="00821D66" w:rsidP="00FA5082">
      <w:pPr>
        <w:widowControl/>
        <w:shd w:val="clear" w:color="auto" w:fill="FFFFFF"/>
        <w:spacing w:line="360" w:lineRule="auto"/>
        <w:ind w:firstLineChars="177" w:firstLine="425"/>
        <w:jc w:val="left"/>
        <w:rPr>
          <w:rFonts w:ascii="宋体" w:eastAsia="宋体" w:hAnsi="宋体" w:cs="宋体"/>
          <w:kern w:val="0"/>
          <w:sz w:val="24"/>
          <w:szCs w:val="24"/>
        </w:rPr>
      </w:pPr>
    </w:p>
    <w:p w:rsidR="00821D66" w:rsidRDefault="00FA5082">
      <w:pPr>
        <w:widowControl/>
        <w:shd w:val="clear" w:color="auto" w:fill="FFFFFF"/>
        <w:spacing w:line="360" w:lineRule="auto"/>
        <w:ind w:firstLineChars="177" w:firstLine="426"/>
        <w:jc w:val="left"/>
        <w:rPr>
          <w:rFonts w:ascii="宋体" w:eastAsia="宋体" w:hAnsi="宋体" w:cs="宋体"/>
          <w:kern w:val="0"/>
          <w:sz w:val="24"/>
          <w:szCs w:val="24"/>
        </w:rPr>
      </w:pPr>
      <w:r>
        <w:rPr>
          <w:rFonts w:ascii="宋体" w:eastAsia="宋体" w:hAnsi="宋体" w:cs="宋体" w:hint="eastAsia"/>
          <w:b/>
          <w:kern w:val="0"/>
          <w:sz w:val="24"/>
          <w:szCs w:val="24"/>
        </w:rPr>
        <w:t>风险</w:t>
      </w:r>
      <w:r>
        <w:rPr>
          <w:rFonts w:ascii="宋体" w:eastAsia="宋体" w:hAnsi="宋体" w:cs="宋体" w:hint="eastAsia"/>
          <w:b/>
          <w:kern w:val="0"/>
          <w:sz w:val="24"/>
          <w:szCs w:val="24"/>
        </w:rPr>
        <w:t>提示：</w:t>
      </w:r>
      <w:r>
        <w:rPr>
          <w:rFonts w:ascii="宋体" w:eastAsia="宋体" w:hAnsi="宋体" w:cs="宋体" w:hint="eastAsia"/>
          <w:kern w:val="0"/>
          <w:sz w:val="24"/>
          <w:szCs w:val="24"/>
        </w:rPr>
        <w:t>本基金管理人承诺以恪尽职守、诚实信用、谨慎勤勉的原则管理和运用基金资产，但不保证本基金一定盈利，也不保证最低收益。投资人应当认真阅读基金合同、基金招募说明书等信息披露文件，自主判断基金的投资价值，自主做出投资决策，自行承担投资风险。本基金的过往业绩及其净值高低并不预示其未来业绩表现。本基金管理人所管理的其他基金的业绩并不构成对本基金业绩表现的保证。本基金管理人提醒投资人基金投资的“买者自负”原则，在做出投资决策后，基金运营状况与基金净值变化引致的投资风险，由投资人自行负担。</w:t>
      </w:r>
    </w:p>
    <w:p w:rsidR="00821D66" w:rsidRDefault="00821D66" w:rsidP="00FA5082">
      <w:pPr>
        <w:widowControl/>
        <w:shd w:val="clear" w:color="auto" w:fill="FFFFFF"/>
        <w:spacing w:line="360" w:lineRule="auto"/>
        <w:ind w:firstLineChars="177" w:firstLine="425"/>
        <w:jc w:val="left"/>
        <w:rPr>
          <w:rFonts w:ascii="宋体" w:eastAsia="宋体" w:hAnsi="宋体" w:cs="宋体"/>
          <w:kern w:val="0"/>
          <w:sz w:val="24"/>
          <w:szCs w:val="24"/>
        </w:rPr>
      </w:pPr>
    </w:p>
    <w:p w:rsidR="00821D66" w:rsidRDefault="00FA5082" w:rsidP="00FA5082">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特此公告。</w:t>
      </w:r>
    </w:p>
    <w:p w:rsidR="00821D66" w:rsidRDefault="00821D66" w:rsidP="00FA5082">
      <w:pPr>
        <w:widowControl/>
        <w:shd w:val="clear" w:color="auto" w:fill="FFFFFF"/>
        <w:spacing w:line="360" w:lineRule="auto"/>
        <w:ind w:firstLineChars="177" w:firstLine="425"/>
        <w:jc w:val="right"/>
        <w:rPr>
          <w:rFonts w:ascii="宋体" w:eastAsia="宋体" w:hAnsi="宋体" w:cs="宋体"/>
          <w:kern w:val="0"/>
          <w:sz w:val="24"/>
          <w:szCs w:val="24"/>
        </w:rPr>
      </w:pPr>
    </w:p>
    <w:p w:rsidR="00821D66" w:rsidRDefault="00821D66" w:rsidP="00FA5082">
      <w:pPr>
        <w:widowControl/>
        <w:shd w:val="clear" w:color="auto" w:fill="FFFFFF"/>
        <w:spacing w:line="360" w:lineRule="auto"/>
        <w:ind w:firstLineChars="177" w:firstLine="425"/>
        <w:jc w:val="right"/>
        <w:rPr>
          <w:rFonts w:ascii="宋体" w:eastAsia="宋体" w:hAnsi="宋体" w:cs="宋体"/>
          <w:kern w:val="0"/>
          <w:sz w:val="24"/>
          <w:szCs w:val="24"/>
        </w:rPr>
      </w:pPr>
    </w:p>
    <w:p w:rsidR="00821D66" w:rsidRDefault="00FA5082" w:rsidP="00FA5082">
      <w:pPr>
        <w:widowControl/>
        <w:shd w:val="clear" w:color="auto" w:fill="FFFFFF"/>
        <w:spacing w:line="360" w:lineRule="auto"/>
        <w:ind w:firstLineChars="177" w:firstLine="425"/>
        <w:jc w:val="right"/>
        <w:rPr>
          <w:rFonts w:ascii="宋体" w:eastAsia="宋体" w:hAnsi="宋体" w:cs="宋体"/>
          <w:kern w:val="0"/>
          <w:sz w:val="24"/>
          <w:szCs w:val="24"/>
        </w:rPr>
      </w:pPr>
      <w:r>
        <w:rPr>
          <w:rFonts w:ascii="宋体" w:eastAsia="宋体" w:hAnsi="宋体" w:cs="宋体" w:hint="eastAsia"/>
          <w:kern w:val="0"/>
          <w:sz w:val="24"/>
          <w:szCs w:val="24"/>
        </w:rPr>
        <w:t>红土创新基金管理有限公司</w:t>
      </w:r>
    </w:p>
    <w:p w:rsidR="00821D66" w:rsidRDefault="00821D66" w:rsidP="00FA5082">
      <w:pPr>
        <w:widowControl/>
        <w:shd w:val="clear" w:color="auto" w:fill="FFFFFF"/>
        <w:spacing w:line="360" w:lineRule="auto"/>
        <w:ind w:firstLineChars="177" w:firstLine="425"/>
        <w:jc w:val="right"/>
        <w:rPr>
          <w:rFonts w:ascii="宋体" w:eastAsia="宋体" w:hAnsi="宋体" w:cs="宋体"/>
          <w:kern w:val="0"/>
          <w:sz w:val="24"/>
          <w:szCs w:val="24"/>
        </w:rPr>
      </w:pPr>
    </w:p>
    <w:p w:rsidR="00821D66" w:rsidRDefault="00821D66" w:rsidP="00FA5082">
      <w:pPr>
        <w:widowControl/>
        <w:shd w:val="clear" w:color="auto" w:fill="FFFFFF"/>
        <w:spacing w:line="360" w:lineRule="auto"/>
        <w:ind w:firstLineChars="177" w:firstLine="425"/>
        <w:jc w:val="right"/>
        <w:rPr>
          <w:rFonts w:ascii="宋体" w:eastAsia="宋体" w:hAnsi="宋体" w:cs="宋体"/>
          <w:kern w:val="0"/>
          <w:sz w:val="24"/>
          <w:szCs w:val="24"/>
        </w:rPr>
      </w:pPr>
    </w:p>
    <w:p w:rsidR="00821D66" w:rsidRDefault="00FA5082" w:rsidP="00821D66">
      <w:pPr>
        <w:widowControl/>
        <w:shd w:val="clear" w:color="auto" w:fill="FFFFFF"/>
        <w:wordWrap w:val="0"/>
        <w:spacing w:line="360" w:lineRule="auto"/>
        <w:ind w:firstLineChars="177" w:firstLine="425"/>
        <w:jc w:val="right"/>
        <w:rPr>
          <w:rFonts w:ascii="宋体" w:eastAsia="宋体" w:hAnsi="宋体" w:cs="宋体"/>
          <w:kern w:val="0"/>
          <w:sz w:val="24"/>
          <w:szCs w:val="24"/>
        </w:rPr>
      </w:pPr>
      <w:r>
        <w:rPr>
          <w:rFonts w:ascii="宋体" w:eastAsia="宋体" w:hAnsi="宋体" w:cs="宋体" w:hint="eastAsia"/>
          <w:kern w:val="0"/>
          <w:sz w:val="24"/>
          <w:szCs w:val="24"/>
        </w:rPr>
        <w:t>202</w:t>
      </w:r>
      <w:r>
        <w:rPr>
          <w:rFonts w:ascii="宋体" w:eastAsia="宋体" w:hAnsi="宋体" w:cs="宋体"/>
          <w:kern w:val="0"/>
          <w:sz w:val="24"/>
          <w:szCs w:val="24"/>
        </w:rPr>
        <w:t>5</w:t>
      </w:r>
      <w:r>
        <w:rPr>
          <w:rFonts w:ascii="宋体" w:eastAsia="宋体" w:hAnsi="宋体" w:cs="宋体" w:hint="eastAsia"/>
          <w:kern w:val="0"/>
          <w:sz w:val="24"/>
          <w:szCs w:val="24"/>
        </w:rPr>
        <w:t>年</w:t>
      </w:r>
      <w:r>
        <w:rPr>
          <w:rFonts w:ascii="宋体" w:eastAsia="宋体" w:hAnsi="宋体" w:cs="宋体"/>
          <w:kern w:val="0"/>
          <w:sz w:val="24"/>
          <w:szCs w:val="24"/>
        </w:rPr>
        <w:t>12</w:t>
      </w:r>
      <w:r>
        <w:rPr>
          <w:rFonts w:ascii="宋体" w:eastAsia="宋体" w:hAnsi="宋体" w:cs="宋体" w:hint="eastAsia"/>
          <w:kern w:val="0"/>
          <w:sz w:val="24"/>
          <w:szCs w:val="24"/>
        </w:rPr>
        <w:t>月</w:t>
      </w:r>
      <w:r>
        <w:rPr>
          <w:rFonts w:ascii="宋体" w:eastAsia="宋体" w:hAnsi="宋体" w:cs="宋体"/>
          <w:kern w:val="0"/>
          <w:sz w:val="24"/>
          <w:szCs w:val="24"/>
        </w:rPr>
        <w:t>11</w:t>
      </w:r>
      <w:r>
        <w:rPr>
          <w:rFonts w:ascii="宋体" w:eastAsia="宋体" w:hAnsi="宋体" w:cs="宋体" w:hint="eastAsia"/>
          <w:kern w:val="0"/>
          <w:sz w:val="24"/>
          <w:szCs w:val="24"/>
        </w:rPr>
        <w:t>日</w:t>
      </w:r>
      <w:bookmarkStart w:id="1" w:name="_GoBack"/>
      <w:bookmarkEnd w:id="1"/>
    </w:p>
    <w:sectPr w:rsidR="00821D66" w:rsidSect="00821D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3405F"/>
    <w:rsid w:val="00000A75"/>
    <w:rsid w:val="0000519E"/>
    <w:rsid w:val="00007A4A"/>
    <w:rsid w:val="00007C28"/>
    <w:rsid w:val="000128A2"/>
    <w:rsid w:val="00012DCD"/>
    <w:rsid w:val="00013BE0"/>
    <w:rsid w:val="00015224"/>
    <w:rsid w:val="00015D9C"/>
    <w:rsid w:val="00017507"/>
    <w:rsid w:val="00021BA1"/>
    <w:rsid w:val="00022C5E"/>
    <w:rsid w:val="000230E5"/>
    <w:rsid w:val="000233BB"/>
    <w:rsid w:val="00023A71"/>
    <w:rsid w:val="00025B86"/>
    <w:rsid w:val="0002664B"/>
    <w:rsid w:val="00030407"/>
    <w:rsid w:val="00030CA7"/>
    <w:rsid w:val="00032FBC"/>
    <w:rsid w:val="00037688"/>
    <w:rsid w:val="00037AD7"/>
    <w:rsid w:val="00040B2F"/>
    <w:rsid w:val="00043747"/>
    <w:rsid w:val="00044BA6"/>
    <w:rsid w:val="00044FFD"/>
    <w:rsid w:val="000478E5"/>
    <w:rsid w:val="000578A0"/>
    <w:rsid w:val="00061894"/>
    <w:rsid w:val="000626C8"/>
    <w:rsid w:val="000668B5"/>
    <w:rsid w:val="00070D16"/>
    <w:rsid w:val="0007533C"/>
    <w:rsid w:val="000858F0"/>
    <w:rsid w:val="00086BFA"/>
    <w:rsid w:val="000928E7"/>
    <w:rsid w:val="00097988"/>
    <w:rsid w:val="000A211E"/>
    <w:rsid w:val="000A59A0"/>
    <w:rsid w:val="000B09FF"/>
    <w:rsid w:val="000B0FA8"/>
    <w:rsid w:val="000B1AC4"/>
    <w:rsid w:val="000B1B52"/>
    <w:rsid w:val="000B1E89"/>
    <w:rsid w:val="000B3CE6"/>
    <w:rsid w:val="000B42A5"/>
    <w:rsid w:val="000B5CCF"/>
    <w:rsid w:val="000B6091"/>
    <w:rsid w:val="000C2BB4"/>
    <w:rsid w:val="000C2D96"/>
    <w:rsid w:val="000C3525"/>
    <w:rsid w:val="000C3E88"/>
    <w:rsid w:val="000C6E89"/>
    <w:rsid w:val="000D06B3"/>
    <w:rsid w:val="000D1FF6"/>
    <w:rsid w:val="000D29F7"/>
    <w:rsid w:val="000D4A7B"/>
    <w:rsid w:val="000D62DF"/>
    <w:rsid w:val="000D6B35"/>
    <w:rsid w:val="000D6CBB"/>
    <w:rsid w:val="000D76BD"/>
    <w:rsid w:val="000E0C61"/>
    <w:rsid w:val="000E59F3"/>
    <w:rsid w:val="000F1ACD"/>
    <w:rsid w:val="000F2031"/>
    <w:rsid w:val="000F3F98"/>
    <w:rsid w:val="000F469E"/>
    <w:rsid w:val="0010226A"/>
    <w:rsid w:val="00103670"/>
    <w:rsid w:val="00103AD4"/>
    <w:rsid w:val="0010485D"/>
    <w:rsid w:val="00112BC8"/>
    <w:rsid w:val="00115853"/>
    <w:rsid w:val="00115AAE"/>
    <w:rsid w:val="00116547"/>
    <w:rsid w:val="00117C2E"/>
    <w:rsid w:val="0012100D"/>
    <w:rsid w:val="00121ADD"/>
    <w:rsid w:val="001241AD"/>
    <w:rsid w:val="001252BD"/>
    <w:rsid w:val="00127493"/>
    <w:rsid w:val="001278C1"/>
    <w:rsid w:val="00133471"/>
    <w:rsid w:val="00133B47"/>
    <w:rsid w:val="0013485F"/>
    <w:rsid w:val="00135352"/>
    <w:rsid w:val="00136452"/>
    <w:rsid w:val="001365DD"/>
    <w:rsid w:val="001400B1"/>
    <w:rsid w:val="0014095C"/>
    <w:rsid w:val="0014209D"/>
    <w:rsid w:val="0014265C"/>
    <w:rsid w:val="00152A26"/>
    <w:rsid w:val="00153820"/>
    <w:rsid w:val="00153CD5"/>
    <w:rsid w:val="001573E6"/>
    <w:rsid w:val="00157F44"/>
    <w:rsid w:val="00163C1A"/>
    <w:rsid w:val="001646F7"/>
    <w:rsid w:val="00174929"/>
    <w:rsid w:val="00174FB8"/>
    <w:rsid w:val="0017658C"/>
    <w:rsid w:val="0018168E"/>
    <w:rsid w:val="00182D36"/>
    <w:rsid w:val="001834B1"/>
    <w:rsid w:val="001872CC"/>
    <w:rsid w:val="00190E87"/>
    <w:rsid w:val="00193E3F"/>
    <w:rsid w:val="001944DE"/>
    <w:rsid w:val="00196EF5"/>
    <w:rsid w:val="00196F1F"/>
    <w:rsid w:val="001A1653"/>
    <w:rsid w:val="001A2E51"/>
    <w:rsid w:val="001A300D"/>
    <w:rsid w:val="001A38DB"/>
    <w:rsid w:val="001A48A1"/>
    <w:rsid w:val="001A6EA4"/>
    <w:rsid w:val="001C5894"/>
    <w:rsid w:val="001D1DCC"/>
    <w:rsid w:val="001D215E"/>
    <w:rsid w:val="001D21BB"/>
    <w:rsid w:val="001D3FF0"/>
    <w:rsid w:val="001D726E"/>
    <w:rsid w:val="001E03E7"/>
    <w:rsid w:val="001E12F4"/>
    <w:rsid w:val="001E1541"/>
    <w:rsid w:val="001E31F8"/>
    <w:rsid w:val="001E33F8"/>
    <w:rsid w:val="001E650E"/>
    <w:rsid w:val="001F2043"/>
    <w:rsid w:val="001F2090"/>
    <w:rsid w:val="001F324C"/>
    <w:rsid w:val="001F3587"/>
    <w:rsid w:val="001F704F"/>
    <w:rsid w:val="0020168C"/>
    <w:rsid w:val="002033CC"/>
    <w:rsid w:val="002041A3"/>
    <w:rsid w:val="0021265A"/>
    <w:rsid w:val="00213CA6"/>
    <w:rsid w:val="0021411D"/>
    <w:rsid w:val="00216B1E"/>
    <w:rsid w:val="00220A0C"/>
    <w:rsid w:val="00221244"/>
    <w:rsid w:val="002221E6"/>
    <w:rsid w:val="0022286E"/>
    <w:rsid w:val="002229CE"/>
    <w:rsid w:val="00223319"/>
    <w:rsid w:val="0022533E"/>
    <w:rsid w:val="00226C4C"/>
    <w:rsid w:val="00226FE8"/>
    <w:rsid w:val="002310E8"/>
    <w:rsid w:val="00233DCC"/>
    <w:rsid w:val="00234642"/>
    <w:rsid w:val="00235DDD"/>
    <w:rsid w:val="0023773B"/>
    <w:rsid w:val="0024071E"/>
    <w:rsid w:val="002417C4"/>
    <w:rsid w:val="00243E6E"/>
    <w:rsid w:val="00244C3D"/>
    <w:rsid w:val="00244F33"/>
    <w:rsid w:val="00245F3A"/>
    <w:rsid w:val="00250683"/>
    <w:rsid w:val="00250DDC"/>
    <w:rsid w:val="002511FB"/>
    <w:rsid w:val="0025256D"/>
    <w:rsid w:val="0025274B"/>
    <w:rsid w:val="00254AB3"/>
    <w:rsid w:val="0025538B"/>
    <w:rsid w:val="00261EEE"/>
    <w:rsid w:val="00264246"/>
    <w:rsid w:val="00264432"/>
    <w:rsid w:val="00267952"/>
    <w:rsid w:val="00267D54"/>
    <w:rsid w:val="00270266"/>
    <w:rsid w:val="002713F8"/>
    <w:rsid w:val="002734B0"/>
    <w:rsid w:val="00274A8C"/>
    <w:rsid w:val="002804AB"/>
    <w:rsid w:val="002835F9"/>
    <w:rsid w:val="002871EF"/>
    <w:rsid w:val="00292A8A"/>
    <w:rsid w:val="00292BB0"/>
    <w:rsid w:val="00292FD9"/>
    <w:rsid w:val="00296D03"/>
    <w:rsid w:val="002A06D0"/>
    <w:rsid w:val="002A18EC"/>
    <w:rsid w:val="002A25B1"/>
    <w:rsid w:val="002A2AE0"/>
    <w:rsid w:val="002A501F"/>
    <w:rsid w:val="002A699A"/>
    <w:rsid w:val="002A7C8F"/>
    <w:rsid w:val="002A7E50"/>
    <w:rsid w:val="002B1F59"/>
    <w:rsid w:val="002B2C23"/>
    <w:rsid w:val="002B7568"/>
    <w:rsid w:val="002B78FC"/>
    <w:rsid w:val="002B7ACA"/>
    <w:rsid w:val="002C5097"/>
    <w:rsid w:val="002C6FE2"/>
    <w:rsid w:val="002D0442"/>
    <w:rsid w:val="002D1286"/>
    <w:rsid w:val="002D160A"/>
    <w:rsid w:val="002D25C4"/>
    <w:rsid w:val="002D376E"/>
    <w:rsid w:val="002D38DE"/>
    <w:rsid w:val="002D3CE2"/>
    <w:rsid w:val="002D4A0E"/>
    <w:rsid w:val="002D4A11"/>
    <w:rsid w:val="002D6AAF"/>
    <w:rsid w:val="002E1C9D"/>
    <w:rsid w:val="002F1AF7"/>
    <w:rsid w:val="002F2681"/>
    <w:rsid w:val="002F2728"/>
    <w:rsid w:val="00307026"/>
    <w:rsid w:val="003123BF"/>
    <w:rsid w:val="00312CE1"/>
    <w:rsid w:val="00315459"/>
    <w:rsid w:val="00316EF8"/>
    <w:rsid w:val="0031774E"/>
    <w:rsid w:val="0032013A"/>
    <w:rsid w:val="00320ADE"/>
    <w:rsid w:val="00324511"/>
    <w:rsid w:val="00324E96"/>
    <w:rsid w:val="0033566D"/>
    <w:rsid w:val="00335677"/>
    <w:rsid w:val="00342545"/>
    <w:rsid w:val="003427B8"/>
    <w:rsid w:val="0034345A"/>
    <w:rsid w:val="003439C4"/>
    <w:rsid w:val="00343D0E"/>
    <w:rsid w:val="003454E9"/>
    <w:rsid w:val="003459BD"/>
    <w:rsid w:val="0034631C"/>
    <w:rsid w:val="00346A52"/>
    <w:rsid w:val="0035108F"/>
    <w:rsid w:val="0035199A"/>
    <w:rsid w:val="0035282E"/>
    <w:rsid w:val="00356041"/>
    <w:rsid w:val="00363134"/>
    <w:rsid w:val="00363632"/>
    <w:rsid w:val="00364B04"/>
    <w:rsid w:val="00365934"/>
    <w:rsid w:val="0036695C"/>
    <w:rsid w:val="00371E3E"/>
    <w:rsid w:val="003750ED"/>
    <w:rsid w:val="00377579"/>
    <w:rsid w:val="00385094"/>
    <w:rsid w:val="003856A5"/>
    <w:rsid w:val="003866F5"/>
    <w:rsid w:val="00387447"/>
    <w:rsid w:val="00387EB0"/>
    <w:rsid w:val="003902A4"/>
    <w:rsid w:val="0039289F"/>
    <w:rsid w:val="0039348A"/>
    <w:rsid w:val="00395287"/>
    <w:rsid w:val="003953F7"/>
    <w:rsid w:val="00396148"/>
    <w:rsid w:val="003A183E"/>
    <w:rsid w:val="003A1E2E"/>
    <w:rsid w:val="003A2CA5"/>
    <w:rsid w:val="003B0373"/>
    <w:rsid w:val="003B5E61"/>
    <w:rsid w:val="003B68B1"/>
    <w:rsid w:val="003C0DB3"/>
    <w:rsid w:val="003C102E"/>
    <w:rsid w:val="003C5FC2"/>
    <w:rsid w:val="003D0794"/>
    <w:rsid w:val="003E05D7"/>
    <w:rsid w:val="003E33F2"/>
    <w:rsid w:val="003E507C"/>
    <w:rsid w:val="003E621B"/>
    <w:rsid w:val="003E63C4"/>
    <w:rsid w:val="003E7865"/>
    <w:rsid w:val="003F00AF"/>
    <w:rsid w:val="003F0618"/>
    <w:rsid w:val="003F37DD"/>
    <w:rsid w:val="003F4E77"/>
    <w:rsid w:val="003F5C3D"/>
    <w:rsid w:val="003F5E84"/>
    <w:rsid w:val="003F6843"/>
    <w:rsid w:val="004044E0"/>
    <w:rsid w:val="0040564B"/>
    <w:rsid w:val="00407065"/>
    <w:rsid w:val="00410AF3"/>
    <w:rsid w:val="00411315"/>
    <w:rsid w:val="004129CE"/>
    <w:rsid w:val="0041437F"/>
    <w:rsid w:val="00420F7E"/>
    <w:rsid w:val="004222D7"/>
    <w:rsid w:val="004235DB"/>
    <w:rsid w:val="00424A4D"/>
    <w:rsid w:val="004250A6"/>
    <w:rsid w:val="00425A55"/>
    <w:rsid w:val="00425DEB"/>
    <w:rsid w:val="0043101C"/>
    <w:rsid w:val="0043435D"/>
    <w:rsid w:val="00436F54"/>
    <w:rsid w:val="0044117E"/>
    <w:rsid w:val="00444EF2"/>
    <w:rsid w:val="004455C6"/>
    <w:rsid w:val="0044594E"/>
    <w:rsid w:val="00446F67"/>
    <w:rsid w:val="00450D49"/>
    <w:rsid w:val="00451405"/>
    <w:rsid w:val="00454572"/>
    <w:rsid w:val="004549BF"/>
    <w:rsid w:val="0045573A"/>
    <w:rsid w:val="00457C0C"/>
    <w:rsid w:val="00460E8B"/>
    <w:rsid w:val="00460F65"/>
    <w:rsid w:val="004643BC"/>
    <w:rsid w:val="00471BA2"/>
    <w:rsid w:val="00472E5B"/>
    <w:rsid w:val="0047445F"/>
    <w:rsid w:val="00474ED9"/>
    <w:rsid w:val="0047529C"/>
    <w:rsid w:val="00476E39"/>
    <w:rsid w:val="00477499"/>
    <w:rsid w:val="0047753A"/>
    <w:rsid w:val="00485961"/>
    <w:rsid w:val="0048734F"/>
    <w:rsid w:val="00487CF8"/>
    <w:rsid w:val="00494EC6"/>
    <w:rsid w:val="0049510B"/>
    <w:rsid w:val="004A1375"/>
    <w:rsid w:val="004A1B7C"/>
    <w:rsid w:val="004A3939"/>
    <w:rsid w:val="004A4B62"/>
    <w:rsid w:val="004A4F84"/>
    <w:rsid w:val="004B06E8"/>
    <w:rsid w:val="004B0E03"/>
    <w:rsid w:val="004B17E8"/>
    <w:rsid w:val="004B43BD"/>
    <w:rsid w:val="004C2BB7"/>
    <w:rsid w:val="004C7697"/>
    <w:rsid w:val="004D4190"/>
    <w:rsid w:val="004D4E3C"/>
    <w:rsid w:val="004D59A4"/>
    <w:rsid w:val="004D5DEF"/>
    <w:rsid w:val="004E44A0"/>
    <w:rsid w:val="004E45FE"/>
    <w:rsid w:val="004E49A0"/>
    <w:rsid w:val="004E6788"/>
    <w:rsid w:val="004E7374"/>
    <w:rsid w:val="004F30B5"/>
    <w:rsid w:val="004F3300"/>
    <w:rsid w:val="004F3969"/>
    <w:rsid w:val="004F468A"/>
    <w:rsid w:val="004F7D56"/>
    <w:rsid w:val="004F7DC8"/>
    <w:rsid w:val="00500066"/>
    <w:rsid w:val="00501925"/>
    <w:rsid w:val="00504105"/>
    <w:rsid w:val="00504179"/>
    <w:rsid w:val="00507822"/>
    <w:rsid w:val="005113EE"/>
    <w:rsid w:val="005120DA"/>
    <w:rsid w:val="00512AA1"/>
    <w:rsid w:val="005143A7"/>
    <w:rsid w:val="0051453B"/>
    <w:rsid w:val="00517FB0"/>
    <w:rsid w:val="00520E54"/>
    <w:rsid w:val="00523624"/>
    <w:rsid w:val="00526084"/>
    <w:rsid w:val="005327FD"/>
    <w:rsid w:val="00534032"/>
    <w:rsid w:val="00535EA3"/>
    <w:rsid w:val="005362C1"/>
    <w:rsid w:val="005365C4"/>
    <w:rsid w:val="00536C0F"/>
    <w:rsid w:val="0053778B"/>
    <w:rsid w:val="0054037B"/>
    <w:rsid w:val="005445C9"/>
    <w:rsid w:val="00544D4C"/>
    <w:rsid w:val="00552F18"/>
    <w:rsid w:val="00554A78"/>
    <w:rsid w:val="00555270"/>
    <w:rsid w:val="0056031A"/>
    <w:rsid w:val="00560506"/>
    <w:rsid w:val="005654D4"/>
    <w:rsid w:val="0056663C"/>
    <w:rsid w:val="005672EB"/>
    <w:rsid w:val="00567A20"/>
    <w:rsid w:val="0057185B"/>
    <w:rsid w:val="005727E7"/>
    <w:rsid w:val="00574FE6"/>
    <w:rsid w:val="005750E3"/>
    <w:rsid w:val="00575152"/>
    <w:rsid w:val="005754BC"/>
    <w:rsid w:val="00576FAB"/>
    <w:rsid w:val="005827B8"/>
    <w:rsid w:val="005832DF"/>
    <w:rsid w:val="00584AAD"/>
    <w:rsid w:val="00586D91"/>
    <w:rsid w:val="0058763D"/>
    <w:rsid w:val="00590156"/>
    <w:rsid w:val="00591B28"/>
    <w:rsid w:val="00591F8D"/>
    <w:rsid w:val="00594E6A"/>
    <w:rsid w:val="00595097"/>
    <w:rsid w:val="00595B05"/>
    <w:rsid w:val="00596331"/>
    <w:rsid w:val="005978BC"/>
    <w:rsid w:val="005A26FF"/>
    <w:rsid w:val="005A41B2"/>
    <w:rsid w:val="005A508A"/>
    <w:rsid w:val="005B1395"/>
    <w:rsid w:val="005B463D"/>
    <w:rsid w:val="005B5C89"/>
    <w:rsid w:val="005C229D"/>
    <w:rsid w:val="005C51CB"/>
    <w:rsid w:val="005C6F6F"/>
    <w:rsid w:val="005D1274"/>
    <w:rsid w:val="005D1C07"/>
    <w:rsid w:val="005D1EDB"/>
    <w:rsid w:val="005D39F3"/>
    <w:rsid w:val="005D631B"/>
    <w:rsid w:val="005D66F0"/>
    <w:rsid w:val="005D73C0"/>
    <w:rsid w:val="005D7836"/>
    <w:rsid w:val="005E1CE7"/>
    <w:rsid w:val="005E2689"/>
    <w:rsid w:val="005E2697"/>
    <w:rsid w:val="005E27BC"/>
    <w:rsid w:val="005E356C"/>
    <w:rsid w:val="005E40C5"/>
    <w:rsid w:val="005F29AE"/>
    <w:rsid w:val="005F4082"/>
    <w:rsid w:val="005F433D"/>
    <w:rsid w:val="005F4546"/>
    <w:rsid w:val="005F7291"/>
    <w:rsid w:val="00600223"/>
    <w:rsid w:val="0060062D"/>
    <w:rsid w:val="00602EA6"/>
    <w:rsid w:val="00602F6A"/>
    <w:rsid w:val="00607749"/>
    <w:rsid w:val="00610FF3"/>
    <w:rsid w:val="00616471"/>
    <w:rsid w:val="006200D5"/>
    <w:rsid w:val="00620E27"/>
    <w:rsid w:val="00621D07"/>
    <w:rsid w:val="00623321"/>
    <w:rsid w:val="00624503"/>
    <w:rsid w:val="00626313"/>
    <w:rsid w:val="0063043C"/>
    <w:rsid w:val="00632CA7"/>
    <w:rsid w:val="00632FD0"/>
    <w:rsid w:val="006352EB"/>
    <w:rsid w:val="00635F8A"/>
    <w:rsid w:val="00636094"/>
    <w:rsid w:val="006413CA"/>
    <w:rsid w:val="006462A9"/>
    <w:rsid w:val="0065301C"/>
    <w:rsid w:val="006530C1"/>
    <w:rsid w:val="00654C46"/>
    <w:rsid w:val="00654F45"/>
    <w:rsid w:val="00655120"/>
    <w:rsid w:val="00660A57"/>
    <w:rsid w:val="00661110"/>
    <w:rsid w:val="00663021"/>
    <w:rsid w:val="006648BF"/>
    <w:rsid w:val="006658FC"/>
    <w:rsid w:val="006665E8"/>
    <w:rsid w:val="00666F4B"/>
    <w:rsid w:val="00675B7E"/>
    <w:rsid w:val="00676AD3"/>
    <w:rsid w:val="00677BFD"/>
    <w:rsid w:val="006805BC"/>
    <w:rsid w:val="00681148"/>
    <w:rsid w:val="00681C12"/>
    <w:rsid w:val="00682652"/>
    <w:rsid w:val="00683860"/>
    <w:rsid w:val="00683DCE"/>
    <w:rsid w:val="00686D80"/>
    <w:rsid w:val="00687C73"/>
    <w:rsid w:val="006903B4"/>
    <w:rsid w:val="00692EA8"/>
    <w:rsid w:val="0069387C"/>
    <w:rsid w:val="0069389D"/>
    <w:rsid w:val="00694C5F"/>
    <w:rsid w:val="00694F60"/>
    <w:rsid w:val="00695202"/>
    <w:rsid w:val="006966E7"/>
    <w:rsid w:val="00696F27"/>
    <w:rsid w:val="006A0F17"/>
    <w:rsid w:val="006A22BF"/>
    <w:rsid w:val="006A26B5"/>
    <w:rsid w:val="006A3322"/>
    <w:rsid w:val="006A6119"/>
    <w:rsid w:val="006B009F"/>
    <w:rsid w:val="006B4223"/>
    <w:rsid w:val="006C43B5"/>
    <w:rsid w:val="006C4A17"/>
    <w:rsid w:val="006C4F3D"/>
    <w:rsid w:val="006C7727"/>
    <w:rsid w:val="006D04B9"/>
    <w:rsid w:val="006D0C7E"/>
    <w:rsid w:val="006D0E44"/>
    <w:rsid w:val="006D3C61"/>
    <w:rsid w:val="006D6598"/>
    <w:rsid w:val="006D7035"/>
    <w:rsid w:val="006D7882"/>
    <w:rsid w:val="006E04A5"/>
    <w:rsid w:val="006F1463"/>
    <w:rsid w:val="00700951"/>
    <w:rsid w:val="00700DF8"/>
    <w:rsid w:val="007032B3"/>
    <w:rsid w:val="00704995"/>
    <w:rsid w:val="0070657B"/>
    <w:rsid w:val="007068C3"/>
    <w:rsid w:val="007075D7"/>
    <w:rsid w:val="00711C2A"/>
    <w:rsid w:val="007137AF"/>
    <w:rsid w:val="00716157"/>
    <w:rsid w:val="00720554"/>
    <w:rsid w:val="00722840"/>
    <w:rsid w:val="007239AC"/>
    <w:rsid w:val="007304F3"/>
    <w:rsid w:val="007316B7"/>
    <w:rsid w:val="00735CE6"/>
    <w:rsid w:val="00737B05"/>
    <w:rsid w:val="00740251"/>
    <w:rsid w:val="0074106C"/>
    <w:rsid w:val="0074301D"/>
    <w:rsid w:val="00743D55"/>
    <w:rsid w:val="0074540E"/>
    <w:rsid w:val="00751484"/>
    <w:rsid w:val="0075443D"/>
    <w:rsid w:val="00755681"/>
    <w:rsid w:val="00756682"/>
    <w:rsid w:val="0076008E"/>
    <w:rsid w:val="0076250D"/>
    <w:rsid w:val="007630C8"/>
    <w:rsid w:val="00766822"/>
    <w:rsid w:val="00772C2D"/>
    <w:rsid w:val="007747E9"/>
    <w:rsid w:val="0077485B"/>
    <w:rsid w:val="00776026"/>
    <w:rsid w:val="00776D36"/>
    <w:rsid w:val="007778A9"/>
    <w:rsid w:val="00777A5A"/>
    <w:rsid w:val="00780366"/>
    <w:rsid w:val="0078085F"/>
    <w:rsid w:val="00781CD0"/>
    <w:rsid w:val="00782074"/>
    <w:rsid w:val="00782B48"/>
    <w:rsid w:val="00783CA4"/>
    <w:rsid w:val="00783D35"/>
    <w:rsid w:val="007847E9"/>
    <w:rsid w:val="00786661"/>
    <w:rsid w:val="007902F5"/>
    <w:rsid w:val="0079298F"/>
    <w:rsid w:val="00794768"/>
    <w:rsid w:val="0079561D"/>
    <w:rsid w:val="007956EA"/>
    <w:rsid w:val="00795DF3"/>
    <w:rsid w:val="007A163A"/>
    <w:rsid w:val="007A1B7B"/>
    <w:rsid w:val="007A29D9"/>
    <w:rsid w:val="007A4111"/>
    <w:rsid w:val="007A49D1"/>
    <w:rsid w:val="007B0471"/>
    <w:rsid w:val="007B3BF2"/>
    <w:rsid w:val="007B5883"/>
    <w:rsid w:val="007B61C0"/>
    <w:rsid w:val="007B73A5"/>
    <w:rsid w:val="007C1FF9"/>
    <w:rsid w:val="007C2798"/>
    <w:rsid w:val="007C2A75"/>
    <w:rsid w:val="007C41AF"/>
    <w:rsid w:val="007C4CF8"/>
    <w:rsid w:val="007C7323"/>
    <w:rsid w:val="007D60C1"/>
    <w:rsid w:val="007D658B"/>
    <w:rsid w:val="007E3639"/>
    <w:rsid w:val="007E3B26"/>
    <w:rsid w:val="007F082D"/>
    <w:rsid w:val="007F0D14"/>
    <w:rsid w:val="007F181B"/>
    <w:rsid w:val="007F268B"/>
    <w:rsid w:val="007F3513"/>
    <w:rsid w:val="007F4068"/>
    <w:rsid w:val="007F5598"/>
    <w:rsid w:val="007F6A24"/>
    <w:rsid w:val="007F7DB1"/>
    <w:rsid w:val="00801FBD"/>
    <w:rsid w:val="008043B5"/>
    <w:rsid w:val="00805C92"/>
    <w:rsid w:val="00806F3A"/>
    <w:rsid w:val="00810E96"/>
    <w:rsid w:val="0081224E"/>
    <w:rsid w:val="00814FB0"/>
    <w:rsid w:val="00821D66"/>
    <w:rsid w:val="00823A9F"/>
    <w:rsid w:val="00826267"/>
    <w:rsid w:val="00826C8B"/>
    <w:rsid w:val="0082711F"/>
    <w:rsid w:val="00827B12"/>
    <w:rsid w:val="00827E9D"/>
    <w:rsid w:val="00831543"/>
    <w:rsid w:val="008320F0"/>
    <w:rsid w:val="00833EC9"/>
    <w:rsid w:val="00836E0D"/>
    <w:rsid w:val="00837461"/>
    <w:rsid w:val="0084497F"/>
    <w:rsid w:val="00846EFD"/>
    <w:rsid w:val="008471ED"/>
    <w:rsid w:val="008473ED"/>
    <w:rsid w:val="00850B03"/>
    <w:rsid w:val="00851052"/>
    <w:rsid w:val="008522CC"/>
    <w:rsid w:val="0085239F"/>
    <w:rsid w:val="008526A5"/>
    <w:rsid w:val="00855031"/>
    <w:rsid w:val="0085545E"/>
    <w:rsid w:val="00860E4A"/>
    <w:rsid w:val="0086311E"/>
    <w:rsid w:val="00864561"/>
    <w:rsid w:val="00867D1A"/>
    <w:rsid w:val="0087021F"/>
    <w:rsid w:val="00871469"/>
    <w:rsid w:val="00875608"/>
    <w:rsid w:val="00876975"/>
    <w:rsid w:val="0087794F"/>
    <w:rsid w:val="00880432"/>
    <w:rsid w:val="00881FEA"/>
    <w:rsid w:val="008832D1"/>
    <w:rsid w:val="008866D0"/>
    <w:rsid w:val="00893F7A"/>
    <w:rsid w:val="0089480C"/>
    <w:rsid w:val="00895067"/>
    <w:rsid w:val="008969FF"/>
    <w:rsid w:val="008B0BCD"/>
    <w:rsid w:val="008B1960"/>
    <w:rsid w:val="008B3F47"/>
    <w:rsid w:val="008B6028"/>
    <w:rsid w:val="008B7968"/>
    <w:rsid w:val="008B7D91"/>
    <w:rsid w:val="008C03D0"/>
    <w:rsid w:val="008C11BA"/>
    <w:rsid w:val="008C137A"/>
    <w:rsid w:val="008C2B6A"/>
    <w:rsid w:val="008C3E38"/>
    <w:rsid w:val="008C5671"/>
    <w:rsid w:val="008C670B"/>
    <w:rsid w:val="008C7948"/>
    <w:rsid w:val="008D32AD"/>
    <w:rsid w:val="008D468A"/>
    <w:rsid w:val="008E0BFC"/>
    <w:rsid w:val="008E0C71"/>
    <w:rsid w:val="008E1629"/>
    <w:rsid w:val="008E3980"/>
    <w:rsid w:val="008E5119"/>
    <w:rsid w:val="008E51CA"/>
    <w:rsid w:val="008F3908"/>
    <w:rsid w:val="008F430E"/>
    <w:rsid w:val="00902875"/>
    <w:rsid w:val="00904357"/>
    <w:rsid w:val="00905437"/>
    <w:rsid w:val="009057DC"/>
    <w:rsid w:val="0091137E"/>
    <w:rsid w:val="009126A6"/>
    <w:rsid w:val="00914F13"/>
    <w:rsid w:val="00915395"/>
    <w:rsid w:val="0091548A"/>
    <w:rsid w:val="009156A8"/>
    <w:rsid w:val="00923368"/>
    <w:rsid w:val="00927D4D"/>
    <w:rsid w:val="00930401"/>
    <w:rsid w:val="00931FFF"/>
    <w:rsid w:val="0093753A"/>
    <w:rsid w:val="0094789A"/>
    <w:rsid w:val="0095056B"/>
    <w:rsid w:val="00950C9C"/>
    <w:rsid w:val="00953103"/>
    <w:rsid w:val="00954DCF"/>
    <w:rsid w:val="00955953"/>
    <w:rsid w:val="00967787"/>
    <w:rsid w:val="00970DB7"/>
    <w:rsid w:val="009752D8"/>
    <w:rsid w:val="00977DFF"/>
    <w:rsid w:val="00980372"/>
    <w:rsid w:val="0098154A"/>
    <w:rsid w:val="009818C3"/>
    <w:rsid w:val="009838CF"/>
    <w:rsid w:val="00987523"/>
    <w:rsid w:val="00994456"/>
    <w:rsid w:val="00995FAF"/>
    <w:rsid w:val="00996A67"/>
    <w:rsid w:val="0099786A"/>
    <w:rsid w:val="009A0FE0"/>
    <w:rsid w:val="009A3005"/>
    <w:rsid w:val="009A33B9"/>
    <w:rsid w:val="009A5114"/>
    <w:rsid w:val="009A587C"/>
    <w:rsid w:val="009A6852"/>
    <w:rsid w:val="009A6A3D"/>
    <w:rsid w:val="009A7B25"/>
    <w:rsid w:val="009B2F87"/>
    <w:rsid w:val="009B4B6E"/>
    <w:rsid w:val="009C0E4D"/>
    <w:rsid w:val="009C1492"/>
    <w:rsid w:val="009C2EBA"/>
    <w:rsid w:val="009C4865"/>
    <w:rsid w:val="009C542E"/>
    <w:rsid w:val="009C5F36"/>
    <w:rsid w:val="009C6D72"/>
    <w:rsid w:val="009C7100"/>
    <w:rsid w:val="009D0FD5"/>
    <w:rsid w:val="009D1C7B"/>
    <w:rsid w:val="009D39F3"/>
    <w:rsid w:val="009D3D33"/>
    <w:rsid w:val="009D3D39"/>
    <w:rsid w:val="009D3F9C"/>
    <w:rsid w:val="009D489A"/>
    <w:rsid w:val="009D4E07"/>
    <w:rsid w:val="009D640F"/>
    <w:rsid w:val="009D752A"/>
    <w:rsid w:val="009D7FB5"/>
    <w:rsid w:val="009E21B6"/>
    <w:rsid w:val="009E7BAF"/>
    <w:rsid w:val="009F03C2"/>
    <w:rsid w:val="009F3C2A"/>
    <w:rsid w:val="009F4D7B"/>
    <w:rsid w:val="009F538E"/>
    <w:rsid w:val="009F5C43"/>
    <w:rsid w:val="009F5FDF"/>
    <w:rsid w:val="009F7132"/>
    <w:rsid w:val="009F7463"/>
    <w:rsid w:val="00A00946"/>
    <w:rsid w:val="00A05DB3"/>
    <w:rsid w:val="00A06861"/>
    <w:rsid w:val="00A06972"/>
    <w:rsid w:val="00A10988"/>
    <w:rsid w:val="00A111AA"/>
    <w:rsid w:val="00A11358"/>
    <w:rsid w:val="00A1224D"/>
    <w:rsid w:val="00A122C8"/>
    <w:rsid w:val="00A15213"/>
    <w:rsid w:val="00A15284"/>
    <w:rsid w:val="00A15DF4"/>
    <w:rsid w:val="00A20B05"/>
    <w:rsid w:val="00A245F2"/>
    <w:rsid w:val="00A247CF"/>
    <w:rsid w:val="00A300A8"/>
    <w:rsid w:val="00A300B6"/>
    <w:rsid w:val="00A30636"/>
    <w:rsid w:val="00A30B70"/>
    <w:rsid w:val="00A32649"/>
    <w:rsid w:val="00A32C38"/>
    <w:rsid w:val="00A33F65"/>
    <w:rsid w:val="00A40143"/>
    <w:rsid w:val="00A41E15"/>
    <w:rsid w:val="00A43ECD"/>
    <w:rsid w:val="00A44515"/>
    <w:rsid w:val="00A45E7F"/>
    <w:rsid w:val="00A51796"/>
    <w:rsid w:val="00A528DB"/>
    <w:rsid w:val="00A52D03"/>
    <w:rsid w:val="00A568A4"/>
    <w:rsid w:val="00A60002"/>
    <w:rsid w:val="00A6119B"/>
    <w:rsid w:val="00A6128C"/>
    <w:rsid w:val="00A63351"/>
    <w:rsid w:val="00A64973"/>
    <w:rsid w:val="00A666A4"/>
    <w:rsid w:val="00A67FD2"/>
    <w:rsid w:val="00A70184"/>
    <w:rsid w:val="00A73F6A"/>
    <w:rsid w:val="00A763EE"/>
    <w:rsid w:val="00A76ACA"/>
    <w:rsid w:val="00A76F0F"/>
    <w:rsid w:val="00A77354"/>
    <w:rsid w:val="00A824E3"/>
    <w:rsid w:val="00A82566"/>
    <w:rsid w:val="00A84CD9"/>
    <w:rsid w:val="00A90590"/>
    <w:rsid w:val="00A9135D"/>
    <w:rsid w:val="00AA15F3"/>
    <w:rsid w:val="00AA2FAD"/>
    <w:rsid w:val="00AA399D"/>
    <w:rsid w:val="00AA4BB5"/>
    <w:rsid w:val="00AA4E53"/>
    <w:rsid w:val="00AA61D1"/>
    <w:rsid w:val="00AA7778"/>
    <w:rsid w:val="00AB06BF"/>
    <w:rsid w:val="00AB1201"/>
    <w:rsid w:val="00AB1CA6"/>
    <w:rsid w:val="00AB1E37"/>
    <w:rsid w:val="00AB31AF"/>
    <w:rsid w:val="00AB429A"/>
    <w:rsid w:val="00AB51BD"/>
    <w:rsid w:val="00AB51DE"/>
    <w:rsid w:val="00AB77E1"/>
    <w:rsid w:val="00AC0F15"/>
    <w:rsid w:val="00AC1359"/>
    <w:rsid w:val="00AC3AE5"/>
    <w:rsid w:val="00AC7504"/>
    <w:rsid w:val="00AD1443"/>
    <w:rsid w:val="00AD6B31"/>
    <w:rsid w:val="00AE3C3B"/>
    <w:rsid w:val="00AE4BC4"/>
    <w:rsid w:val="00AF098D"/>
    <w:rsid w:val="00AF16CF"/>
    <w:rsid w:val="00AF1FB3"/>
    <w:rsid w:val="00AF6839"/>
    <w:rsid w:val="00B02969"/>
    <w:rsid w:val="00B04001"/>
    <w:rsid w:val="00B05006"/>
    <w:rsid w:val="00B05EE4"/>
    <w:rsid w:val="00B10D8F"/>
    <w:rsid w:val="00B148AA"/>
    <w:rsid w:val="00B150B0"/>
    <w:rsid w:val="00B1653A"/>
    <w:rsid w:val="00B174C6"/>
    <w:rsid w:val="00B2148C"/>
    <w:rsid w:val="00B22043"/>
    <w:rsid w:val="00B242F8"/>
    <w:rsid w:val="00B274EE"/>
    <w:rsid w:val="00B27C6D"/>
    <w:rsid w:val="00B30C83"/>
    <w:rsid w:val="00B30D8E"/>
    <w:rsid w:val="00B343CB"/>
    <w:rsid w:val="00B34FF4"/>
    <w:rsid w:val="00B35259"/>
    <w:rsid w:val="00B355F2"/>
    <w:rsid w:val="00B37B2C"/>
    <w:rsid w:val="00B40B5B"/>
    <w:rsid w:val="00B41B8F"/>
    <w:rsid w:val="00B4310F"/>
    <w:rsid w:val="00B43E11"/>
    <w:rsid w:val="00B47A0B"/>
    <w:rsid w:val="00B5799C"/>
    <w:rsid w:val="00B57D46"/>
    <w:rsid w:val="00B60C69"/>
    <w:rsid w:val="00B71DE9"/>
    <w:rsid w:val="00B7707B"/>
    <w:rsid w:val="00B81D14"/>
    <w:rsid w:val="00B82625"/>
    <w:rsid w:val="00B832D0"/>
    <w:rsid w:val="00B83B27"/>
    <w:rsid w:val="00B84D01"/>
    <w:rsid w:val="00B85445"/>
    <w:rsid w:val="00B8564E"/>
    <w:rsid w:val="00B8669F"/>
    <w:rsid w:val="00B902BD"/>
    <w:rsid w:val="00B90F2B"/>
    <w:rsid w:val="00B90F40"/>
    <w:rsid w:val="00B9150B"/>
    <w:rsid w:val="00B9297D"/>
    <w:rsid w:val="00B94AA6"/>
    <w:rsid w:val="00B9630E"/>
    <w:rsid w:val="00B96800"/>
    <w:rsid w:val="00B97193"/>
    <w:rsid w:val="00B97F60"/>
    <w:rsid w:val="00BA4318"/>
    <w:rsid w:val="00BA56E0"/>
    <w:rsid w:val="00BA5F75"/>
    <w:rsid w:val="00BA6043"/>
    <w:rsid w:val="00BA7D2C"/>
    <w:rsid w:val="00BB1F48"/>
    <w:rsid w:val="00BB247B"/>
    <w:rsid w:val="00BB316C"/>
    <w:rsid w:val="00BB5537"/>
    <w:rsid w:val="00BB5599"/>
    <w:rsid w:val="00BB6D05"/>
    <w:rsid w:val="00BB7D6C"/>
    <w:rsid w:val="00BC1519"/>
    <w:rsid w:val="00BC2260"/>
    <w:rsid w:val="00BC337A"/>
    <w:rsid w:val="00BC564B"/>
    <w:rsid w:val="00BD0F13"/>
    <w:rsid w:val="00BD6C2C"/>
    <w:rsid w:val="00BE3368"/>
    <w:rsid w:val="00BE4582"/>
    <w:rsid w:val="00BE52CB"/>
    <w:rsid w:val="00BE57C9"/>
    <w:rsid w:val="00BF031D"/>
    <w:rsid w:val="00BF11B9"/>
    <w:rsid w:val="00BF24BF"/>
    <w:rsid w:val="00BF45C9"/>
    <w:rsid w:val="00BF5F87"/>
    <w:rsid w:val="00C02F2A"/>
    <w:rsid w:val="00C060B9"/>
    <w:rsid w:val="00C065A7"/>
    <w:rsid w:val="00C06E89"/>
    <w:rsid w:val="00C10F19"/>
    <w:rsid w:val="00C11838"/>
    <w:rsid w:val="00C1276B"/>
    <w:rsid w:val="00C141EC"/>
    <w:rsid w:val="00C166C2"/>
    <w:rsid w:val="00C16AF0"/>
    <w:rsid w:val="00C17188"/>
    <w:rsid w:val="00C20209"/>
    <w:rsid w:val="00C22B46"/>
    <w:rsid w:val="00C232A5"/>
    <w:rsid w:val="00C2455D"/>
    <w:rsid w:val="00C25056"/>
    <w:rsid w:val="00C25F9D"/>
    <w:rsid w:val="00C26EA9"/>
    <w:rsid w:val="00C279A9"/>
    <w:rsid w:val="00C30266"/>
    <w:rsid w:val="00C30761"/>
    <w:rsid w:val="00C33FB7"/>
    <w:rsid w:val="00C34967"/>
    <w:rsid w:val="00C3538A"/>
    <w:rsid w:val="00C3681A"/>
    <w:rsid w:val="00C37118"/>
    <w:rsid w:val="00C371E7"/>
    <w:rsid w:val="00C41661"/>
    <w:rsid w:val="00C42E1A"/>
    <w:rsid w:val="00C43253"/>
    <w:rsid w:val="00C5184F"/>
    <w:rsid w:val="00C51B1D"/>
    <w:rsid w:val="00C523D5"/>
    <w:rsid w:val="00C54477"/>
    <w:rsid w:val="00C55AFD"/>
    <w:rsid w:val="00C55F4C"/>
    <w:rsid w:val="00C568DC"/>
    <w:rsid w:val="00C612E3"/>
    <w:rsid w:val="00C61A9E"/>
    <w:rsid w:val="00C70BFB"/>
    <w:rsid w:val="00C772C2"/>
    <w:rsid w:val="00C82975"/>
    <w:rsid w:val="00C82E1C"/>
    <w:rsid w:val="00C86152"/>
    <w:rsid w:val="00C87026"/>
    <w:rsid w:val="00C8707A"/>
    <w:rsid w:val="00C90E7C"/>
    <w:rsid w:val="00C90F8A"/>
    <w:rsid w:val="00C91472"/>
    <w:rsid w:val="00C96977"/>
    <w:rsid w:val="00C96F8F"/>
    <w:rsid w:val="00C973E7"/>
    <w:rsid w:val="00CA0E4D"/>
    <w:rsid w:val="00CA13EE"/>
    <w:rsid w:val="00CA1C30"/>
    <w:rsid w:val="00CA3304"/>
    <w:rsid w:val="00CA4130"/>
    <w:rsid w:val="00CA4163"/>
    <w:rsid w:val="00CA4F34"/>
    <w:rsid w:val="00CA513F"/>
    <w:rsid w:val="00CA63FE"/>
    <w:rsid w:val="00CB0585"/>
    <w:rsid w:val="00CB05D7"/>
    <w:rsid w:val="00CB250C"/>
    <w:rsid w:val="00CB39AC"/>
    <w:rsid w:val="00CB4AF3"/>
    <w:rsid w:val="00CB4F77"/>
    <w:rsid w:val="00CB553D"/>
    <w:rsid w:val="00CB61A1"/>
    <w:rsid w:val="00CB7554"/>
    <w:rsid w:val="00CC3444"/>
    <w:rsid w:val="00CC4AD9"/>
    <w:rsid w:val="00CC5A5F"/>
    <w:rsid w:val="00CC7601"/>
    <w:rsid w:val="00CD14EF"/>
    <w:rsid w:val="00CD298A"/>
    <w:rsid w:val="00CD335F"/>
    <w:rsid w:val="00CD5658"/>
    <w:rsid w:val="00CD62CE"/>
    <w:rsid w:val="00CD6D65"/>
    <w:rsid w:val="00CD77E6"/>
    <w:rsid w:val="00CD7D6D"/>
    <w:rsid w:val="00CE07BE"/>
    <w:rsid w:val="00CE194E"/>
    <w:rsid w:val="00CE269E"/>
    <w:rsid w:val="00CE37AC"/>
    <w:rsid w:val="00CE5476"/>
    <w:rsid w:val="00CE608C"/>
    <w:rsid w:val="00CE6D5A"/>
    <w:rsid w:val="00CF2800"/>
    <w:rsid w:val="00CF5A2D"/>
    <w:rsid w:val="00CF7241"/>
    <w:rsid w:val="00D017B3"/>
    <w:rsid w:val="00D03E81"/>
    <w:rsid w:val="00D04161"/>
    <w:rsid w:val="00D048B3"/>
    <w:rsid w:val="00D07746"/>
    <w:rsid w:val="00D115F9"/>
    <w:rsid w:val="00D1721F"/>
    <w:rsid w:val="00D20930"/>
    <w:rsid w:val="00D23416"/>
    <w:rsid w:val="00D27211"/>
    <w:rsid w:val="00D30D37"/>
    <w:rsid w:val="00D320EE"/>
    <w:rsid w:val="00D32916"/>
    <w:rsid w:val="00D3580A"/>
    <w:rsid w:val="00D359BF"/>
    <w:rsid w:val="00D35B2C"/>
    <w:rsid w:val="00D36978"/>
    <w:rsid w:val="00D37BCF"/>
    <w:rsid w:val="00D41C99"/>
    <w:rsid w:val="00D422C1"/>
    <w:rsid w:val="00D4513A"/>
    <w:rsid w:val="00D46BA9"/>
    <w:rsid w:val="00D46C1D"/>
    <w:rsid w:val="00D46EB8"/>
    <w:rsid w:val="00D506B6"/>
    <w:rsid w:val="00D5098F"/>
    <w:rsid w:val="00D509AB"/>
    <w:rsid w:val="00D5180C"/>
    <w:rsid w:val="00D540E7"/>
    <w:rsid w:val="00D54A23"/>
    <w:rsid w:val="00D550E2"/>
    <w:rsid w:val="00D570AE"/>
    <w:rsid w:val="00D63E79"/>
    <w:rsid w:val="00D64A0F"/>
    <w:rsid w:val="00D65E41"/>
    <w:rsid w:val="00D66272"/>
    <w:rsid w:val="00D702A5"/>
    <w:rsid w:val="00D72882"/>
    <w:rsid w:val="00D72A0B"/>
    <w:rsid w:val="00D73BD4"/>
    <w:rsid w:val="00D73E24"/>
    <w:rsid w:val="00D76162"/>
    <w:rsid w:val="00D76E9C"/>
    <w:rsid w:val="00D80F4F"/>
    <w:rsid w:val="00D83BB5"/>
    <w:rsid w:val="00D84203"/>
    <w:rsid w:val="00D86EDE"/>
    <w:rsid w:val="00D914FF"/>
    <w:rsid w:val="00D9203A"/>
    <w:rsid w:val="00D95891"/>
    <w:rsid w:val="00D96A67"/>
    <w:rsid w:val="00DA13D2"/>
    <w:rsid w:val="00DA3D4C"/>
    <w:rsid w:val="00DA5522"/>
    <w:rsid w:val="00DA7283"/>
    <w:rsid w:val="00DB0395"/>
    <w:rsid w:val="00DB03C6"/>
    <w:rsid w:val="00DB2157"/>
    <w:rsid w:val="00DB7B59"/>
    <w:rsid w:val="00DC0CAB"/>
    <w:rsid w:val="00DC1FE6"/>
    <w:rsid w:val="00DC22AC"/>
    <w:rsid w:val="00DC2E79"/>
    <w:rsid w:val="00DC6B5A"/>
    <w:rsid w:val="00DC6D67"/>
    <w:rsid w:val="00DD023D"/>
    <w:rsid w:val="00DD06BA"/>
    <w:rsid w:val="00DD076E"/>
    <w:rsid w:val="00DD0A2B"/>
    <w:rsid w:val="00DD257D"/>
    <w:rsid w:val="00DD6592"/>
    <w:rsid w:val="00DD6979"/>
    <w:rsid w:val="00DD788C"/>
    <w:rsid w:val="00DE06D5"/>
    <w:rsid w:val="00DE093B"/>
    <w:rsid w:val="00DE1E9F"/>
    <w:rsid w:val="00DE4003"/>
    <w:rsid w:val="00DE5847"/>
    <w:rsid w:val="00DE6007"/>
    <w:rsid w:val="00DE65AA"/>
    <w:rsid w:val="00DE73AA"/>
    <w:rsid w:val="00DE7973"/>
    <w:rsid w:val="00DF1F4A"/>
    <w:rsid w:val="00DF3BE6"/>
    <w:rsid w:val="00DF3FCE"/>
    <w:rsid w:val="00DF4A7A"/>
    <w:rsid w:val="00DF5BAE"/>
    <w:rsid w:val="00DF6CB3"/>
    <w:rsid w:val="00DF6D62"/>
    <w:rsid w:val="00DF704A"/>
    <w:rsid w:val="00DF7849"/>
    <w:rsid w:val="00E00B89"/>
    <w:rsid w:val="00E00F0D"/>
    <w:rsid w:val="00E01AC2"/>
    <w:rsid w:val="00E02AB0"/>
    <w:rsid w:val="00E02FFB"/>
    <w:rsid w:val="00E04333"/>
    <w:rsid w:val="00E04A52"/>
    <w:rsid w:val="00E050FC"/>
    <w:rsid w:val="00E10AF6"/>
    <w:rsid w:val="00E153EF"/>
    <w:rsid w:val="00E16348"/>
    <w:rsid w:val="00E16826"/>
    <w:rsid w:val="00E17BEA"/>
    <w:rsid w:val="00E20376"/>
    <w:rsid w:val="00E24250"/>
    <w:rsid w:val="00E2581B"/>
    <w:rsid w:val="00E2790D"/>
    <w:rsid w:val="00E30FC1"/>
    <w:rsid w:val="00E345BD"/>
    <w:rsid w:val="00E42244"/>
    <w:rsid w:val="00E42908"/>
    <w:rsid w:val="00E46EFF"/>
    <w:rsid w:val="00E502A1"/>
    <w:rsid w:val="00E50C85"/>
    <w:rsid w:val="00E52E6C"/>
    <w:rsid w:val="00E54DF4"/>
    <w:rsid w:val="00E554D2"/>
    <w:rsid w:val="00E568A1"/>
    <w:rsid w:val="00E57447"/>
    <w:rsid w:val="00E63D90"/>
    <w:rsid w:val="00E64405"/>
    <w:rsid w:val="00E644DB"/>
    <w:rsid w:val="00E76A73"/>
    <w:rsid w:val="00E77CFD"/>
    <w:rsid w:val="00E82E60"/>
    <w:rsid w:val="00E83DAE"/>
    <w:rsid w:val="00E85C4E"/>
    <w:rsid w:val="00E9132F"/>
    <w:rsid w:val="00E96097"/>
    <w:rsid w:val="00EA2D3A"/>
    <w:rsid w:val="00EA3F8B"/>
    <w:rsid w:val="00EA4AC6"/>
    <w:rsid w:val="00EA5118"/>
    <w:rsid w:val="00EA528D"/>
    <w:rsid w:val="00EA7834"/>
    <w:rsid w:val="00EB1076"/>
    <w:rsid w:val="00EB1453"/>
    <w:rsid w:val="00EB640F"/>
    <w:rsid w:val="00EC0D15"/>
    <w:rsid w:val="00EC4511"/>
    <w:rsid w:val="00EC5EDE"/>
    <w:rsid w:val="00ED0717"/>
    <w:rsid w:val="00ED14AA"/>
    <w:rsid w:val="00ED493C"/>
    <w:rsid w:val="00ED64FE"/>
    <w:rsid w:val="00ED7217"/>
    <w:rsid w:val="00ED73C0"/>
    <w:rsid w:val="00ED792D"/>
    <w:rsid w:val="00EE1BD6"/>
    <w:rsid w:val="00EE1FC5"/>
    <w:rsid w:val="00EE2A5B"/>
    <w:rsid w:val="00EE3BFE"/>
    <w:rsid w:val="00EE4733"/>
    <w:rsid w:val="00EE5123"/>
    <w:rsid w:val="00EE52D8"/>
    <w:rsid w:val="00EE531F"/>
    <w:rsid w:val="00EE5F32"/>
    <w:rsid w:val="00EE6B83"/>
    <w:rsid w:val="00EF0A49"/>
    <w:rsid w:val="00EF1975"/>
    <w:rsid w:val="00EF4FE0"/>
    <w:rsid w:val="00EF5900"/>
    <w:rsid w:val="00EF7DC3"/>
    <w:rsid w:val="00F0027C"/>
    <w:rsid w:val="00F01C1A"/>
    <w:rsid w:val="00F02DC3"/>
    <w:rsid w:val="00F03A66"/>
    <w:rsid w:val="00F03BDE"/>
    <w:rsid w:val="00F03FBC"/>
    <w:rsid w:val="00F10DC9"/>
    <w:rsid w:val="00F11215"/>
    <w:rsid w:val="00F12160"/>
    <w:rsid w:val="00F13483"/>
    <w:rsid w:val="00F14DF9"/>
    <w:rsid w:val="00F16B9B"/>
    <w:rsid w:val="00F2012A"/>
    <w:rsid w:val="00F210EA"/>
    <w:rsid w:val="00F232CE"/>
    <w:rsid w:val="00F23F09"/>
    <w:rsid w:val="00F30920"/>
    <w:rsid w:val="00F31F23"/>
    <w:rsid w:val="00F337CE"/>
    <w:rsid w:val="00F3405F"/>
    <w:rsid w:val="00F35738"/>
    <w:rsid w:val="00F36BD3"/>
    <w:rsid w:val="00F36C17"/>
    <w:rsid w:val="00F4064A"/>
    <w:rsid w:val="00F40F2B"/>
    <w:rsid w:val="00F4229E"/>
    <w:rsid w:val="00F424F8"/>
    <w:rsid w:val="00F437A0"/>
    <w:rsid w:val="00F453E0"/>
    <w:rsid w:val="00F47463"/>
    <w:rsid w:val="00F52C8E"/>
    <w:rsid w:val="00F538A2"/>
    <w:rsid w:val="00F53E8A"/>
    <w:rsid w:val="00F606C1"/>
    <w:rsid w:val="00F66216"/>
    <w:rsid w:val="00F665A3"/>
    <w:rsid w:val="00F66E77"/>
    <w:rsid w:val="00F66F76"/>
    <w:rsid w:val="00F73D75"/>
    <w:rsid w:val="00F75BDA"/>
    <w:rsid w:val="00F7628F"/>
    <w:rsid w:val="00F77754"/>
    <w:rsid w:val="00F80603"/>
    <w:rsid w:val="00F82EC9"/>
    <w:rsid w:val="00F8443E"/>
    <w:rsid w:val="00F84483"/>
    <w:rsid w:val="00F87874"/>
    <w:rsid w:val="00F87EE9"/>
    <w:rsid w:val="00F956EF"/>
    <w:rsid w:val="00F9630B"/>
    <w:rsid w:val="00F96AC5"/>
    <w:rsid w:val="00F977AD"/>
    <w:rsid w:val="00FA3D09"/>
    <w:rsid w:val="00FA5082"/>
    <w:rsid w:val="00FB0CE0"/>
    <w:rsid w:val="00FB3C42"/>
    <w:rsid w:val="00FB3F6C"/>
    <w:rsid w:val="00FB64D0"/>
    <w:rsid w:val="00FC0165"/>
    <w:rsid w:val="00FC05F5"/>
    <w:rsid w:val="00FC0C67"/>
    <w:rsid w:val="00FC285B"/>
    <w:rsid w:val="00FC56F2"/>
    <w:rsid w:val="00FC5A4B"/>
    <w:rsid w:val="00FC60CA"/>
    <w:rsid w:val="00FC72E0"/>
    <w:rsid w:val="00FD04CA"/>
    <w:rsid w:val="00FD3D20"/>
    <w:rsid w:val="00FD6DC7"/>
    <w:rsid w:val="00FD78B7"/>
    <w:rsid w:val="00FE0076"/>
    <w:rsid w:val="00FE1D03"/>
    <w:rsid w:val="00FE657A"/>
    <w:rsid w:val="00FE6D4C"/>
    <w:rsid w:val="00FF0C9D"/>
    <w:rsid w:val="00FF1F74"/>
    <w:rsid w:val="00FF367D"/>
    <w:rsid w:val="00FF3994"/>
    <w:rsid w:val="00FF40C7"/>
    <w:rsid w:val="00FF5A96"/>
    <w:rsid w:val="00FF734C"/>
    <w:rsid w:val="3B994A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66"/>
    <w:pPr>
      <w:widowControl w:val="0"/>
      <w:jc w:val="both"/>
    </w:pPr>
    <w:rPr>
      <w:kern w:val="2"/>
      <w:sz w:val="21"/>
      <w:szCs w:val="22"/>
    </w:rPr>
  </w:style>
  <w:style w:type="paragraph" w:styleId="1">
    <w:name w:val="heading 1"/>
    <w:basedOn w:val="a"/>
    <w:next w:val="a"/>
    <w:link w:val="1Char"/>
    <w:uiPriority w:val="9"/>
    <w:qFormat/>
    <w:rsid w:val="00821D6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rsid w:val="00821D6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821D6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qFormat/>
    <w:rsid w:val="00821D6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21D66"/>
    <w:rPr>
      <w:sz w:val="18"/>
      <w:szCs w:val="18"/>
    </w:rPr>
  </w:style>
  <w:style w:type="paragraph" w:styleId="a4">
    <w:name w:val="footer"/>
    <w:basedOn w:val="a"/>
    <w:link w:val="Char0"/>
    <w:uiPriority w:val="99"/>
    <w:unhideWhenUsed/>
    <w:qFormat/>
    <w:rsid w:val="00821D6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21D6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21D66"/>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rsid w:val="00821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821D66"/>
    <w:rPr>
      <w:rFonts w:ascii="宋体" w:eastAsia="宋体" w:hAnsi="宋体" w:cs="宋体"/>
      <w:b/>
      <w:bCs/>
      <w:kern w:val="36"/>
      <w:sz w:val="48"/>
      <w:szCs w:val="48"/>
    </w:rPr>
  </w:style>
  <w:style w:type="character" w:customStyle="1" w:styleId="2Char">
    <w:name w:val="标题 2 Char"/>
    <w:basedOn w:val="a0"/>
    <w:link w:val="2"/>
    <w:uiPriority w:val="9"/>
    <w:qFormat/>
    <w:rsid w:val="00821D66"/>
    <w:rPr>
      <w:rFonts w:ascii="宋体" w:eastAsia="宋体" w:hAnsi="宋体" w:cs="宋体"/>
      <w:b/>
      <w:bCs/>
      <w:kern w:val="0"/>
      <w:sz w:val="36"/>
      <w:szCs w:val="36"/>
    </w:rPr>
  </w:style>
  <w:style w:type="character" w:customStyle="1" w:styleId="3Char">
    <w:name w:val="标题 3 Char"/>
    <w:basedOn w:val="a0"/>
    <w:link w:val="3"/>
    <w:uiPriority w:val="9"/>
    <w:qFormat/>
    <w:rsid w:val="00821D66"/>
    <w:rPr>
      <w:rFonts w:ascii="宋体" w:eastAsia="宋体" w:hAnsi="宋体" w:cs="宋体"/>
      <w:b/>
      <w:bCs/>
      <w:kern w:val="0"/>
      <w:sz w:val="27"/>
      <w:szCs w:val="27"/>
    </w:rPr>
  </w:style>
  <w:style w:type="character" w:customStyle="1" w:styleId="4Char">
    <w:name w:val="标题 4 Char"/>
    <w:basedOn w:val="a0"/>
    <w:link w:val="4"/>
    <w:uiPriority w:val="9"/>
    <w:qFormat/>
    <w:rsid w:val="00821D66"/>
    <w:rPr>
      <w:rFonts w:ascii="宋体" w:eastAsia="宋体" w:hAnsi="宋体" w:cs="宋体"/>
      <w:b/>
      <w:bCs/>
      <w:kern w:val="0"/>
      <w:sz w:val="24"/>
      <w:szCs w:val="24"/>
    </w:rPr>
  </w:style>
  <w:style w:type="paragraph" w:styleId="a8">
    <w:name w:val="List Paragraph"/>
    <w:basedOn w:val="a"/>
    <w:uiPriority w:val="34"/>
    <w:qFormat/>
    <w:rsid w:val="00821D66"/>
    <w:pPr>
      <w:ind w:firstLineChars="200" w:firstLine="420"/>
    </w:pPr>
  </w:style>
  <w:style w:type="character" w:customStyle="1" w:styleId="Char">
    <w:name w:val="批注框文本 Char"/>
    <w:basedOn w:val="a0"/>
    <w:link w:val="a3"/>
    <w:uiPriority w:val="99"/>
    <w:semiHidden/>
    <w:qFormat/>
    <w:rsid w:val="00821D66"/>
    <w:rPr>
      <w:sz w:val="18"/>
      <w:szCs w:val="18"/>
    </w:rPr>
  </w:style>
  <w:style w:type="character" w:customStyle="1" w:styleId="Char1">
    <w:name w:val="页眉 Char"/>
    <w:basedOn w:val="a0"/>
    <w:link w:val="a5"/>
    <w:uiPriority w:val="99"/>
    <w:qFormat/>
    <w:rsid w:val="00821D66"/>
    <w:rPr>
      <w:sz w:val="18"/>
      <w:szCs w:val="18"/>
    </w:rPr>
  </w:style>
  <w:style w:type="character" w:customStyle="1" w:styleId="Char0">
    <w:name w:val="页脚 Char"/>
    <w:basedOn w:val="a0"/>
    <w:link w:val="a4"/>
    <w:uiPriority w:val="99"/>
    <w:qFormat/>
    <w:rsid w:val="00821D6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2120</Characters>
  <Application>Microsoft Office Word</Application>
  <DocSecurity>4</DocSecurity>
  <Lines>17</Lines>
  <Paragraphs>4</Paragraphs>
  <ScaleCrop>false</ScaleCrop>
  <Company>CNSTOCK</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tangky</dc:creator>
  <cp:lastModifiedBy>ZHONGM</cp:lastModifiedBy>
  <cp:revision>2</cp:revision>
  <dcterms:created xsi:type="dcterms:W3CDTF">2025-12-10T16:01:00Z</dcterms:created>
  <dcterms:modified xsi:type="dcterms:W3CDTF">2025-12-10T16:01:00Z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F09D5C715B324D84B9977DD1AF69BE51</vt:lpwstr>
  </property>
</Properties>
</file>