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E6285" w:rsidRDefault="00AE6285">
      <w:pPr>
        <w:pStyle w:val="Default"/>
        <w:spacing w:line="360" w:lineRule="auto"/>
      </w:pPr>
    </w:p>
    <w:p w:rsidR="00AE6285" w:rsidRDefault="00B422EF">
      <w:pPr>
        <w:pStyle w:val="Default"/>
        <w:spacing w:line="360" w:lineRule="auto"/>
        <w:jc w:val="center"/>
        <w:rPr>
          <w:b/>
          <w:sz w:val="30"/>
          <w:szCs w:val="30"/>
        </w:rPr>
      </w:pPr>
      <w:r>
        <w:rPr>
          <w:rFonts w:hint="eastAsia"/>
          <w:b/>
          <w:sz w:val="30"/>
          <w:szCs w:val="30"/>
        </w:rPr>
        <w:t>中加基金管理有限公司</w:t>
      </w:r>
    </w:p>
    <w:p w:rsidR="00AE6285" w:rsidRDefault="00B422EF">
      <w:pPr>
        <w:pStyle w:val="Default"/>
        <w:spacing w:line="360" w:lineRule="auto"/>
        <w:jc w:val="center"/>
        <w:rPr>
          <w:b/>
          <w:sz w:val="30"/>
          <w:szCs w:val="30"/>
        </w:rPr>
      </w:pPr>
      <w:r>
        <w:rPr>
          <w:rFonts w:hint="eastAsia"/>
          <w:b/>
          <w:sz w:val="30"/>
          <w:szCs w:val="30"/>
        </w:rPr>
        <w:t>关于中加低碳经济六个月持有期混合型证券投资基金基金份额持有人大会</w:t>
      </w:r>
      <w:r>
        <w:rPr>
          <w:rFonts w:hint="eastAsia"/>
          <w:b/>
          <w:sz w:val="30"/>
          <w:szCs w:val="30"/>
        </w:rPr>
        <w:t>会议情况</w:t>
      </w:r>
      <w:r>
        <w:rPr>
          <w:rFonts w:hint="eastAsia"/>
          <w:b/>
          <w:sz w:val="30"/>
          <w:szCs w:val="30"/>
        </w:rPr>
        <w:t>的公告</w:t>
      </w:r>
    </w:p>
    <w:p w:rsidR="00AE6285" w:rsidRDefault="00AE6285">
      <w:pPr>
        <w:pStyle w:val="Default"/>
        <w:spacing w:line="360" w:lineRule="auto"/>
        <w:jc w:val="center"/>
        <w:rPr>
          <w:b/>
          <w:sz w:val="30"/>
          <w:szCs w:val="30"/>
        </w:rPr>
      </w:pPr>
    </w:p>
    <w:p w:rsidR="00AE6285" w:rsidRDefault="00B422EF">
      <w:pPr>
        <w:pStyle w:val="Default"/>
        <w:spacing w:line="360" w:lineRule="auto"/>
        <w:ind w:firstLine="460"/>
        <w:rPr>
          <w:rFonts w:hAnsi="宋体"/>
          <w:sz w:val="23"/>
          <w:szCs w:val="23"/>
        </w:rPr>
      </w:pPr>
      <w:r>
        <w:rPr>
          <w:rFonts w:hAnsi="宋体" w:hint="eastAsia"/>
          <w:sz w:val="23"/>
          <w:szCs w:val="23"/>
        </w:rPr>
        <w:t>根据《中华人民共和国证券投资基金法》《公开募集证券投资基金运作管理办法》等法律法规的规定和《中加低碳经济六个月持有期混合型证券投资基金基金合同》的有关约定，现将中加低碳经济六个月持有期混合型证券投资基金（以下简称“本基金”）基金份额持有人大会的相关事项公告如下：</w:t>
      </w:r>
    </w:p>
    <w:p w:rsidR="00AE6285" w:rsidRDefault="00AE6285">
      <w:pPr>
        <w:pStyle w:val="Default"/>
        <w:spacing w:line="360" w:lineRule="auto"/>
        <w:ind w:firstLine="460"/>
        <w:rPr>
          <w:rFonts w:hAnsi="宋体"/>
          <w:sz w:val="23"/>
          <w:szCs w:val="23"/>
        </w:rPr>
      </w:pPr>
    </w:p>
    <w:p w:rsidR="00AE6285" w:rsidRDefault="00B422EF">
      <w:pPr>
        <w:pStyle w:val="Default"/>
        <w:spacing w:line="360" w:lineRule="auto"/>
        <w:rPr>
          <w:rFonts w:hAnsi="宋体"/>
          <w:sz w:val="23"/>
          <w:szCs w:val="23"/>
        </w:rPr>
      </w:pPr>
      <w:r>
        <w:rPr>
          <w:rFonts w:hAnsi="宋体" w:hint="eastAsia"/>
          <w:sz w:val="23"/>
          <w:szCs w:val="23"/>
        </w:rPr>
        <w:t xml:space="preserve">    </w:t>
      </w:r>
      <w:r>
        <w:rPr>
          <w:rFonts w:hAnsi="宋体" w:hint="eastAsia"/>
          <w:sz w:val="23"/>
          <w:szCs w:val="23"/>
        </w:rPr>
        <w:t>一、本基金基金份额持有人大会会议情况</w:t>
      </w:r>
    </w:p>
    <w:p w:rsidR="00AE6285" w:rsidRDefault="00B422EF">
      <w:pPr>
        <w:pStyle w:val="Default"/>
        <w:spacing w:line="360" w:lineRule="auto"/>
        <w:rPr>
          <w:rFonts w:hAnsi="宋体"/>
          <w:sz w:val="23"/>
          <w:szCs w:val="23"/>
        </w:rPr>
      </w:pPr>
      <w:r>
        <w:rPr>
          <w:rFonts w:hAnsi="宋体" w:hint="eastAsia"/>
          <w:sz w:val="23"/>
          <w:szCs w:val="23"/>
        </w:rPr>
        <w:t xml:space="preserve">    </w:t>
      </w:r>
      <w:r>
        <w:rPr>
          <w:rFonts w:hAnsi="宋体" w:hint="eastAsia"/>
          <w:sz w:val="23"/>
          <w:szCs w:val="23"/>
        </w:rPr>
        <w:t>中加基金管理有限公司（以下简称“基金管理人”）以通讯</w:t>
      </w:r>
      <w:r>
        <w:rPr>
          <w:rFonts w:hAnsi="宋体" w:hint="eastAsia"/>
          <w:sz w:val="23"/>
          <w:szCs w:val="23"/>
        </w:rPr>
        <w:t>开会</w:t>
      </w:r>
      <w:r>
        <w:rPr>
          <w:rFonts w:hAnsi="宋体" w:hint="eastAsia"/>
          <w:sz w:val="23"/>
          <w:szCs w:val="23"/>
        </w:rPr>
        <w:t>方式召开了本基金基金份额持有人大会，权益登记日为</w:t>
      </w:r>
      <w:r>
        <w:rPr>
          <w:rFonts w:hAnsi="宋体" w:hint="eastAsia"/>
          <w:sz w:val="23"/>
          <w:szCs w:val="23"/>
        </w:rPr>
        <w:t>202</w:t>
      </w:r>
      <w:r>
        <w:rPr>
          <w:rFonts w:hAnsi="宋体" w:hint="eastAsia"/>
          <w:sz w:val="23"/>
          <w:szCs w:val="23"/>
        </w:rPr>
        <w:t>5</w:t>
      </w:r>
      <w:r>
        <w:rPr>
          <w:rFonts w:hAnsi="宋体" w:hint="eastAsia"/>
          <w:sz w:val="23"/>
          <w:szCs w:val="23"/>
        </w:rPr>
        <w:t>年</w:t>
      </w:r>
      <w:r>
        <w:rPr>
          <w:rFonts w:hAnsi="宋体" w:hint="eastAsia"/>
          <w:sz w:val="23"/>
          <w:szCs w:val="23"/>
        </w:rPr>
        <w:t>11</w:t>
      </w:r>
      <w:r>
        <w:rPr>
          <w:rFonts w:hAnsi="宋体" w:hint="eastAsia"/>
          <w:sz w:val="23"/>
          <w:szCs w:val="23"/>
        </w:rPr>
        <w:t>月</w:t>
      </w:r>
      <w:r>
        <w:rPr>
          <w:rFonts w:hAnsi="宋体" w:hint="eastAsia"/>
          <w:sz w:val="23"/>
          <w:szCs w:val="23"/>
        </w:rPr>
        <w:t>11</w:t>
      </w:r>
      <w:r>
        <w:rPr>
          <w:rFonts w:hAnsi="宋体" w:hint="eastAsia"/>
          <w:sz w:val="23"/>
          <w:szCs w:val="23"/>
        </w:rPr>
        <w:t>日，大会投票表决时间为自</w:t>
      </w:r>
      <w:r>
        <w:rPr>
          <w:rFonts w:hAnsi="宋体" w:hint="eastAsia"/>
          <w:sz w:val="23"/>
          <w:szCs w:val="23"/>
        </w:rPr>
        <w:t>2025</w:t>
      </w:r>
      <w:r>
        <w:rPr>
          <w:rFonts w:hAnsi="宋体" w:hint="eastAsia"/>
          <w:sz w:val="23"/>
          <w:szCs w:val="23"/>
        </w:rPr>
        <w:t>年</w:t>
      </w:r>
      <w:r>
        <w:rPr>
          <w:rFonts w:hAnsi="宋体" w:hint="eastAsia"/>
          <w:sz w:val="23"/>
          <w:szCs w:val="23"/>
        </w:rPr>
        <w:t>11</w:t>
      </w:r>
      <w:r>
        <w:rPr>
          <w:rFonts w:hAnsi="宋体" w:hint="eastAsia"/>
          <w:sz w:val="23"/>
          <w:szCs w:val="23"/>
        </w:rPr>
        <w:t>月</w:t>
      </w:r>
      <w:r>
        <w:rPr>
          <w:rFonts w:hAnsi="宋体" w:hint="eastAsia"/>
          <w:sz w:val="23"/>
          <w:szCs w:val="23"/>
        </w:rPr>
        <w:t>12</w:t>
      </w:r>
      <w:r>
        <w:rPr>
          <w:rFonts w:hAnsi="宋体" w:hint="eastAsia"/>
          <w:sz w:val="23"/>
          <w:szCs w:val="23"/>
        </w:rPr>
        <w:t>日起，至</w:t>
      </w:r>
      <w:r>
        <w:rPr>
          <w:rFonts w:hAnsi="宋体" w:hint="eastAsia"/>
          <w:sz w:val="23"/>
          <w:szCs w:val="23"/>
        </w:rPr>
        <w:t>2025</w:t>
      </w:r>
      <w:r>
        <w:rPr>
          <w:rFonts w:hAnsi="宋体" w:hint="eastAsia"/>
          <w:sz w:val="23"/>
          <w:szCs w:val="23"/>
        </w:rPr>
        <w:t>年</w:t>
      </w:r>
      <w:r>
        <w:rPr>
          <w:rFonts w:hAnsi="宋体" w:hint="eastAsia"/>
          <w:sz w:val="23"/>
          <w:szCs w:val="23"/>
        </w:rPr>
        <w:t>12</w:t>
      </w:r>
      <w:r>
        <w:rPr>
          <w:rFonts w:hAnsi="宋体" w:hint="eastAsia"/>
          <w:sz w:val="23"/>
          <w:szCs w:val="23"/>
        </w:rPr>
        <w:t>月</w:t>
      </w:r>
      <w:r>
        <w:rPr>
          <w:rFonts w:hAnsi="宋体" w:hint="eastAsia"/>
          <w:sz w:val="23"/>
          <w:szCs w:val="23"/>
        </w:rPr>
        <w:t>8</w:t>
      </w:r>
      <w:r>
        <w:rPr>
          <w:rFonts w:hAnsi="宋体" w:hint="eastAsia"/>
          <w:sz w:val="23"/>
          <w:szCs w:val="23"/>
        </w:rPr>
        <w:t>日</w:t>
      </w:r>
      <w:r>
        <w:rPr>
          <w:rFonts w:hAnsi="宋体" w:hint="eastAsia"/>
          <w:sz w:val="23"/>
          <w:szCs w:val="23"/>
        </w:rPr>
        <w:t>17:00</w:t>
      </w:r>
      <w:r>
        <w:rPr>
          <w:rFonts w:hAnsi="宋体" w:hint="eastAsia"/>
          <w:sz w:val="23"/>
          <w:szCs w:val="23"/>
        </w:rPr>
        <w:t>止（投票表决时间以</w:t>
      </w:r>
      <w:r>
        <w:rPr>
          <w:rFonts w:hAnsi="宋体" w:hint="eastAsia"/>
          <w:sz w:val="23"/>
          <w:szCs w:val="23"/>
        </w:rPr>
        <w:t>基金管理人</w:t>
      </w:r>
      <w:r>
        <w:rPr>
          <w:rFonts w:hAnsi="宋体" w:hint="eastAsia"/>
          <w:sz w:val="23"/>
          <w:szCs w:val="23"/>
        </w:rPr>
        <w:t>收到表决票的时间为准）。</w:t>
      </w:r>
      <w:r>
        <w:rPr>
          <w:rFonts w:hAnsi="宋体" w:hint="eastAsia"/>
          <w:sz w:val="23"/>
          <w:szCs w:val="23"/>
        </w:rPr>
        <w:t>202</w:t>
      </w:r>
      <w:r>
        <w:rPr>
          <w:rFonts w:hAnsi="宋体" w:hint="eastAsia"/>
          <w:sz w:val="23"/>
          <w:szCs w:val="23"/>
        </w:rPr>
        <w:t>5</w:t>
      </w:r>
      <w:r>
        <w:rPr>
          <w:rFonts w:hAnsi="宋体" w:hint="eastAsia"/>
          <w:sz w:val="23"/>
          <w:szCs w:val="23"/>
        </w:rPr>
        <w:t>年</w:t>
      </w:r>
      <w:r>
        <w:rPr>
          <w:rFonts w:hAnsi="宋体" w:hint="eastAsia"/>
          <w:sz w:val="23"/>
          <w:szCs w:val="23"/>
        </w:rPr>
        <w:t>12</w:t>
      </w:r>
      <w:r>
        <w:rPr>
          <w:rFonts w:hAnsi="宋体" w:hint="eastAsia"/>
          <w:sz w:val="23"/>
          <w:szCs w:val="23"/>
        </w:rPr>
        <w:t>月</w:t>
      </w:r>
      <w:r>
        <w:rPr>
          <w:rFonts w:hAnsi="宋体" w:hint="eastAsia"/>
          <w:sz w:val="23"/>
          <w:szCs w:val="23"/>
        </w:rPr>
        <w:t>9</w:t>
      </w:r>
      <w:r>
        <w:rPr>
          <w:rFonts w:hAnsi="宋体" w:hint="eastAsia"/>
          <w:sz w:val="23"/>
          <w:szCs w:val="23"/>
        </w:rPr>
        <w:t>日，在本基金基金托管人中国工商银行股份有限公司授权代表的监督下，基金管理人授权的监督员对本次基金份额持有人大会表决进行了计票，北京观韬律师事务所对计票过程进行了见证，北京市方圆公证处对计票过程及结果进行了公证。</w:t>
      </w:r>
    </w:p>
    <w:p w:rsidR="00AE6285" w:rsidRDefault="00B422EF">
      <w:pPr>
        <w:pStyle w:val="Default"/>
        <w:spacing w:line="360" w:lineRule="auto"/>
        <w:rPr>
          <w:rFonts w:hAnsi="宋体"/>
          <w:sz w:val="23"/>
          <w:szCs w:val="23"/>
        </w:rPr>
      </w:pPr>
      <w:r>
        <w:rPr>
          <w:rFonts w:hAnsi="宋体" w:hint="eastAsia"/>
          <w:sz w:val="23"/>
          <w:szCs w:val="23"/>
        </w:rPr>
        <w:t xml:space="preserve">    </w:t>
      </w:r>
      <w:r>
        <w:rPr>
          <w:rFonts w:hAnsi="宋体" w:hint="eastAsia"/>
          <w:sz w:val="23"/>
          <w:szCs w:val="23"/>
        </w:rPr>
        <w:t>根据计票结果，本人直接出具表决意见或授权他人代表出具表决意见的基金份额持</w:t>
      </w:r>
      <w:r>
        <w:rPr>
          <w:rFonts w:hAnsi="宋体" w:hint="eastAsia"/>
          <w:sz w:val="23"/>
          <w:szCs w:val="23"/>
        </w:rPr>
        <w:t>有人所持有的</w:t>
      </w:r>
      <w:r>
        <w:rPr>
          <w:rFonts w:hAnsi="宋体" w:hint="eastAsia"/>
          <w:sz w:val="23"/>
          <w:szCs w:val="23"/>
        </w:rPr>
        <w:t>本基金</w:t>
      </w:r>
      <w:r>
        <w:rPr>
          <w:rFonts w:hAnsi="宋体" w:hint="eastAsia"/>
          <w:sz w:val="23"/>
          <w:szCs w:val="23"/>
        </w:rPr>
        <w:t>基金份额总数小于在权益登记日本基金基金份额总数的二分之一，未达到法定的基金份额持有人大会召开条件。</w:t>
      </w:r>
    </w:p>
    <w:p w:rsidR="00AE6285" w:rsidRDefault="00B422EF">
      <w:pPr>
        <w:pStyle w:val="Default"/>
        <w:spacing w:line="360" w:lineRule="auto"/>
        <w:ind w:firstLine="460"/>
        <w:rPr>
          <w:rFonts w:hAnsi="宋体"/>
          <w:sz w:val="23"/>
          <w:szCs w:val="23"/>
        </w:rPr>
      </w:pPr>
      <w:r>
        <w:rPr>
          <w:rFonts w:hAnsi="宋体" w:hint="eastAsia"/>
          <w:sz w:val="23"/>
          <w:szCs w:val="23"/>
        </w:rPr>
        <w:t>本次基金份额持有人大会公证费</w:t>
      </w:r>
      <w:r>
        <w:rPr>
          <w:rFonts w:hAnsi="宋体" w:hint="eastAsia"/>
          <w:sz w:val="23"/>
          <w:szCs w:val="23"/>
        </w:rPr>
        <w:t>7</w:t>
      </w:r>
      <w:r>
        <w:rPr>
          <w:rFonts w:hAnsi="宋体" w:hint="eastAsia"/>
          <w:sz w:val="23"/>
          <w:szCs w:val="23"/>
        </w:rPr>
        <w:t>,000</w:t>
      </w:r>
      <w:r>
        <w:rPr>
          <w:rFonts w:hAnsi="宋体" w:hint="eastAsia"/>
          <w:sz w:val="23"/>
          <w:szCs w:val="23"/>
        </w:rPr>
        <w:t>元，律师费</w:t>
      </w:r>
      <w:r>
        <w:rPr>
          <w:rFonts w:hAnsi="宋体" w:hint="eastAsia"/>
          <w:sz w:val="23"/>
          <w:szCs w:val="23"/>
        </w:rPr>
        <w:t>9</w:t>
      </w:r>
      <w:r>
        <w:rPr>
          <w:rFonts w:hAnsi="宋体" w:hint="eastAsia"/>
          <w:sz w:val="23"/>
          <w:szCs w:val="23"/>
        </w:rPr>
        <w:t>,000</w:t>
      </w:r>
      <w:r>
        <w:rPr>
          <w:rFonts w:hAnsi="宋体" w:hint="eastAsia"/>
          <w:sz w:val="23"/>
          <w:szCs w:val="23"/>
        </w:rPr>
        <w:t>元，合计</w:t>
      </w:r>
      <w:r>
        <w:rPr>
          <w:rFonts w:hAnsi="宋体" w:hint="eastAsia"/>
          <w:sz w:val="23"/>
          <w:szCs w:val="23"/>
        </w:rPr>
        <w:t>1</w:t>
      </w:r>
      <w:r>
        <w:rPr>
          <w:rFonts w:hAnsi="宋体" w:hint="eastAsia"/>
          <w:sz w:val="23"/>
          <w:szCs w:val="23"/>
        </w:rPr>
        <w:t>6</w:t>
      </w:r>
      <w:r>
        <w:rPr>
          <w:rFonts w:hAnsi="宋体" w:hint="eastAsia"/>
          <w:sz w:val="23"/>
          <w:szCs w:val="23"/>
        </w:rPr>
        <w:t>,000</w:t>
      </w:r>
      <w:r>
        <w:rPr>
          <w:rFonts w:hAnsi="宋体" w:hint="eastAsia"/>
          <w:sz w:val="23"/>
          <w:szCs w:val="23"/>
        </w:rPr>
        <w:t>元，由基金管理人承担</w:t>
      </w:r>
      <w:r>
        <w:rPr>
          <w:rFonts w:hAnsi="宋体" w:hint="eastAsia"/>
          <w:sz w:val="23"/>
          <w:szCs w:val="23"/>
        </w:rPr>
        <w:t>。</w:t>
      </w:r>
    </w:p>
    <w:p w:rsidR="00AE6285" w:rsidRDefault="00B422EF">
      <w:pPr>
        <w:pStyle w:val="Default"/>
        <w:spacing w:line="360" w:lineRule="auto"/>
        <w:ind w:firstLine="460"/>
        <w:rPr>
          <w:rFonts w:hAnsi="宋体"/>
          <w:sz w:val="23"/>
          <w:szCs w:val="23"/>
        </w:rPr>
      </w:pPr>
      <w:r>
        <w:rPr>
          <w:rFonts w:hAnsi="宋体" w:hint="eastAsia"/>
          <w:sz w:val="23"/>
          <w:szCs w:val="23"/>
        </w:rPr>
        <w:t>本基金管理人将就本次会议情况报中国证券监督管理委员会备案。</w:t>
      </w:r>
    </w:p>
    <w:p w:rsidR="00AE6285" w:rsidRDefault="00AE6285">
      <w:pPr>
        <w:pStyle w:val="Default"/>
        <w:spacing w:line="360" w:lineRule="auto"/>
        <w:ind w:firstLine="460"/>
        <w:rPr>
          <w:rFonts w:hAnsi="宋体"/>
          <w:sz w:val="23"/>
          <w:szCs w:val="23"/>
        </w:rPr>
      </w:pPr>
    </w:p>
    <w:p w:rsidR="00AE6285" w:rsidRDefault="00B422EF">
      <w:pPr>
        <w:pStyle w:val="Default"/>
        <w:spacing w:line="360" w:lineRule="auto"/>
        <w:rPr>
          <w:rFonts w:hAnsi="宋体"/>
          <w:sz w:val="23"/>
          <w:szCs w:val="23"/>
        </w:rPr>
      </w:pPr>
      <w:r>
        <w:rPr>
          <w:rFonts w:hAnsi="宋体" w:hint="eastAsia"/>
          <w:sz w:val="23"/>
          <w:szCs w:val="23"/>
        </w:rPr>
        <w:t xml:space="preserve">    </w:t>
      </w:r>
      <w:r>
        <w:rPr>
          <w:rFonts w:hAnsi="宋体" w:hint="eastAsia"/>
          <w:sz w:val="23"/>
          <w:szCs w:val="23"/>
        </w:rPr>
        <w:t>二、</w:t>
      </w:r>
      <w:r>
        <w:rPr>
          <w:rFonts w:hAnsi="宋体" w:hint="eastAsia"/>
          <w:sz w:val="23"/>
          <w:szCs w:val="23"/>
        </w:rPr>
        <w:t>备查文件</w:t>
      </w:r>
    </w:p>
    <w:p w:rsidR="00AE6285" w:rsidRDefault="00B422EF">
      <w:pPr>
        <w:pStyle w:val="Default"/>
        <w:spacing w:line="360" w:lineRule="auto"/>
        <w:rPr>
          <w:rFonts w:hAnsi="宋体"/>
          <w:sz w:val="23"/>
          <w:szCs w:val="23"/>
        </w:rPr>
      </w:pPr>
      <w:r>
        <w:rPr>
          <w:rFonts w:hAnsi="宋体" w:hint="eastAsia"/>
          <w:sz w:val="23"/>
          <w:szCs w:val="23"/>
        </w:rPr>
        <w:t xml:space="preserve">    </w:t>
      </w:r>
      <w:r>
        <w:rPr>
          <w:rFonts w:hAnsi="宋体"/>
          <w:sz w:val="23"/>
          <w:szCs w:val="23"/>
        </w:rPr>
        <w:t>1</w:t>
      </w:r>
      <w:r>
        <w:rPr>
          <w:rFonts w:hAnsi="宋体" w:hint="eastAsia"/>
          <w:sz w:val="23"/>
          <w:szCs w:val="23"/>
        </w:rPr>
        <w:t>、《中加基金管理有限公司关于以通讯开会方式召开中加低碳经济六个月持有期混合型证券投资基金基金份额持有人大会的公告》</w:t>
      </w:r>
    </w:p>
    <w:p w:rsidR="00AE6285" w:rsidRDefault="00B422EF">
      <w:pPr>
        <w:pStyle w:val="Default"/>
        <w:spacing w:line="360" w:lineRule="auto"/>
        <w:rPr>
          <w:rFonts w:hAnsi="宋体"/>
          <w:sz w:val="23"/>
          <w:szCs w:val="23"/>
        </w:rPr>
      </w:pPr>
      <w:r>
        <w:rPr>
          <w:rFonts w:hAnsi="宋体" w:hint="eastAsia"/>
          <w:sz w:val="23"/>
          <w:szCs w:val="23"/>
        </w:rPr>
        <w:lastRenderedPageBreak/>
        <w:t xml:space="preserve">    </w:t>
      </w:r>
      <w:r>
        <w:rPr>
          <w:rFonts w:hAnsi="宋体"/>
          <w:sz w:val="23"/>
          <w:szCs w:val="23"/>
        </w:rPr>
        <w:t>2</w:t>
      </w:r>
      <w:r>
        <w:rPr>
          <w:rFonts w:hAnsi="宋体" w:hint="eastAsia"/>
          <w:sz w:val="23"/>
          <w:szCs w:val="23"/>
        </w:rPr>
        <w:t>、《中加基金管理有限公司关于以通讯开会方式召开中加低碳经济六个月持有期混</w:t>
      </w:r>
      <w:r>
        <w:rPr>
          <w:rFonts w:hAnsi="宋体" w:hint="eastAsia"/>
          <w:sz w:val="23"/>
          <w:szCs w:val="23"/>
        </w:rPr>
        <w:t>合型证券投资基金基金份额持有人大会的第一次提示性公告》</w:t>
      </w:r>
    </w:p>
    <w:p w:rsidR="00AE6285" w:rsidRDefault="00B422EF">
      <w:pPr>
        <w:pStyle w:val="Default"/>
        <w:spacing w:line="360" w:lineRule="auto"/>
        <w:rPr>
          <w:rFonts w:hAnsi="宋体"/>
          <w:sz w:val="23"/>
          <w:szCs w:val="23"/>
        </w:rPr>
      </w:pPr>
      <w:r>
        <w:rPr>
          <w:rFonts w:hAnsi="宋体" w:hint="eastAsia"/>
          <w:sz w:val="23"/>
          <w:szCs w:val="23"/>
        </w:rPr>
        <w:t xml:space="preserve">    </w:t>
      </w:r>
      <w:r>
        <w:rPr>
          <w:rFonts w:hAnsi="宋体"/>
          <w:sz w:val="23"/>
          <w:szCs w:val="23"/>
        </w:rPr>
        <w:t>3</w:t>
      </w:r>
      <w:r>
        <w:rPr>
          <w:rFonts w:hAnsi="宋体" w:hint="eastAsia"/>
          <w:sz w:val="23"/>
          <w:szCs w:val="23"/>
        </w:rPr>
        <w:t>、《中加基金管理有限公司关于以通讯开会方式召开中加低碳经济六个月持有期混合型证券投资基金基金份额持有人大会的第二次提示性公告》</w:t>
      </w:r>
    </w:p>
    <w:p w:rsidR="00AE6285" w:rsidRDefault="00B422EF">
      <w:pPr>
        <w:pStyle w:val="Default"/>
        <w:spacing w:line="360" w:lineRule="auto"/>
        <w:rPr>
          <w:rFonts w:hAnsi="宋体"/>
          <w:sz w:val="23"/>
          <w:szCs w:val="23"/>
        </w:rPr>
      </w:pPr>
      <w:r>
        <w:rPr>
          <w:rFonts w:hAnsi="宋体" w:hint="eastAsia"/>
          <w:sz w:val="23"/>
          <w:szCs w:val="23"/>
        </w:rPr>
        <w:t xml:space="preserve">    4</w:t>
      </w:r>
      <w:r>
        <w:rPr>
          <w:rFonts w:hAnsi="宋体" w:hint="eastAsia"/>
          <w:sz w:val="23"/>
          <w:szCs w:val="23"/>
        </w:rPr>
        <w:t>、北京市方圆公证处出具的公证书</w:t>
      </w:r>
    </w:p>
    <w:p w:rsidR="00AE6285" w:rsidRDefault="00B422EF">
      <w:pPr>
        <w:pStyle w:val="Default"/>
        <w:spacing w:line="360" w:lineRule="auto"/>
        <w:rPr>
          <w:rFonts w:hAnsi="宋体"/>
          <w:sz w:val="23"/>
          <w:szCs w:val="23"/>
        </w:rPr>
      </w:pPr>
      <w:r>
        <w:rPr>
          <w:rFonts w:hAnsi="宋体" w:hint="eastAsia"/>
          <w:sz w:val="23"/>
          <w:szCs w:val="23"/>
        </w:rPr>
        <w:t xml:space="preserve">    5</w:t>
      </w:r>
      <w:r>
        <w:rPr>
          <w:rFonts w:hAnsi="宋体" w:hint="eastAsia"/>
          <w:sz w:val="23"/>
          <w:szCs w:val="23"/>
        </w:rPr>
        <w:t>、北京观韬律师事务所出具的法律意见</w:t>
      </w:r>
      <w:r>
        <w:rPr>
          <w:rFonts w:hAnsi="宋体" w:hint="eastAsia"/>
          <w:sz w:val="23"/>
          <w:szCs w:val="23"/>
        </w:rPr>
        <w:t>书</w:t>
      </w:r>
    </w:p>
    <w:p w:rsidR="00AE6285" w:rsidRDefault="00B422EF">
      <w:pPr>
        <w:pStyle w:val="Default"/>
        <w:spacing w:line="360" w:lineRule="auto"/>
        <w:ind w:firstLine="450"/>
        <w:rPr>
          <w:rFonts w:hAnsi="宋体"/>
          <w:sz w:val="23"/>
          <w:szCs w:val="23"/>
        </w:rPr>
      </w:pPr>
      <w:r>
        <w:rPr>
          <w:rFonts w:hAnsi="宋体" w:hint="eastAsia"/>
          <w:sz w:val="23"/>
          <w:szCs w:val="23"/>
        </w:rPr>
        <w:t>特此公告。</w:t>
      </w:r>
    </w:p>
    <w:p w:rsidR="00AE6285" w:rsidRDefault="00AE6285">
      <w:pPr>
        <w:pStyle w:val="Default"/>
        <w:spacing w:line="360" w:lineRule="auto"/>
        <w:ind w:firstLine="450"/>
        <w:rPr>
          <w:rFonts w:hAnsi="宋体"/>
          <w:sz w:val="23"/>
          <w:szCs w:val="23"/>
        </w:rPr>
      </w:pPr>
    </w:p>
    <w:p w:rsidR="00AE6285" w:rsidRDefault="00AE6285">
      <w:pPr>
        <w:pStyle w:val="Default"/>
        <w:spacing w:line="360" w:lineRule="auto"/>
        <w:ind w:firstLine="450"/>
        <w:rPr>
          <w:rFonts w:hAnsi="宋体"/>
          <w:sz w:val="23"/>
          <w:szCs w:val="23"/>
        </w:rPr>
      </w:pPr>
    </w:p>
    <w:p w:rsidR="00AE6285" w:rsidRDefault="00AE6285">
      <w:pPr>
        <w:pStyle w:val="Default"/>
        <w:spacing w:line="360" w:lineRule="auto"/>
        <w:ind w:firstLine="450"/>
        <w:rPr>
          <w:rFonts w:hAnsi="宋体"/>
          <w:sz w:val="23"/>
          <w:szCs w:val="23"/>
        </w:rPr>
      </w:pPr>
    </w:p>
    <w:p w:rsidR="00AE6285" w:rsidRDefault="00B422EF">
      <w:pPr>
        <w:pStyle w:val="Default"/>
        <w:spacing w:line="360" w:lineRule="auto"/>
        <w:jc w:val="right"/>
        <w:rPr>
          <w:rFonts w:hAnsi="宋体"/>
          <w:sz w:val="23"/>
          <w:szCs w:val="23"/>
        </w:rPr>
      </w:pPr>
      <w:r>
        <w:rPr>
          <w:rFonts w:hAnsi="宋体" w:hint="eastAsia"/>
          <w:sz w:val="23"/>
          <w:szCs w:val="23"/>
        </w:rPr>
        <w:t>中加基金管理有限公司</w:t>
      </w:r>
      <w:r>
        <w:rPr>
          <w:rFonts w:hAnsi="宋体"/>
          <w:sz w:val="23"/>
          <w:szCs w:val="23"/>
        </w:rPr>
        <w:t xml:space="preserve"> </w:t>
      </w:r>
    </w:p>
    <w:p w:rsidR="00AE6285" w:rsidRDefault="00B422EF">
      <w:pPr>
        <w:widowControl/>
        <w:jc w:val="right"/>
        <w:rPr>
          <w:rFonts w:ascii="宋体" w:hAnsi="宋体"/>
          <w:sz w:val="23"/>
          <w:szCs w:val="23"/>
        </w:rPr>
      </w:pPr>
      <w:r>
        <w:rPr>
          <w:rFonts w:ascii="宋体" w:hAnsi="宋体"/>
          <w:sz w:val="23"/>
          <w:szCs w:val="23"/>
        </w:rPr>
        <w:t>20</w:t>
      </w:r>
      <w:r>
        <w:rPr>
          <w:rFonts w:ascii="宋体" w:hAnsi="宋体" w:hint="eastAsia"/>
          <w:sz w:val="23"/>
          <w:szCs w:val="23"/>
        </w:rPr>
        <w:t>2</w:t>
      </w:r>
      <w:r>
        <w:rPr>
          <w:rFonts w:ascii="宋体" w:hAnsi="宋体" w:hint="eastAsia"/>
          <w:sz w:val="23"/>
          <w:szCs w:val="23"/>
        </w:rPr>
        <w:t>5</w:t>
      </w:r>
      <w:r>
        <w:rPr>
          <w:rFonts w:ascii="宋体" w:hAnsi="宋体" w:hint="eastAsia"/>
          <w:sz w:val="23"/>
          <w:szCs w:val="23"/>
        </w:rPr>
        <w:t>年</w:t>
      </w:r>
      <w:r>
        <w:rPr>
          <w:rFonts w:ascii="宋体" w:hAnsi="宋体" w:hint="eastAsia"/>
          <w:sz w:val="23"/>
          <w:szCs w:val="23"/>
        </w:rPr>
        <w:t>12</w:t>
      </w:r>
      <w:r>
        <w:rPr>
          <w:rFonts w:ascii="宋体" w:hAnsi="宋体" w:hint="eastAsia"/>
          <w:sz w:val="23"/>
          <w:szCs w:val="23"/>
        </w:rPr>
        <w:t>月</w:t>
      </w:r>
      <w:r>
        <w:rPr>
          <w:rFonts w:ascii="宋体" w:hAnsi="宋体" w:hint="eastAsia"/>
          <w:sz w:val="23"/>
          <w:szCs w:val="23"/>
        </w:rPr>
        <w:t>10</w:t>
      </w:r>
      <w:r>
        <w:rPr>
          <w:rFonts w:ascii="宋体" w:hAnsi="宋体" w:hint="eastAsia"/>
          <w:sz w:val="23"/>
          <w:szCs w:val="23"/>
        </w:rPr>
        <w:t>日</w:t>
      </w:r>
    </w:p>
    <w:p w:rsidR="00AE6285" w:rsidRDefault="00B422EF">
      <w:pPr>
        <w:widowControl/>
        <w:jc w:val="left"/>
        <w:rPr>
          <w:rFonts w:ascii="宋体" w:hAnsi="宋体"/>
          <w:sz w:val="23"/>
          <w:szCs w:val="23"/>
        </w:rPr>
      </w:pPr>
      <w:r>
        <w:rPr>
          <w:rFonts w:ascii="宋体" w:hAnsi="宋体" w:hint="eastAsia"/>
          <w:sz w:val="23"/>
          <w:szCs w:val="23"/>
        </w:rPr>
        <w:br w:type="page"/>
      </w:r>
    </w:p>
    <w:p w:rsidR="00AE6285" w:rsidRDefault="00B422EF">
      <w:pPr>
        <w:widowControl/>
        <w:jc w:val="left"/>
      </w:pPr>
      <w:r>
        <w:rPr>
          <w:rFonts w:ascii="宋体" w:hAnsi="宋体" w:cs="宋体"/>
          <w:noProof/>
          <w:kern w:val="0"/>
          <w:sz w:val="24"/>
          <w:szCs w:val="24"/>
        </w:rPr>
        <w:lastRenderedPageBreak/>
        <w:drawing>
          <wp:inline distT="0" distB="0" distL="114300" distR="114300">
            <wp:extent cx="5274310" cy="7463155"/>
            <wp:effectExtent l="0" t="0" r="2540"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cstate="print"/>
                    <a:stretch>
                      <a:fillRect/>
                    </a:stretch>
                  </pic:blipFill>
                  <pic:spPr>
                    <a:xfrm>
                      <a:off x="0" y="0"/>
                      <a:ext cx="5274310" cy="7463155"/>
                    </a:xfrm>
                    <a:prstGeom prst="rect">
                      <a:avLst/>
                    </a:prstGeom>
                    <a:noFill/>
                    <a:ln w="9525">
                      <a:noFill/>
                    </a:ln>
                  </pic:spPr>
                </pic:pic>
              </a:graphicData>
            </a:graphic>
          </wp:inline>
        </w:drawing>
      </w:r>
    </w:p>
    <w:p w:rsidR="00AE6285" w:rsidRDefault="00B422EF">
      <w:pPr>
        <w:widowControl/>
        <w:jc w:val="left"/>
        <w:rPr>
          <w:rFonts w:ascii="宋体" w:hAnsi="宋体"/>
          <w:sz w:val="23"/>
          <w:szCs w:val="23"/>
        </w:rPr>
      </w:pPr>
      <w:r>
        <w:rPr>
          <w:rFonts w:ascii="宋体" w:hAnsi="宋体" w:hint="eastAsia"/>
          <w:sz w:val="23"/>
          <w:szCs w:val="23"/>
        </w:rPr>
        <w:br w:type="page"/>
      </w:r>
    </w:p>
    <w:p w:rsidR="00AE6285" w:rsidRDefault="00B422EF">
      <w:pPr>
        <w:widowControl/>
        <w:jc w:val="left"/>
      </w:pPr>
      <w:r>
        <w:rPr>
          <w:rFonts w:ascii="宋体" w:hAnsi="宋体" w:cs="宋体"/>
          <w:noProof/>
          <w:kern w:val="0"/>
          <w:sz w:val="24"/>
          <w:szCs w:val="24"/>
        </w:rPr>
        <w:drawing>
          <wp:inline distT="0" distB="0" distL="114300" distR="114300">
            <wp:extent cx="5245735" cy="7420610"/>
            <wp:effectExtent l="0" t="0" r="12065" b="889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cstate="print"/>
                    <a:stretch>
                      <a:fillRect/>
                    </a:stretch>
                  </pic:blipFill>
                  <pic:spPr>
                    <a:xfrm>
                      <a:off x="0" y="0"/>
                      <a:ext cx="5245735" cy="7420610"/>
                    </a:xfrm>
                    <a:prstGeom prst="rect">
                      <a:avLst/>
                    </a:prstGeom>
                    <a:noFill/>
                    <a:ln w="9525">
                      <a:noFill/>
                    </a:ln>
                  </pic:spPr>
                </pic:pic>
              </a:graphicData>
            </a:graphic>
          </wp:inline>
        </w:drawing>
      </w:r>
    </w:p>
    <w:p w:rsidR="00AE6285" w:rsidRDefault="00AE6285">
      <w:pPr>
        <w:widowControl/>
        <w:jc w:val="right"/>
        <w:rPr>
          <w:rFonts w:ascii="宋体" w:hAnsi="宋体"/>
          <w:sz w:val="23"/>
          <w:szCs w:val="23"/>
        </w:rPr>
      </w:pPr>
    </w:p>
    <w:p w:rsidR="00AE6285" w:rsidRDefault="00AE6285">
      <w:pPr>
        <w:widowControl/>
        <w:jc w:val="right"/>
        <w:rPr>
          <w:rFonts w:ascii="宋体" w:hAnsi="宋体"/>
          <w:sz w:val="23"/>
          <w:szCs w:val="23"/>
        </w:rPr>
      </w:pPr>
    </w:p>
    <w:p w:rsidR="00AE6285" w:rsidRDefault="00AE6285">
      <w:pPr>
        <w:widowControl/>
        <w:jc w:val="right"/>
        <w:rPr>
          <w:rFonts w:ascii="宋体" w:hAnsi="宋体"/>
          <w:sz w:val="23"/>
          <w:szCs w:val="23"/>
        </w:rPr>
      </w:pPr>
    </w:p>
    <w:p w:rsidR="00AE6285" w:rsidRDefault="00B422EF">
      <w:pPr>
        <w:widowControl/>
        <w:jc w:val="left"/>
      </w:pPr>
      <w:r>
        <w:rPr>
          <w:rFonts w:ascii="宋体" w:hAnsi="宋体" w:cs="宋体"/>
          <w:noProof/>
          <w:kern w:val="0"/>
          <w:sz w:val="24"/>
          <w:szCs w:val="24"/>
        </w:rPr>
        <w:drawing>
          <wp:inline distT="0" distB="0" distL="114300" distR="114300">
            <wp:extent cx="5276850" cy="7459980"/>
            <wp:effectExtent l="0" t="0" r="0" b="762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cstate="print"/>
                    <a:stretch>
                      <a:fillRect/>
                    </a:stretch>
                  </pic:blipFill>
                  <pic:spPr>
                    <a:xfrm>
                      <a:off x="0" y="0"/>
                      <a:ext cx="5276850" cy="7459980"/>
                    </a:xfrm>
                    <a:prstGeom prst="rect">
                      <a:avLst/>
                    </a:prstGeom>
                    <a:noFill/>
                    <a:ln w="9525">
                      <a:noFill/>
                    </a:ln>
                  </pic:spPr>
                </pic:pic>
              </a:graphicData>
            </a:graphic>
          </wp:inline>
        </w:drawing>
      </w:r>
    </w:p>
    <w:p w:rsidR="00AE6285" w:rsidRDefault="00AE6285">
      <w:pPr>
        <w:widowControl/>
        <w:jc w:val="right"/>
        <w:rPr>
          <w:rFonts w:ascii="宋体" w:hAnsi="宋体"/>
          <w:sz w:val="23"/>
          <w:szCs w:val="23"/>
        </w:rPr>
      </w:pPr>
    </w:p>
    <w:p w:rsidR="00AE6285" w:rsidRDefault="00AE6285">
      <w:pPr>
        <w:widowControl/>
        <w:jc w:val="right"/>
        <w:rPr>
          <w:rFonts w:ascii="宋体" w:hAnsi="宋体"/>
          <w:sz w:val="23"/>
          <w:szCs w:val="23"/>
        </w:rPr>
      </w:pPr>
    </w:p>
    <w:p w:rsidR="00AE6285" w:rsidRDefault="00AE6285">
      <w:pPr>
        <w:widowControl/>
        <w:jc w:val="right"/>
        <w:rPr>
          <w:rFonts w:ascii="宋体" w:hAnsi="宋体"/>
          <w:sz w:val="23"/>
          <w:szCs w:val="23"/>
        </w:rPr>
      </w:pPr>
    </w:p>
    <w:p w:rsidR="00AE6285" w:rsidRDefault="00B422EF">
      <w:pPr>
        <w:widowControl/>
        <w:jc w:val="left"/>
      </w:pPr>
      <w:r>
        <w:rPr>
          <w:rFonts w:ascii="宋体" w:hAnsi="宋体" w:cs="宋体"/>
          <w:noProof/>
          <w:kern w:val="0"/>
          <w:sz w:val="24"/>
          <w:szCs w:val="24"/>
        </w:rPr>
        <w:drawing>
          <wp:inline distT="0" distB="0" distL="114300" distR="114300">
            <wp:extent cx="5255260" cy="7430770"/>
            <wp:effectExtent l="0" t="0" r="2540" b="1778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cstate="print"/>
                    <a:stretch>
                      <a:fillRect/>
                    </a:stretch>
                  </pic:blipFill>
                  <pic:spPr>
                    <a:xfrm>
                      <a:off x="0" y="0"/>
                      <a:ext cx="5255260" cy="7430770"/>
                    </a:xfrm>
                    <a:prstGeom prst="rect">
                      <a:avLst/>
                    </a:prstGeom>
                    <a:noFill/>
                    <a:ln w="9525">
                      <a:noFill/>
                    </a:ln>
                  </pic:spPr>
                </pic:pic>
              </a:graphicData>
            </a:graphic>
          </wp:inline>
        </w:drawing>
      </w:r>
    </w:p>
    <w:p w:rsidR="00AE6285" w:rsidRDefault="00AE6285">
      <w:pPr>
        <w:widowControl/>
        <w:jc w:val="right"/>
        <w:rPr>
          <w:rFonts w:ascii="宋体" w:hAnsi="宋体"/>
          <w:sz w:val="23"/>
          <w:szCs w:val="23"/>
        </w:rPr>
      </w:pPr>
    </w:p>
    <w:p w:rsidR="00AE6285" w:rsidRDefault="00AE6285">
      <w:pPr>
        <w:widowControl/>
        <w:jc w:val="right"/>
        <w:rPr>
          <w:rFonts w:ascii="宋体" w:hAnsi="宋体"/>
          <w:sz w:val="23"/>
          <w:szCs w:val="23"/>
        </w:rPr>
      </w:pPr>
    </w:p>
    <w:p w:rsidR="00AE6285" w:rsidRDefault="00AE6285">
      <w:pPr>
        <w:widowControl/>
        <w:jc w:val="right"/>
        <w:rPr>
          <w:rFonts w:ascii="宋体" w:hAnsi="宋体"/>
          <w:sz w:val="23"/>
          <w:szCs w:val="23"/>
        </w:rPr>
      </w:pPr>
    </w:p>
    <w:p w:rsidR="00AE6285" w:rsidRDefault="00B422EF">
      <w:pPr>
        <w:widowControl/>
        <w:jc w:val="left"/>
      </w:pPr>
      <w:r>
        <w:rPr>
          <w:rFonts w:ascii="宋体" w:hAnsi="宋体" w:cs="宋体"/>
          <w:noProof/>
          <w:kern w:val="0"/>
          <w:sz w:val="24"/>
          <w:szCs w:val="24"/>
        </w:rPr>
        <w:drawing>
          <wp:inline distT="0" distB="0" distL="114300" distR="114300">
            <wp:extent cx="5272405" cy="7411720"/>
            <wp:effectExtent l="0" t="0" r="4445" b="1778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cstate="print"/>
                    <a:stretch>
                      <a:fillRect/>
                    </a:stretch>
                  </pic:blipFill>
                  <pic:spPr>
                    <a:xfrm>
                      <a:off x="0" y="0"/>
                      <a:ext cx="5272405" cy="7411720"/>
                    </a:xfrm>
                    <a:prstGeom prst="rect">
                      <a:avLst/>
                    </a:prstGeom>
                    <a:noFill/>
                    <a:ln w="9525">
                      <a:noFill/>
                    </a:ln>
                  </pic:spPr>
                </pic:pic>
              </a:graphicData>
            </a:graphic>
          </wp:inline>
        </w:drawing>
      </w:r>
      <w:bookmarkStart w:id="0" w:name="_GoBack"/>
      <w:bookmarkEnd w:id="0"/>
    </w:p>
    <w:p w:rsidR="00AE6285" w:rsidRDefault="00AE6285">
      <w:pPr>
        <w:widowControl/>
        <w:jc w:val="right"/>
        <w:rPr>
          <w:rFonts w:ascii="宋体" w:hAnsi="宋体"/>
          <w:sz w:val="23"/>
          <w:szCs w:val="23"/>
        </w:rPr>
      </w:pPr>
    </w:p>
    <w:sectPr w:rsidR="00AE6285" w:rsidSect="00AE62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05F8"/>
    <w:rsid w:val="00011BA9"/>
    <w:rsid w:val="0001476F"/>
    <w:rsid w:val="00017A35"/>
    <w:rsid w:val="000462A3"/>
    <w:rsid w:val="00046AC2"/>
    <w:rsid w:val="000A2707"/>
    <w:rsid w:val="000E0FC6"/>
    <w:rsid w:val="000E7C9C"/>
    <w:rsid w:val="00147424"/>
    <w:rsid w:val="00172A27"/>
    <w:rsid w:val="001B0A34"/>
    <w:rsid w:val="001B1347"/>
    <w:rsid w:val="001C5363"/>
    <w:rsid w:val="001E4442"/>
    <w:rsid w:val="002131F2"/>
    <w:rsid w:val="00226272"/>
    <w:rsid w:val="00247D8E"/>
    <w:rsid w:val="002737A6"/>
    <w:rsid w:val="002775CC"/>
    <w:rsid w:val="00280E4C"/>
    <w:rsid w:val="00281F9F"/>
    <w:rsid w:val="00287A5C"/>
    <w:rsid w:val="002A6C7E"/>
    <w:rsid w:val="002E4AD0"/>
    <w:rsid w:val="002E5E3B"/>
    <w:rsid w:val="00326232"/>
    <w:rsid w:val="0035502C"/>
    <w:rsid w:val="003776F6"/>
    <w:rsid w:val="00395398"/>
    <w:rsid w:val="003C2AC5"/>
    <w:rsid w:val="003E0DEF"/>
    <w:rsid w:val="003E1798"/>
    <w:rsid w:val="003F235A"/>
    <w:rsid w:val="0040583A"/>
    <w:rsid w:val="00421003"/>
    <w:rsid w:val="00423749"/>
    <w:rsid w:val="00485688"/>
    <w:rsid w:val="00497F16"/>
    <w:rsid w:val="004D2284"/>
    <w:rsid w:val="004F69A0"/>
    <w:rsid w:val="00576307"/>
    <w:rsid w:val="005A316B"/>
    <w:rsid w:val="005C31CE"/>
    <w:rsid w:val="005D0E7C"/>
    <w:rsid w:val="005E0137"/>
    <w:rsid w:val="006139DF"/>
    <w:rsid w:val="00631987"/>
    <w:rsid w:val="0064003E"/>
    <w:rsid w:val="0065243F"/>
    <w:rsid w:val="006704F5"/>
    <w:rsid w:val="006745E8"/>
    <w:rsid w:val="006A47A1"/>
    <w:rsid w:val="006A56D3"/>
    <w:rsid w:val="006B7A1B"/>
    <w:rsid w:val="006F54EC"/>
    <w:rsid w:val="00703092"/>
    <w:rsid w:val="00731FFE"/>
    <w:rsid w:val="00734C44"/>
    <w:rsid w:val="007A6292"/>
    <w:rsid w:val="007A71B2"/>
    <w:rsid w:val="007B6282"/>
    <w:rsid w:val="007C6F75"/>
    <w:rsid w:val="007D6917"/>
    <w:rsid w:val="007E0B24"/>
    <w:rsid w:val="00811411"/>
    <w:rsid w:val="008168C0"/>
    <w:rsid w:val="00844B64"/>
    <w:rsid w:val="008D578C"/>
    <w:rsid w:val="00911272"/>
    <w:rsid w:val="009143BB"/>
    <w:rsid w:val="00974D8D"/>
    <w:rsid w:val="00976DA2"/>
    <w:rsid w:val="009B3358"/>
    <w:rsid w:val="009C0212"/>
    <w:rsid w:val="009C196D"/>
    <w:rsid w:val="009C5A0A"/>
    <w:rsid w:val="009D3AD6"/>
    <w:rsid w:val="009D733B"/>
    <w:rsid w:val="009F4658"/>
    <w:rsid w:val="00A05185"/>
    <w:rsid w:val="00A05E40"/>
    <w:rsid w:val="00A33223"/>
    <w:rsid w:val="00A519FF"/>
    <w:rsid w:val="00A571F1"/>
    <w:rsid w:val="00A8174D"/>
    <w:rsid w:val="00A8277F"/>
    <w:rsid w:val="00A866C2"/>
    <w:rsid w:val="00AC3A8B"/>
    <w:rsid w:val="00AC4D5A"/>
    <w:rsid w:val="00AD08BA"/>
    <w:rsid w:val="00AE6285"/>
    <w:rsid w:val="00B23488"/>
    <w:rsid w:val="00B422EF"/>
    <w:rsid w:val="00B656E6"/>
    <w:rsid w:val="00B65FC3"/>
    <w:rsid w:val="00B8355F"/>
    <w:rsid w:val="00B8480A"/>
    <w:rsid w:val="00BB616A"/>
    <w:rsid w:val="00BE50C7"/>
    <w:rsid w:val="00C55E64"/>
    <w:rsid w:val="00C57720"/>
    <w:rsid w:val="00C63F6C"/>
    <w:rsid w:val="00C70378"/>
    <w:rsid w:val="00C81B0D"/>
    <w:rsid w:val="00C8247D"/>
    <w:rsid w:val="00C854EB"/>
    <w:rsid w:val="00CA5B53"/>
    <w:rsid w:val="00CA7B50"/>
    <w:rsid w:val="00CB4C1F"/>
    <w:rsid w:val="00CB7874"/>
    <w:rsid w:val="00CC0EA2"/>
    <w:rsid w:val="00CE496A"/>
    <w:rsid w:val="00D0331B"/>
    <w:rsid w:val="00D309FE"/>
    <w:rsid w:val="00D37584"/>
    <w:rsid w:val="00D93BEE"/>
    <w:rsid w:val="00DA49DB"/>
    <w:rsid w:val="00DB0572"/>
    <w:rsid w:val="00DD3A28"/>
    <w:rsid w:val="00DF3DC9"/>
    <w:rsid w:val="00E12D80"/>
    <w:rsid w:val="00E575A2"/>
    <w:rsid w:val="00E9380F"/>
    <w:rsid w:val="00EA4348"/>
    <w:rsid w:val="00EC31C6"/>
    <w:rsid w:val="00F45E45"/>
    <w:rsid w:val="00F707AD"/>
    <w:rsid w:val="00F75BEB"/>
    <w:rsid w:val="00FC23FD"/>
    <w:rsid w:val="00FC413B"/>
    <w:rsid w:val="00FE2914"/>
    <w:rsid w:val="00FF1AAA"/>
    <w:rsid w:val="029B7560"/>
    <w:rsid w:val="02A94172"/>
    <w:rsid w:val="02EE7FE1"/>
    <w:rsid w:val="038045F2"/>
    <w:rsid w:val="0398411D"/>
    <w:rsid w:val="04005A5E"/>
    <w:rsid w:val="049277E9"/>
    <w:rsid w:val="051A7045"/>
    <w:rsid w:val="07915B4B"/>
    <w:rsid w:val="09B55582"/>
    <w:rsid w:val="09F30AF4"/>
    <w:rsid w:val="0AEE0ACF"/>
    <w:rsid w:val="0CD467AF"/>
    <w:rsid w:val="0E764409"/>
    <w:rsid w:val="0F4B625F"/>
    <w:rsid w:val="10C9033C"/>
    <w:rsid w:val="11602739"/>
    <w:rsid w:val="14201369"/>
    <w:rsid w:val="144C1A1E"/>
    <w:rsid w:val="14667921"/>
    <w:rsid w:val="15073D07"/>
    <w:rsid w:val="15911A44"/>
    <w:rsid w:val="15D743C9"/>
    <w:rsid w:val="15E04097"/>
    <w:rsid w:val="18C47BC9"/>
    <w:rsid w:val="18FA5DCE"/>
    <w:rsid w:val="1C6F4DC4"/>
    <w:rsid w:val="1E777088"/>
    <w:rsid w:val="1EE52925"/>
    <w:rsid w:val="1FC52E0F"/>
    <w:rsid w:val="21BB15BA"/>
    <w:rsid w:val="24D2122C"/>
    <w:rsid w:val="24D2187D"/>
    <w:rsid w:val="25BD7307"/>
    <w:rsid w:val="25C0677B"/>
    <w:rsid w:val="26F718CB"/>
    <w:rsid w:val="29E66A2D"/>
    <w:rsid w:val="2F070F4D"/>
    <w:rsid w:val="2F271365"/>
    <w:rsid w:val="2FA555C6"/>
    <w:rsid w:val="324758F2"/>
    <w:rsid w:val="35CD34E9"/>
    <w:rsid w:val="371A3964"/>
    <w:rsid w:val="388744CD"/>
    <w:rsid w:val="3C2E793C"/>
    <w:rsid w:val="3D4339A7"/>
    <w:rsid w:val="3ED72DFC"/>
    <w:rsid w:val="43747DAC"/>
    <w:rsid w:val="44087884"/>
    <w:rsid w:val="44BF2EAB"/>
    <w:rsid w:val="46CE5BDD"/>
    <w:rsid w:val="47AD6EDA"/>
    <w:rsid w:val="4CE76B1F"/>
    <w:rsid w:val="4FC157D2"/>
    <w:rsid w:val="50747172"/>
    <w:rsid w:val="50EE7046"/>
    <w:rsid w:val="51B50981"/>
    <w:rsid w:val="52675B96"/>
    <w:rsid w:val="52D360A9"/>
    <w:rsid w:val="53DA0652"/>
    <w:rsid w:val="552F0124"/>
    <w:rsid w:val="55E37965"/>
    <w:rsid w:val="5A7C0601"/>
    <w:rsid w:val="5BAB4D1F"/>
    <w:rsid w:val="5C4D1CF3"/>
    <w:rsid w:val="5D9439F7"/>
    <w:rsid w:val="5DEC7EB0"/>
    <w:rsid w:val="5E0305AD"/>
    <w:rsid w:val="5E332752"/>
    <w:rsid w:val="5EDD6312"/>
    <w:rsid w:val="5F6B016C"/>
    <w:rsid w:val="60C0379D"/>
    <w:rsid w:val="61311208"/>
    <w:rsid w:val="61611F7B"/>
    <w:rsid w:val="631045FC"/>
    <w:rsid w:val="638E43EA"/>
    <w:rsid w:val="639E205E"/>
    <w:rsid w:val="65B8717D"/>
    <w:rsid w:val="6B254B1F"/>
    <w:rsid w:val="6E031C43"/>
    <w:rsid w:val="6F185E14"/>
    <w:rsid w:val="71102945"/>
    <w:rsid w:val="7180294E"/>
    <w:rsid w:val="74D04F5F"/>
    <w:rsid w:val="75206133"/>
    <w:rsid w:val="789B01D3"/>
    <w:rsid w:val="797B33CC"/>
    <w:rsid w:val="7B9C5A74"/>
    <w:rsid w:val="7EEF6082"/>
    <w:rsid w:val="7F546A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8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AE6285"/>
    <w:pPr>
      <w:jc w:val="left"/>
    </w:pPr>
  </w:style>
  <w:style w:type="paragraph" w:styleId="a4">
    <w:name w:val="Date"/>
    <w:basedOn w:val="a"/>
    <w:next w:val="a"/>
    <w:link w:val="Char0"/>
    <w:uiPriority w:val="99"/>
    <w:unhideWhenUsed/>
    <w:qFormat/>
    <w:rsid w:val="00AE6285"/>
    <w:pPr>
      <w:ind w:leftChars="2500" w:left="100"/>
    </w:pPr>
  </w:style>
  <w:style w:type="paragraph" w:styleId="a5">
    <w:name w:val="Balloon Text"/>
    <w:basedOn w:val="a"/>
    <w:link w:val="Char1"/>
    <w:uiPriority w:val="99"/>
    <w:unhideWhenUsed/>
    <w:qFormat/>
    <w:rsid w:val="00AE6285"/>
    <w:rPr>
      <w:sz w:val="18"/>
      <w:szCs w:val="18"/>
    </w:rPr>
  </w:style>
  <w:style w:type="paragraph" w:styleId="a6">
    <w:name w:val="footer"/>
    <w:basedOn w:val="a"/>
    <w:link w:val="Char2"/>
    <w:uiPriority w:val="99"/>
    <w:unhideWhenUsed/>
    <w:qFormat/>
    <w:rsid w:val="00AE6285"/>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E6285"/>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AE6285"/>
    <w:rPr>
      <w:rFonts w:ascii="Times New Roman" w:hAnsi="Times New Roman"/>
      <w:sz w:val="24"/>
      <w:szCs w:val="24"/>
    </w:rPr>
  </w:style>
  <w:style w:type="paragraph" w:styleId="a9">
    <w:name w:val="annotation subject"/>
    <w:basedOn w:val="a3"/>
    <w:next w:val="a3"/>
    <w:link w:val="Char4"/>
    <w:uiPriority w:val="99"/>
    <w:unhideWhenUsed/>
    <w:qFormat/>
    <w:rsid w:val="00AE6285"/>
    <w:rPr>
      <w:b/>
      <w:bCs/>
    </w:rPr>
  </w:style>
  <w:style w:type="character" w:styleId="aa">
    <w:name w:val="Hyperlink"/>
    <w:basedOn w:val="a0"/>
    <w:uiPriority w:val="99"/>
    <w:unhideWhenUsed/>
    <w:qFormat/>
    <w:rsid w:val="00AE6285"/>
    <w:rPr>
      <w:color w:val="0000FF" w:themeColor="hyperlink"/>
      <w:u w:val="single"/>
    </w:rPr>
  </w:style>
  <w:style w:type="character" w:styleId="ab">
    <w:name w:val="annotation reference"/>
    <w:basedOn w:val="a0"/>
    <w:uiPriority w:val="99"/>
    <w:unhideWhenUsed/>
    <w:qFormat/>
    <w:rsid w:val="00AE6285"/>
    <w:rPr>
      <w:sz w:val="21"/>
      <w:szCs w:val="21"/>
    </w:rPr>
  </w:style>
  <w:style w:type="character" w:customStyle="1" w:styleId="Char3">
    <w:name w:val="页眉 Char"/>
    <w:basedOn w:val="a0"/>
    <w:link w:val="a7"/>
    <w:uiPriority w:val="99"/>
    <w:qFormat/>
    <w:rsid w:val="00AE6285"/>
    <w:rPr>
      <w:sz w:val="18"/>
      <w:szCs w:val="18"/>
    </w:rPr>
  </w:style>
  <w:style w:type="character" w:customStyle="1" w:styleId="Char2">
    <w:name w:val="页脚 Char"/>
    <w:basedOn w:val="a0"/>
    <w:link w:val="a6"/>
    <w:uiPriority w:val="99"/>
    <w:qFormat/>
    <w:rsid w:val="00AE6285"/>
    <w:rPr>
      <w:sz w:val="18"/>
      <w:szCs w:val="18"/>
    </w:rPr>
  </w:style>
  <w:style w:type="paragraph" w:customStyle="1" w:styleId="Default">
    <w:name w:val="Default"/>
    <w:qFormat/>
    <w:rsid w:val="00AE6285"/>
    <w:pPr>
      <w:widowControl w:val="0"/>
      <w:autoSpaceDE w:val="0"/>
      <w:autoSpaceDN w:val="0"/>
      <w:adjustRightInd w:val="0"/>
    </w:pPr>
    <w:rPr>
      <w:rFonts w:ascii="宋体" w:hAnsiTheme="minorHAnsi" w:cs="宋体"/>
      <w:color w:val="000000"/>
      <w:sz w:val="24"/>
      <w:szCs w:val="24"/>
    </w:rPr>
  </w:style>
  <w:style w:type="character" w:customStyle="1" w:styleId="Char1">
    <w:name w:val="批注框文本 Char"/>
    <w:basedOn w:val="a0"/>
    <w:link w:val="a5"/>
    <w:uiPriority w:val="99"/>
    <w:semiHidden/>
    <w:qFormat/>
    <w:rsid w:val="00AE6285"/>
    <w:rPr>
      <w:rFonts w:ascii="Calibri" w:eastAsia="宋体" w:hAnsi="Calibri" w:cs="Times New Roman"/>
      <w:sz w:val="18"/>
      <w:szCs w:val="18"/>
    </w:rPr>
  </w:style>
  <w:style w:type="character" w:customStyle="1" w:styleId="Char">
    <w:name w:val="批注文字 Char"/>
    <w:basedOn w:val="a0"/>
    <w:link w:val="a3"/>
    <w:uiPriority w:val="99"/>
    <w:semiHidden/>
    <w:qFormat/>
    <w:rsid w:val="00AE6285"/>
    <w:rPr>
      <w:rFonts w:ascii="Calibri" w:eastAsia="宋体" w:hAnsi="Calibri" w:cs="Times New Roman"/>
    </w:rPr>
  </w:style>
  <w:style w:type="character" w:customStyle="1" w:styleId="Char4">
    <w:name w:val="批注主题 Char"/>
    <w:basedOn w:val="Char"/>
    <w:link w:val="a9"/>
    <w:uiPriority w:val="99"/>
    <w:semiHidden/>
    <w:qFormat/>
    <w:rsid w:val="00AE6285"/>
    <w:rPr>
      <w:rFonts w:ascii="Calibri" w:eastAsia="宋体" w:hAnsi="Calibri" w:cs="Times New Roman"/>
      <w:b/>
      <w:bCs/>
    </w:rPr>
  </w:style>
  <w:style w:type="character" w:customStyle="1" w:styleId="Char0">
    <w:name w:val="日期 Char"/>
    <w:basedOn w:val="a0"/>
    <w:link w:val="a4"/>
    <w:uiPriority w:val="99"/>
    <w:semiHidden/>
    <w:qFormat/>
    <w:rsid w:val="00AE6285"/>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Words>
  <Characters>810</Characters>
  <Application>Microsoft Office Word</Application>
  <DocSecurity>4</DocSecurity>
  <Lines>6</Lines>
  <Paragraphs>1</Paragraphs>
  <ScaleCrop>false</ScaleCrop>
  <Company>CNSTOCK</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dc:creator>
  <cp:lastModifiedBy>ZHONGM</cp:lastModifiedBy>
  <cp:revision>2</cp:revision>
  <cp:lastPrinted>2019-06-25T09:42:00Z</cp:lastPrinted>
  <dcterms:created xsi:type="dcterms:W3CDTF">2025-12-09T16:02:00Z</dcterms:created>
  <dcterms:modified xsi:type="dcterms:W3CDTF">2025-12-09T16:02:00Z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D3832B910AEE456A897365754607BA9A_13</vt:lpwstr>
  </property>
  <property fmtid="{D5CDD505-2E9C-101B-9397-08002B2CF9AE}" pid="4" name="KSOTemplateDocerSaveRecord">
    <vt:lpwstr>eyJoZGlkIjoiMGYwMmQ4M2FiODI0MjdjNWZmNGVhMDEzNWY4ZTBhZDgiLCJ1c2VySWQiOiI4NDY0Mjk2MDQifQ==</vt:lpwstr>
  </property>
</Properties>
</file>