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0A" w:rsidRDefault="00E77913" w:rsidP="00D05E55">
      <w:pPr>
        <w:spacing w:line="360" w:lineRule="auto"/>
        <w:jc w:val="center"/>
        <w:rPr>
          <w:b/>
          <w:sz w:val="24"/>
        </w:rPr>
      </w:pPr>
      <w:bookmarkStart w:id="0" w:name="_GoBack"/>
      <w:bookmarkEnd w:id="0"/>
      <w:r w:rsidRPr="00206F5E">
        <w:rPr>
          <w:b/>
          <w:sz w:val="24"/>
        </w:rPr>
        <w:t>华夏基金管理有限公司</w:t>
      </w:r>
      <w:r w:rsidR="00E25146" w:rsidRPr="00206F5E">
        <w:rPr>
          <w:b/>
          <w:sz w:val="24"/>
        </w:rPr>
        <w:t>关于</w:t>
      </w:r>
      <w:r w:rsidR="00FE43E3">
        <w:rPr>
          <w:rFonts w:hint="eastAsia"/>
          <w:b/>
          <w:sz w:val="24"/>
        </w:rPr>
        <w:t>调整</w:t>
      </w:r>
      <w:r w:rsidR="005D2243">
        <w:rPr>
          <w:rFonts w:hint="eastAsia"/>
          <w:b/>
          <w:sz w:val="24"/>
        </w:rPr>
        <w:t>旗下</w:t>
      </w:r>
      <w:r w:rsidR="00926DBB">
        <w:rPr>
          <w:rFonts w:hint="eastAsia"/>
          <w:b/>
          <w:sz w:val="24"/>
        </w:rPr>
        <w:t>部分</w:t>
      </w:r>
      <w:r w:rsidR="00926DBB" w:rsidRPr="0091265D">
        <w:rPr>
          <w:rFonts w:hint="eastAsia"/>
          <w:b/>
          <w:sz w:val="24"/>
        </w:rPr>
        <w:t>交易型开放式指数证券投资基金</w:t>
      </w:r>
      <w:r w:rsidR="00080B9B" w:rsidRPr="00206F5E">
        <w:rPr>
          <w:b/>
          <w:sz w:val="24"/>
        </w:rPr>
        <w:t>申购赎回</w:t>
      </w:r>
    </w:p>
    <w:p w:rsidR="00E25146" w:rsidRPr="00206F5E" w:rsidRDefault="00080B9B" w:rsidP="00D05E55">
      <w:pPr>
        <w:spacing w:line="360" w:lineRule="auto"/>
        <w:jc w:val="center"/>
        <w:rPr>
          <w:b/>
          <w:sz w:val="24"/>
        </w:rPr>
      </w:pPr>
      <w:r w:rsidRPr="00206F5E">
        <w:rPr>
          <w:b/>
          <w:sz w:val="24"/>
        </w:rPr>
        <w:t>现金替代</w:t>
      </w:r>
      <w:r w:rsidR="006E766A">
        <w:rPr>
          <w:rFonts w:hint="eastAsia"/>
          <w:b/>
          <w:sz w:val="24"/>
        </w:rPr>
        <w:t>相关内容</w:t>
      </w:r>
      <w:r w:rsidRPr="00206F5E">
        <w:rPr>
          <w:b/>
          <w:sz w:val="24"/>
        </w:rPr>
        <w:t>并修订招募说明书</w:t>
      </w:r>
      <w:r w:rsidR="00F21BF8" w:rsidRPr="00206F5E">
        <w:rPr>
          <w:b/>
          <w:sz w:val="24"/>
        </w:rPr>
        <w:t>的公告</w:t>
      </w:r>
    </w:p>
    <w:p w:rsidR="00F21BF8" w:rsidRPr="00206F5E" w:rsidRDefault="00F21BF8" w:rsidP="00D05E55">
      <w:pPr>
        <w:spacing w:line="360" w:lineRule="auto"/>
        <w:jc w:val="center"/>
        <w:rPr>
          <w:b/>
          <w:sz w:val="24"/>
        </w:rPr>
      </w:pPr>
    </w:p>
    <w:p w:rsidR="007D243B" w:rsidRPr="00206F5E" w:rsidRDefault="00F56401" w:rsidP="00D05E55">
      <w:pPr>
        <w:autoSpaceDE w:val="0"/>
        <w:autoSpaceDN w:val="0"/>
        <w:adjustRightInd w:val="0"/>
        <w:spacing w:line="360" w:lineRule="auto"/>
        <w:ind w:firstLineChars="200" w:firstLine="480"/>
        <w:jc w:val="left"/>
        <w:rPr>
          <w:sz w:val="24"/>
        </w:rPr>
      </w:pPr>
      <w:r>
        <w:rPr>
          <w:rFonts w:hint="eastAsia"/>
          <w:sz w:val="24"/>
        </w:rPr>
        <w:t>根据</w:t>
      </w:r>
      <w:r w:rsidR="00F915AF">
        <w:rPr>
          <w:rFonts w:hint="eastAsia"/>
          <w:sz w:val="24"/>
        </w:rPr>
        <w:t>相关</w:t>
      </w:r>
      <w:r w:rsidR="00F915AF" w:rsidRPr="0091265D">
        <w:rPr>
          <w:rFonts w:hint="eastAsia"/>
          <w:sz w:val="24"/>
        </w:rPr>
        <w:t>交易型开放式指数证券投资基金</w:t>
      </w:r>
      <w:r w:rsidR="0070030E">
        <w:rPr>
          <w:rFonts w:hint="eastAsia"/>
          <w:sz w:val="24"/>
        </w:rPr>
        <w:t>（以下简称“</w:t>
      </w:r>
      <w:r w:rsidR="0070030E">
        <w:rPr>
          <w:rFonts w:hint="eastAsia"/>
          <w:sz w:val="24"/>
        </w:rPr>
        <w:t>E</w:t>
      </w:r>
      <w:r w:rsidR="0070030E">
        <w:rPr>
          <w:sz w:val="24"/>
        </w:rPr>
        <w:t>TF</w:t>
      </w:r>
      <w:r w:rsidR="0070030E">
        <w:rPr>
          <w:rFonts w:hint="eastAsia"/>
          <w:sz w:val="24"/>
        </w:rPr>
        <w:t>”）</w:t>
      </w:r>
      <w:r w:rsidRPr="00AB4053">
        <w:rPr>
          <w:rFonts w:hint="eastAsia"/>
          <w:sz w:val="24"/>
        </w:rPr>
        <w:t>标的指数成份股的定期调整情况，</w:t>
      </w:r>
      <w:r w:rsidR="00F02263" w:rsidRPr="00206F5E">
        <w:rPr>
          <w:sz w:val="24"/>
        </w:rPr>
        <w:t>为更好地满足投资者的投资需求，</w:t>
      </w:r>
      <w:r>
        <w:rPr>
          <w:rFonts w:hint="eastAsia"/>
          <w:sz w:val="24"/>
        </w:rPr>
        <w:t>维护基金份额持有人利益，</w:t>
      </w:r>
      <w:r w:rsidR="006547E5" w:rsidRPr="00206F5E">
        <w:rPr>
          <w:sz w:val="24"/>
        </w:rPr>
        <w:t>华夏基金管理有限公司（以下简称</w:t>
      </w:r>
      <w:r w:rsidR="006547E5" w:rsidRPr="000C3933">
        <w:rPr>
          <w:rFonts w:ascii="宋体" w:hAnsi="宋体"/>
          <w:sz w:val="24"/>
        </w:rPr>
        <w:t>“</w:t>
      </w:r>
      <w:r w:rsidR="000B1773" w:rsidRPr="000C3933">
        <w:rPr>
          <w:rFonts w:ascii="宋体" w:hAnsi="宋体"/>
          <w:sz w:val="24"/>
        </w:rPr>
        <w:t>本</w:t>
      </w:r>
      <w:r w:rsidR="006547E5" w:rsidRPr="000C3933">
        <w:rPr>
          <w:rFonts w:ascii="宋体" w:hAnsi="宋体"/>
          <w:sz w:val="24"/>
        </w:rPr>
        <w:t>基金管理人”</w:t>
      </w:r>
      <w:r w:rsidR="006547E5" w:rsidRPr="00206F5E">
        <w:rPr>
          <w:sz w:val="24"/>
        </w:rPr>
        <w:t>）决定</w:t>
      </w:r>
      <w:r w:rsidR="0022696F" w:rsidRPr="00206F5E">
        <w:rPr>
          <w:sz w:val="24"/>
        </w:rPr>
        <w:t>对</w:t>
      </w:r>
      <w:r w:rsidR="00A43861">
        <w:rPr>
          <w:rFonts w:hint="eastAsia"/>
          <w:sz w:val="24"/>
        </w:rPr>
        <w:t>旗下</w:t>
      </w:r>
      <w:r w:rsidR="00B415B2">
        <w:rPr>
          <w:sz w:val="24"/>
        </w:rPr>
        <w:t>2</w:t>
      </w:r>
      <w:r w:rsidR="00A43861">
        <w:rPr>
          <w:rFonts w:hint="eastAsia"/>
          <w:sz w:val="24"/>
        </w:rPr>
        <w:t>只</w:t>
      </w:r>
      <w:r w:rsidR="004E368D">
        <w:rPr>
          <w:rFonts w:hint="eastAsia"/>
          <w:sz w:val="24"/>
        </w:rPr>
        <w:t>E</w:t>
      </w:r>
      <w:r w:rsidR="004E368D">
        <w:rPr>
          <w:sz w:val="24"/>
        </w:rPr>
        <w:t>TF</w:t>
      </w:r>
      <w:r w:rsidR="005D2243">
        <w:rPr>
          <w:rFonts w:hint="eastAsia"/>
          <w:sz w:val="24"/>
        </w:rPr>
        <w:t>招募说明书</w:t>
      </w:r>
      <w:r w:rsidR="00AB4053">
        <w:rPr>
          <w:rFonts w:hint="eastAsia"/>
          <w:sz w:val="24"/>
        </w:rPr>
        <w:t>（更新）</w:t>
      </w:r>
      <w:r w:rsidR="005D2243">
        <w:rPr>
          <w:rFonts w:hint="eastAsia"/>
          <w:sz w:val="24"/>
        </w:rPr>
        <w:t>中涉及申购赎回现金替代的</w:t>
      </w:r>
      <w:r w:rsidR="006E766A">
        <w:rPr>
          <w:rFonts w:hint="eastAsia"/>
          <w:sz w:val="24"/>
        </w:rPr>
        <w:t>相关</w:t>
      </w:r>
      <w:r w:rsidR="005D2243">
        <w:rPr>
          <w:rFonts w:hint="eastAsia"/>
          <w:sz w:val="24"/>
        </w:rPr>
        <w:t>内容进行修订</w:t>
      </w:r>
      <w:r w:rsidR="00E74FAC" w:rsidRPr="00206F5E">
        <w:rPr>
          <w:sz w:val="24"/>
        </w:rPr>
        <w:t>，并</w:t>
      </w:r>
      <w:r w:rsidR="005D2243">
        <w:rPr>
          <w:rFonts w:hint="eastAsia"/>
          <w:sz w:val="24"/>
        </w:rPr>
        <w:t>补充</w:t>
      </w:r>
      <w:r w:rsidR="005D2243" w:rsidRPr="006E766A">
        <w:rPr>
          <w:rFonts w:hint="eastAsia"/>
          <w:sz w:val="24"/>
        </w:rPr>
        <w:t>标的指数成份股调整后基金投资北京证券交易所股票的投资风险</w:t>
      </w:r>
      <w:r w:rsidR="003F003E">
        <w:rPr>
          <w:rFonts w:hint="eastAsia"/>
          <w:sz w:val="24"/>
        </w:rPr>
        <w:t>揭示</w:t>
      </w:r>
      <w:r w:rsidR="00015F75">
        <w:rPr>
          <w:rFonts w:hint="eastAsia"/>
          <w:sz w:val="24"/>
        </w:rPr>
        <w:t>，上述</w:t>
      </w:r>
      <w:r w:rsidR="00015F75" w:rsidRPr="00206F5E">
        <w:rPr>
          <w:sz w:val="24"/>
        </w:rPr>
        <w:t>修订内容</w:t>
      </w:r>
      <w:r w:rsidR="006F42D7">
        <w:rPr>
          <w:rFonts w:hint="eastAsia"/>
          <w:sz w:val="24"/>
        </w:rPr>
        <w:t>自</w:t>
      </w:r>
      <w:r w:rsidR="00B415B2">
        <w:rPr>
          <w:sz w:val="24"/>
        </w:rPr>
        <w:t>2025</w:t>
      </w:r>
      <w:r w:rsidR="00B415B2" w:rsidRPr="00206F5E">
        <w:rPr>
          <w:sz w:val="24"/>
        </w:rPr>
        <w:t>年</w:t>
      </w:r>
      <w:r w:rsidR="00B415B2">
        <w:rPr>
          <w:sz w:val="24"/>
        </w:rPr>
        <w:t>12</w:t>
      </w:r>
      <w:r w:rsidR="00A43861" w:rsidRPr="00206F5E">
        <w:rPr>
          <w:sz w:val="24"/>
        </w:rPr>
        <w:t>月</w:t>
      </w:r>
      <w:r w:rsidR="003C00F3">
        <w:rPr>
          <w:sz w:val="24"/>
        </w:rPr>
        <w:t>11</w:t>
      </w:r>
      <w:r w:rsidR="00A43861" w:rsidRPr="00206F5E">
        <w:rPr>
          <w:sz w:val="24"/>
        </w:rPr>
        <w:t>日</w:t>
      </w:r>
      <w:r w:rsidR="00015F75">
        <w:rPr>
          <w:rFonts w:hint="eastAsia"/>
          <w:sz w:val="24"/>
        </w:rPr>
        <w:t>起</w:t>
      </w:r>
      <w:r w:rsidR="00015F75" w:rsidRPr="00206F5E">
        <w:rPr>
          <w:sz w:val="24"/>
        </w:rPr>
        <w:t>生效</w:t>
      </w:r>
      <w:r w:rsidR="00E74FAC" w:rsidRPr="00206F5E">
        <w:rPr>
          <w:sz w:val="24"/>
        </w:rPr>
        <w:t>。</w:t>
      </w:r>
      <w:r w:rsidR="003D75CC" w:rsidRPr="00206F5E">
        <w:rPr>
          <w:sz w:val="24"/>
        </w:rPr>
        <w:t>现将</w:t>
      </w:r>
      <w:r w:rsidR="001A21FB" w:rsidRPr="00206F5E">
        <w:rPr>
          <w:sz w:val="24"/>
        </w:rPr>
        <w:t>具体情况</w:t>
      </w:r>
      <w:r w:rsidR="003D75CC" w:rsidRPr="00206F5E">
        <w:rPr>
          <w:sz w:val="24"/>
        </w:rPr>
        <w:t>公告</w:t>
      </w:r>
      <w:r w:rsidR="001A21FB" w:rsidRPr="00206F5E">
        <w:rPr>
          <w:sz w:val="24"/>
        </w:rPr>
        <w:t>如下</w:t>
      </w:r>
      <w:r w:rsidR="007D243B" w:rsidRPr="00206F5E">
        <w:rPr>
          <w:sz w:val="24"/>
        </w:rPr>
        <w:t>：</w:t>
      </w:r>
    </w:p>
    <w:p w:rsidR="005D2243" w:rsidRDefault="004C24C1" w:rsidP="00D05E55">
      <w:pPr>
        <w:spacing w:line="360" w:lineRule="auto"/>
        <w:ind w:firstLineChars="200" w:firstLine="480"/>
        <w:rPr>
          <w:sz w:val="24"/>
        </w:rPr>
      </w:pPr>
      <w:r w:rsidRPr="00206F5E">
        <w:rPr>
          <w:sz w:val="24"/>
        </w:rPr>
        <w:t>一、</w:t>
      </w:r>
      <w:r w:rsidR="005D2243">
        <w:rPr>
          <w:rFonts w:hint="eastAsia"/>
          <w:sz w:val="24"/>
        </w:rPr>
        <w:t>涉及基金</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3301"/>
        <w:gridCol w:w="2220"/>
        <w:gridCol w:w="1182"/>
        <w:gridCol w:w="2381"/>
      </w:tblGrid>
      <w:tr w:rsidR="0095433A" w:rsidRPr="006F66C5" w:rsidTr="001C4679">
        <w:tc>
          <w:tcPr>
            <w:tcW w:w="698" w:type="dxa"/>
            <w:shd w:val="clear" w:color="auto" w:fill="auto"/>
          </w:tcPr>
          <w:p w:rsidR="0095433A" w:rsidRPr="006F66C5" w:rsidRDefault="0095433A" w:rsidP="00D05E55">
            <w:pPr>
              <w:spacing w:line="360" w:lineRule="auto"/>
              <w:jc w:val="center"/>
              <w:rPr>
                <w:bCs/>
                <w:szCs w:val="21"/>
              </w:rPr>
            </w:pPr>
            <w:r w:rsidRPr="00883FF3">
              <w:rPr>
                <w:rFonts w:hint="eastAsia"/>
                <w:bCs/>
                <w:szCs w:val="21"/>
              </w:rPr>
              <w:t>序号</w:t>
            </w:r>
          </w:p>
        </w:tc>
        <w:tc>
          <w:tcPr>
            <w:tcW w:w="3301" w:type="dxa"/>
            <w:shd w:val="clear" w:color="auto" w:fill="auto"/>
          </w:tcPr>
          <w:p w:rsidR="0095433A" w:rsidRPr="006F66C5" w:rsidRDefault="0095433A" w:rsidP="00D05E55">
            <w:pPr>
              <w:spacing w:line="360" w:lineRule="auto"/>
              <w:jc w:val="center"/>
              <w:rPr>
                <w:rFonts w:cs="Cordia New"/>
                <w:bCs/>
                <w:szCs w:val="21"/>
              </w:rPr>
            </w:pPr>
            <w:r w:rsidRPr="006F66C5">
              <w:rPr>
                <w:rFonts w:hint="eastAsia"/>
                <w:bCs/>
                <w:szCs w:val="21"/>
              </w:rPr>
              <w:t>基金名称</w:t>
            </w:r>
          </w:p>
        </w:tc>
        <w:tc>
          <w:tcPr>
            <w:tcW w:w="2220" w:type="dxa"/>
            <w:shd w:val="clear" w:color="auto" w:fill="auto"/>
          </w:tcPr>
          <w:p w:rsidR="0095433A" w:rsidRPr="006F66C5" w:rsidRDefault="00DB3EAB" w:rsidP="00D05E55">
            <w:pPr>
              <w:spacing w:line="360" w:lineRule="auto"/>
              <w:jc w:val="center"/>
              <w:rPr>
                <w:rFonts w:cs="Cordia New"/>
                <w:bCs/>
                <w:szCs w:val="21"/>
              </w:rPr>
            </w:pPr>
            <w:r w:rsidRPr="006F66C5">
              <w:rPr>
                <w:rFonts w:cs="Cordia New" w:hint="eastAsia"/>
                <w:bCs/>
                <w:szCs w:val="21"/>
              </w:rPr>
              <w:t>基金简称</w:t>
            </w:r>
          </w:p>
        </w:tc>
        <w:tc>
          <w:tcPr>
            <w:tcW w:w="1182" w:type="dxa"/>
            <w:shd w:val="clear" w:color="auto" w:fill="auto"/>
          </w:tcPr>
          <w:p w:rsidR="0095433A" w:rsidRPr="006F66C5" w:rsidRDefault="0095433A" w:rsidP="00D05E55">
            <w:pPr>
              <w:spacing w:line="360" w:lineRule="auto"/>
              <w:jc w:val="center"/>
              <w:rPr>
                <w:bCs/>
                <w:szCs w:val="21"/>
              </w:rPr>
            </w:pPr>
            <w:r w:rsidRPr="006F66C5">
              <w:rPr>
                <w:rFonts w:hint="eastAsia"/>
                <w:bCs/>
                <w:szCs w:val="21"/>
              </w:rPr>
              <w:t>基金代码</w:t>
            </w:r>
          </w:p>
        </w:tc>
        <w:tc>
          <w:tcPr>
            <w:tcW w:w="2381" w:type="dxa"/>
            <w:shd w:val="clear" w:color="auto" w:fill="auto"/>
          </w:tcPr>
          <w:p w:rsidR="0095433A" w:rsidRPr="006F66C5" w:rsidRDefault="00DB3EAB" w:rsidP="00D05E55">
            <w:pPr>
              <w:spacing w:line="360" w:lineRule="auto"/>
              <w:jc w:val="center"/>
              <w:rPr>
                <w:bCs/>
                <w:szCs w:val="21"/>
              </w:rPr>
            </w:pPr>
            <w:r w:rsidRPr="006F66C5">
              <w:rPr>
                <w:rFonts w:hint="eastAsia"/>
                <w:bCs/>
                <w:szCs w:val="21"/>
              </w:rPr>
              <w:t>场内</w:t>
            </w:r>
            <w:r w:rsidR="0095433A" w:rsidRPr="006F66C5">
              <w:rPr>
                <w:rFonts w:hint="eastAsia"/>
                <w:bCs/>
                <w:szCs w:val="21"/>
              </w:rPr>
              <w:t>简称</w:t>
            </w:r>
          </w:p>
        </w:tc>
      </w:tr>
      <w:tr w:rsidR="00F02263" w:rsidRPr="006F66C5" w:rsidTr="001C4679">
        <w:tc>
          <w:tcPr>
            <w:tcW w:w="698" w:type="dxa"/>
            <w:shd w:val="clear" w:color="auto" w:fill="auto"/>
            <w:vAlign w:val="center"/>
          </w:tcPr>
          <w:p w:rsidR="00F02263" w:rsidRPr="006F66C5" w:rsidRDefault="00F02263" w:rsidP="00D05E55">
            <w:pPr>
              <w:spacing w:line="360" w:lineRule="auto"/>
              <w:jc w:val="center"/>
              <w:rPr>
                <w:bCs/>
                <w:szCs w:val="21"/>
              </w:rPr>
            </w:pPr>
            <w:r w:rsidRPr="006F66C5">
              <w:rPr>
                <w:bCs/>
                <w:szCs w:val="21"/>
              </w:rPr>
              <w:t>1</w:t>
            </w:r>
          </w:p>
        </w:tc>
        <w:tc>
          <w:tcPr>
            <w:tcW w:w="3301" w:type="dxa"/>
            <w:shd w:val="clear" w:color="auto" w:fill="auto"/>
            <w:vAlign w:val="center"/>
          </w:tcPr>
          <w:p w:rsidR="00F02263" w:rsidRPr="006F66C5" w:rsidRDefault="003C00F3" w:rsidP="00D05E55">
            <w:pPr>
              <w:spacing w:line="360" w:lineRule="auto"/>
              <w:jc w:val="left"/>
              <w:rPr>
                <w:bCs/>
                <w:szCs w:val="21"/>
              </w:rPr>
            </w:pPr>
            <w:r w:rsidRPr="003C00F3">
              <w:rPr>
                <w:rFonts w:hint="eastAsia"/>
                <w:bCs/>
                <w:szCs w:val="21"/>
              </w:rPr>
              <w:t>华夏中证机器人交易型开放式指数证券投资基金</w:t>
            </w:r>
          </w:p>
        </w:tc>
        <w:tc>
          <w:tcPr>
            <w:tcW w:w="2220" w:type="dxa"/>
            <w:shd w:val="clear" w:color="auto" w:fill="auto"/>
            <w:vAlign w:val="center"/>
          </w:tcPr>
          <w:p w:rsidR="00F02263" w:rsidRPr="006F66C5" w:rsidRDefault="003C00F3" w:rsidP="00D05E55">
            <w:pPr>
              <w:spacing w:line="360" w:lineRule="auto"/>
              <w:jc w:val="left"/>
              <w:rPr>
                <w:bCs/>
                <w:szCs w:val="21"/>
              </w:rPr>
            </w:pPr>
            <w:r w:rsidRPr="003C00F3">
              <w:rPr>
                <w:rFonts w:hint="eastAsia"/>
                <w:bCs/>
                <w:szCs w:val="21"/>
              </w:rPr>
              <w:t>华夏中证机器人</w:t>
            </w:r>
            <w:r w:rsidRPr="003C00F3">
              <w:rPr>
                <w:rFonts w:hint="eastAsia"/>
                <w:bCs/>
                <w:szCs w:val="21"/>
              </w:rPr>
              <w:t>ETF</w:t>
            </w:r>
          </w:p>
        </w:tc>
        <w:tc>
          <w:tcPr>
            <w:tcW w:w="1182" w:type="dxa"/>
            <w:shd w:val="clear" w:color="auto" w:fill="auto"/>
            <w:vAlign w:val="center"/>
          </w:tcPr>
          <w:p w:rsidR="00F02263" w:rsidRPr="006F66C5" w:rsidRDefault="003C00F3" w:rsidP="00D05E55">
            <w:pPr>
              <w:spacing w:line="360" w:lineRule="auto"/>
              <w:jc w:val="left"/>
              <w:rPr>
                <w:bCs/>
                <w:szCs w:val="21"/>
              </w:rPr>
            </w:pPr>
            <w:r w:rsidRPr="003C00F3">
              <w:rPr>
                <w:bCs/>
                <w:szCs w:val="21"/>
              </w:rPr>
              <w:t>562500</w:t>
            </w:r>
          </w:p>
        </w:tc>
        <w:tc>
          <w:tcPr>
            <w:tcW w:w="2381" w:type="dxa"/>
            <w:shd w:val="clear" w:color="auto" w:fill="auto"/>
            <w:vAlign w:val="center"/>
          </w:tcPr>
          <w:p w:rsidR="00F02263" w:rsidRPr="006F66C5" w:rsidRDefault="003C00F3" w:rsidP="00D05E55">
            <w:pPr>
              <w:spacing w:line="360" w:lineRule="auto"/>
              <w:jc w:val="left"/>
              <w:rPr>
                <w:bCs/>
                <w:szCs w:val="21"/>
              </w:rPr>
            </w:pPr>
            <w:r w:rsidRPr="003C00F3">
              <w:rPr>
                <w:rFonts w:hint="eastAsia"/>
                <w:bCs/>
                <w:szCs w:val="21"/>
              </w:rPr>
              <w:t>机器人（扩位证券简称：机器人</w:t>
            </w:r>
            <w:r w:rsidRPr="003C00F3">
              <w:rPr>
                <w:rFonts w:hint="eastAsia"/>
                <w:bCs/>
                <w:szCs w:val="21"/>
              </w:rPr>
              <w:t>ETF</w:t>
            </w:r>
            <w:r w:rsidRPr="003C00F3">
              <w:rPr>
                <w:rFonts w:hint="eastAsia"/>
                <w:bCs/>
                <w:szCs w:val="21"/>
              </w:rPr>
              <w:t>）</w:t>
            </w:r>
          </w:p>
        </w:tc>
      </w:tr>
      <w:tr w:rsidR="00A43861" w:rsidRPr="006F66C5" w:rsidTr="001C4679">
        <w:tc>
          <w:tcPr>
            <w:tcW w:w="698" w:type="dxa"/>
            <w:shd w:val="clear" w:color="auto" w:fill="auto"/>
            <w:vAlign w:val="center"/>
          </w:tcPr>
          <w:p w:rsidR="00A43861" w:rsidRPr="006F66C5" w:rsidRDefault="00A43861" w:rsidP="00D05E55">
            <w:pPr>
              <w:spacing w:line="360" w:lineRule="auto"/>
              <w:jc w:val="center"/>
              <w:rPr>
                <w:bCs/>
                <w:szCs w:val="21"/>
              </w:rPr>
            </w:pPr>
            <w:r w:rsidRPr="006F66C5">
              <w:rPr>
                <w:bCs/>
                <w:szCs w:val="21"/>
              </w:rPr>
              <w:t>2</w:t>
            </w:r>
          </w:p>
        </w:tc>
        <w:tc>
          <w:tcPr>
            <w:tcW w:w="3301" w:type="dxa"/>
            <w:shd w:val="clear" w:color="auto" w:fill="auto"/>
            <w:vAlign w:val="center"/>
          </w:tcPr>
          <w:p w:rsidR="00A43861" w:rsidRPr="006F66C5" w:rsidRDefault="003C00F3" w:rsidP="00D05E55">
            <w:pPr>
              <w:spacing w:line="360" w:lineRule="auto"/>
              <w:jc w:val="left"/>
              <w:rPr>
                <w:bCs/>
                <w:szCs w:val="21"/>
              </w:rPr>
            </w:pPr>
            <w:r w:rsidRPr="003C00F3">
              <w:rPr>
                <w:rFonts w:hint="eastAsia"/>
                <w:bCs/>
                <w:szCs w:val="21"/>
              </w:rPr>
              <w:t>华夏中证全指医疗器械交易型开放式指数证券投资基金</w:t>
            </w:r>
          </w:p>
        </w:tc>
        <w:tc>
          <w:tcPr>
            <w:tcW w:w="2220" w:type="dxa"/>
            <w:shd w:val="clear" w:color="auto" w:fill="auto"/>
            <w:vAlign w:val="center"/>
          </w:tcPr>
          <w:p w:rsidR="00A43861" w:rsidRPr="006F66C5" w:rsidRDefault="003C00F3" w:rsidP="00D05E55">
            <w:pPr>
              <w:spacing w:line="360" w:lineRule="auto"/>
              <w:jc w:val="left"/>
              <w:rPr>
                <w:bCs/>
                <w:szCs w:val="21"/>
              </w:rPr>
            </w:pPr>
            <w:r w:rsidRPr="003C00F3">
              <w:rPr>
                <w:rFonts w:hint="eastAsia"/>
                <w:bCs/>
                <w:szCs w:val="21"/>
              </w:rPr>
              <w:t>华夏中证全指医疗器械</w:t>
            </w:r>
            <w:r w:rsidRPr="003C00F3">
              <w:rPr>
                <w:rFonts w:hint="eastAsia"/>
                <w:bCs/>
                <w:szCs w:val="21"/>
              </w:rPr>
              <w:t>ETF</w:t>
            </w:r>
          </w:p>
        </w:tc>
        <w:tc>
          <w:tcPr>
            <w:tcW w:w="1182" w:type="dxa"/>
            <w:shd w:val="clear" w:color="auto" w:fill="auto"/>
            <w:vAlign w:val="center"/>
          </w:tcPr>
          <w:p w:rsidR="00A43861" w:rsidRPr="006F66C5" w:rsidRDefault="003C00F3" w:rsidP="00D05E55">
            <w:pPr>
              <w:spacing w:line="360" w:lineRule="auto"/>
              <w:jc w:val="left"/>
              <w:rPr>
                <w:bCs/>
                <w:szCs w:val="21"/>
              </w:rPr>
            </w:pPr>
            <w:r w:rsidRPr="003C00F3">
              <w:rPr>
                <w:bCs/>
                <w:szCs w:val="21"/>
              </w:rPr>
              <w:t>562600</w:t>
            </w:r>
          </w:p>
        </w:tc>
        <w:tc>
          <w:tcPr>
            <w:tcW w:w="2381" w:type="dxa"/>
            <w:shd w:val="clear" w:color="auto" w:fill="auto"/>
            <w:vAlign w:val="center"/>
          </w:tcPr>
          <w:p w:rsidR="00A43861" w:rsidRPr="006F66C5" w:rsidRDefault="003C00F3" w:rsidP="00D05E55">
            <w:pPr>
              <w:spacing w:line="360" w:lineRule="auto"/>
              <w:jc w:val="left"/>
              <w:rPr>
                <w:bCs/>
                <w:szCs w:val="21"/>
              </w:rPr>
            </w:pPr>
            <w:r w:rsidRPr="003C00F3">
              <w:rPr>
                <w:rFonts w:hint="eastAsia"/>
                <w:bCs/>
                <w:szCs w:val="21"/>
              </w:rPr>
              <w:t>医疗器械（扩位简称：医疗器械</w:t>
            </w:r>
            <w:r w:rsidRPr="003C00F3">
              <w:rPr>
                <w:rFonts w:hint="eastAsia"/>
                <w:bCs/>
                <w:szCs w:val="21"/>
              </w:rPr>
              <w:t>ETF</w:t>
            </w:r>
            <w:r w:rsidRPr="003C00F3">
              <w:rPr>
                <w:rFonts w:hint="eastAsia"/>
                <w:bCs/>
                <w:szCs w:val="21"/>
              </w:rPr>
              <w:t>）</w:t>
            </w:r>
          </w:p>
        </w:tc>
      </w:tr>
    </w:tbl>
    <w:p w:rsidR="00E74FAC" w:rsidRDefault="0095433A" w:rsidP="00D05E55">
      <w:pPr>
        <w:spacing w:line="360" w:lineRule="auto"/>
        <w:ind w:firstLineChars="200" w:firstLine="480"/>
        <w:rPr>
          <w:sz w:val="24"/>
        </w:rPr>
      </w:pPr>
      <w:r>
        <w:rPr>
          <w:rFonts w:hint="eastAsia"/>
          <w:sz w:val="24"/>
        </w:rPr>
        <w:t>二、</w:t>
      </w:r>
      <w:r w:rsidR="000D4E23">
        <w:rPr>
          <w:rFonts w:hint="eastAsia"/>
          <w:sz w:val="24"/>
        </w:rPr>
        <w:t>招募说明书</w:t>
      </w:r>
      <w:r w:rsidR="00C338A6">
        <w:rPr>
          <w:rFonts w:hint="eastAsia"/>
          <w:sz w:val="24"/>
        </w:rPr>
        <w:t>（更新）</w:t>
      </w:r>
      <w:r w:rsidR="00EB6B50">
        <w:rPr>
          <w:rFonts w:hint="eastAsia"/>
          <w:sz w:val="24"/>
        </w:rPr>
        <w:t>修订</w:t>
      </w:r>
    </w:p>
    <w:p w:rsidR="0070030E" w:rsidRDefault="0070030E" w:rsidP="00D05E55">
      <w:pPr>
        <w:spacing w:line="360" w:lineRule="auto"/>
        <w:ind w:firstLineChars="200" w:firstLine="480"/>
        <w:rPr>
          <w:sz w:val="24"/>
        </w:rPr>
      </w:pPr>
      <w:r>
        <w:rPr>
          <w:rFonts w:hint="eastAsia"/>
          <w:sz w:val="24"/>
        </w:rPr>
        <w:t>本次招募说明书</w:t>
      </w:r>
      <w:r w:rsidR="00D762B7">
        <w:rPr>
          <w:rFonts w:hint="eastAsia"/>
          <w:sz w:val="24"/>
        </w:rPr>
        <w:t>（更新）</w:t>
      </w:r>
      <w:r>
        <w:rPr>
          <w:rFonts w:hint="eastAsia"/>
          <w:sz w:val="24"/>
        </w:rPr>
        <w:t>修订的主要内容包括：</w:t>
      </w:r>
    </w:p>
    <w:p w:rsidR="00A356A3" w:rsidRDefault="0070030E" w:rsidP="00D05E55">
      <w:pPr>
        <w:spacing w:line="360" w:lineRule="auto"/>
        <w:ind w:firstLineChars="200" w:firstLine="480"/>
        <w:rPr>
          <w:sz w:val="24"/>
        </w:rPr>
      </w:pPr>
      <w:r>
        <w:rPr>
          <w:rFonts w:hint="eastAsia"/>
          <w:sz w:val="24"/>
        </w:rPr>
        <w:t>（一）</w:t>
      </w:r>
      <w:r w:rsidR="00126A43">
        <w:rPr>
          <w:rFonts w:hint="eastAsia"/>
          <w:sz w:val="24"/>
        </w:rPr>
        <w:t>对</w:t>
      </w:r>
      <w:r w:rsidR="00C05D98">
        <w:rPr>
          <w:rFonts w:hint="eastAsia"/>
          <w:sz w:val="24"/>
        </w:rPr>
        <w:t>“基金份额的申购与赎回”章节“</w:t>
      </w:r>
      <w:r w:rsidR="00703820" w:rsidRPr="006430ED">
        <w:rPr>
          <w:rFonts w:hint="eastAsia"/>
          <w:sz w:val="24"/>
        </w:rPr>
        <w:t>申购赎回清单的内容与格式</w:t>
      </w:r>
      <w:r w:rsidR="00126A43">
        <w:rPr>
          <w:rFonts w:hint="eastAsia"/>
          <w:sz w:val="24"/>
        </w:rPr>
        <w:t xml:space="preserve"> </w:t>
      </w:r>
      <w:r w:rsidR="00126A43" w:rsidRPr="00206FBE">
        <w:rPr>
          <w:rFonts w:hint="eastAsia"/>
          <w:sz w:val="24"/>
        </w:rPr>
        <w:t>现金替代相关内容</w:t>
      </w:r>
      <w:r w:rsidR="00C05D98">
        <w:rPr>
          <w:rFonts w:hint="eastAsia"/>
          <w:sz w:val="24"/>
        </w:rPr>
        <w:t>”的修订</w:t>
      </w:r>
    </w:p>
    <w:p w:rsidR="000A6AE3" w:rsidRDefault="00A356A3" w:rsidP="00D05E55">
      <w:pPr>
        <w:pStyle w:val="aff1"/>
        <w:spacing w:line="360" w:lineRule="auto"/>
        <w:ind w:firstLine="435"/>
        <w:rPr>
          <w:rFonts w:ascii="Times New Roman" w:hAnsi="Times New Roman"/>
          <w:sz w:val="24"/>
        </w:rPr>
      </w:pPr>
      <w:r w:rsidRPr="00823BEC">
        <w:rPr>
          <w:rFonts w:ascii="Times New Roman" w:hAnsi="Times New Roman" w:hint="eastAsia"/>
          <w:sz w:val="24"/>
        </w:rPr>
        <w:t>将“</w:t>
      </w:r>
      <w:r w:rsidR="00A80BF0">
        <w:rPr>
          <w:rFonts w:ascii="Times New Roman" w:hAnsi="Times New Roman" w:hint="eastAsia"/>
          <w:sz w:val="24"/>
        </w:rPr>
        <w:t>深市成份证券</w:t>
      </w:r>
      <w:r w:rsidRPr="00823BEC">
        <w:rPr>
          <w:rFonts w:ascii="Times New Roman" w:hAnsi="Times New Roman" w:hint="eastAsia"/>
          <w:sz w:val="24"/>
        </w:rPr>
        <w:t>”</w:t>
      </w:r>
      <w:r w:rsidR="00677B28">
        <w:rPr>
          <w:rFonts w:ascii="Times New Roman" w:hAnsi="Times New Roman" w:hint="eastAsia"/>
          <w:sz w:val="24"/>
        </w:rPr>
        <w:t>修订</w:t>
      </w:r>
      <w:r w:rsidRPr="00823BEC">
        <w:rPr>
          <w:rFonts w:ascii="Times New Roman" w:hAnsi="Times New Roman" w:hint="eastAsia"/>
          <w:sz w:val="24"/>
        </w:rPr>
        <w:t>为“</w:t>
      </w:r>
      <w:r w:rsidRPr="001F016E">
        <w:rPr>
          <w:rFonts w:ascii="Times New Roman" w:hAnsi="Times New Roman" w:hint="eastAsia"/>
          <w:b/>
          <w:sz w:val="24"/>
        </w:rPr>
        <w:t>非</w:t>
      </w:r>
      <w:r w:rsidR="00A94D59" w:rsidRPr="001F016E">
        <w:rPr>
          <w:rFonts w:ascii="Times New Roman" w:hAnsi="Times New Roman" w:hint="eastAsia"/>
          <w:b/>
          <w:sz w:val="24"/>
        </w:rPr>
        <w:t>沪市</w:t>
      </w:r>
      <w:r w:rsidR="00A80BF0" w:rsidRPr="002C45B7">
        <w:rPr>
          <w:rFonts w:ascii="Times New Roman" w:hAnsi="Times New Roman" w:hint="eastAsia"/>
          <w:b/>
          <w:sz w:val="24"/>
        </w:rPr>
        <w:t>成份证券</w:t>
      </w:r>
      <w:r w:rsidRPr="00823BEC">
        <w:rPr>
          <w:rFonts w:ascii="Times New Roman" w:hAnsi="Times New Roman" w:hint="eastAsia"/>
          <w:sz w:val="24"/>
        </w:rPr>
        <w:t>”</w:t>
      </w:r>
      <w:r w:rsidR="00A80BF0">
        <w:rPr>
          <w:rFonts w:ascii="Times New Roman" w:hAnsi="Times New Roman" w:hint="eastAsia"/>
          <w:sz w:val="24"/>
        </w:rPr>
        <w:t>，将“深交所</w:t>
      </w:r>
      <w:r w:rsidR="001F016E">
        <w:rPr>
          <w:rFonts w:ascii="Times New Roman" w:hAnsi="Times New Roman" w:hint="eastAsia"/>
          <w:sz w:val="24"/>
        </w:rPr>
        <w:t>上市的成份股</w:t>
      </w:r>
      <w:r w:rsidR="00A80BF0">
        <w:rPr>
          <w:rFonts w:ascii="Times New Roman" w:hAnsi="Times New Roman" w:hint="eastAsia"/>
          <w:sz w:val="24"/>
        </w:rPr>
        <w:t>”修订为“</w:t>
      </w:r>
      <w:r w:rsidR="00A80BF0" w:rsidRPr="001C4679">
        <w:rPr>
          <w:rFonts w:ascii="Times New Roman" w:hAnsi="Times New Roman" w:hint="eastAsia"/>
          <w:b/>
          <w:sz w:val="24"/>
        </w:rPr>
        <w:t>非上交所</w:t>
      </w:r>
      <w:r w:rsidR="001F016E">
        <w:rPr>
          <w:rFonts w:ascii="Times New Roman" w:hAnsi="Times New Roman" w:hint="eastAsia"/>
          <w:b/>
          <w:sz w:val="24"/>
        </w:rPr>
        <w:t>上市的成份股</w:t>
      </w:r>
      <w:r w:rsidR="00A80BF0">
        <w:rPr>
          <w:rFonts w:ascii="Times New Roman" w:hAnsi="Times New Roman" w:hint="eastAsia"/>
          <w:sz w:val="24"/>
        </w:rPr>
        <w:t>”</w:t>
      </w:r>
      <w:r w:rsidR="001C4679">
        <w:rPr>
          <w:rFonts w:ascii="Times New Roman" w:hAnsi="Times New Roman" w:hint="eastAsia"/>
          <w:sz w:val="24"/>
        </w:rPr>
        <w:t>，将“深圳证券交易所</w:t>
      </w:r>
      <w:r w:rsidR="004A1B66">
        <w:rPr>
          <w:rFonts w:ascii="Times New Roman" w:hAnsi="Times New Roman" w:hint="eastAsia"/>
          <w:sz w:val="24"/>
        </w:rPr>
        <w:t>或深交所</w:t>
      </w:r>
      <w:r w:rsidR="001C4679">
        <w:rPr>
          <w:rFonts w:ascii="Times New Roman" w:hAnsi="Times New Roman" w:hint="eastAsia"/>
          <w:sz w:val="24"/>
        </w:rPr>
        <w:t>”修订为“</w:t>
      </w:r>
      <w:r w:rsidR="001C4679" w:rsidRPr="007C6740">
        <w:rPr>
          <w:rFonts w:ascii="Times New Roman" w:hAnsi="Times New Roman" w:hint="eastAsia"/>
          <w:b/>
          <w:sz w:val="24"/>
        </w:rPr>
        <w:t>相关</w:t>
      </w:r>
      <w:r w:rsidR="001C4679" w:rsidRPr="002C45B7">
        <w:rPr>
          <w:rFonts w:ascii="Times New Roman" w:hAnsi="Times New Roman" w:hint="eastAsia"/>
          <w:b/>
          <w:sz w:val="24"/>
        </w:rPr>
        <w:t>证券交易所</w:t>
      </w:r>
      <w:r w:rsidR="001C4679">
        <w:rPr>
          <w:rFonts w:ascii="Times New Roman" w:hAnsi="Times New Roman" w:hint="eastAsia"/>
          <w:sz w:val="24"/>
        </w:rPr>
        <w:t>”。</w:t>
      </w:r>
    </w:p>
    <w:p w:rsidR="004A16C7" w:rsidRPr="006430ED" w:rsidRDefault="004A16C7" w:rsidP="00D05E55">
      <w:pPr>
        <w:spacing w:line="360" w:lineRule="auto"/>
        <w:ind w:firstLineChars="200" w:firstLine="480"/>
        <w:rPr>
          <w:sz w:val="24"/>
        </w:rPr>
      </w:pPr>
      <w:r>
        <w:rPr>
          <w:rFonts w:hint="eastAsia"/>
          <w:sz w:val="24"/>
        </w:rPr>
        <w:t>（二）</w:t>
      </w:r>
      <w:r w:rsidR="005C7487">
        <w:rPr>
          <w:rFonts w:hint="eastAsia"/>
          <w:sz w:val="24"/>
        </w:rPr>
        <w:t>对</w:t>
      </w:r>
      <w:r>
        <w:rPr>
          <w:rFonts w:hint="eastAsia"/>
          <w:sz w:val="24"/>
        </w:rPr>
        <w:t>“风险揭示”章节</w:t>
      </w:r>
      <w:r w:rsidR="005C7487">
        <w:rPr>
          <w:rFonts w:hint="eastAsia"/>
          <w:sz w:val="24"/>
        </w:rPr>
        <w:t>的修订</w:t>
      </w:r>
    </w:p>
    <w:p w:rsidR="004A16C7" w:rsidRPr="00427BBD" w:rsidRDefault="00613D42" w:rsidP="00D05E55">
      <w:pPr>
        <w:autoSpaceDE w:val="0"/>
        <w:autoSpaceDN w:val="0"/>
        <w:adjustRightInd w:val="0"/>
        <w:spacing w:line="360" w:lineRule="auto"/>
        <w:ind w:firstLineChars="200" w:firstLine="480"/>
        <w:rPr>
          <w:sz w:val="24"/>
        </w:rPr>
      </w:pPr>
      <w:r w:rsidRPr="00427BBD">
        <w:rPr>
          <w:rFonts w:hint="eastAsia"/>
          <w:sz w:val="24"/>
        </w:rPr>
        <w:t>1</w:t>
      </w:r>
      <w:r w:rsidRPr="00427BBD">
        <w:rPr>
          <w:rFonts w:hint="eastAsia"/>
          <w:sz w:val="24"/>
        </w:rPr>
        <w:t>、增加</w:t>
      </w:r>
      <w:r w:rsidR="004A16C7" w:rsidRPr="00427BBD">
        <w:rPr>
          <w:sz w:val="24"/>
        </w:rPr>
        <w:t>北交所股票投资风险</w:t>
      </w:r>
    </w:p>
    <w:p w:rsidR="003B431D" w:rsidRPr="00024C28" w:rsidRDefault="00483C55" w:rsidP="00D05E55">
      <w:pPr>
        <w:autoSpaceDE w:val="0"/>
        <w:autoSpaceDN w:val="0"/>
        <w:adjustRightInd w:val="0"/>
        <w:spacing w:line="360" w:lineRule="auto"/>
        <w:ind w:firstLineChars="200" w:firstLine="482"/>
        <w:rPr>
          <w:b/>
          <w:sz w:val="24"/>
        </w:rPr>
      </w:pPr>
      <w:r>
        <w:rPr>
          <w:rFonts w:hint="eastAsia"/>
          <w:b/>
          <w:sz w:val="24"/>
        </w:rPr>
        <w:t>“</w:t>
      </w:r>
      <w:r w:rsidR="003B431D" w:rsidRPr="00024C28">
        <w:rPr>
          <w:rFonts w:hint="eastAsia"/>
          <w:b/>
          <w:sz w:val="24"/>
        </w:rPr>
        <w:t>本基金将投资于北交所股票，所面临的特有风险包括但不限于：</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①流动性风险</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北京证券交易所投资者门槛较高，流动性可能弱于</w:t>
      </w:r>
      <w:r w:rsidRPr="00A80BF0">
        <w:rPr>
          <w:rFonts w:hint="eastAsia"/>
          <w:b/>
          <w:sz w:val="24"/>
        </w:rPr>
        <w:t>A</w:t>
      </w:r>
      <w:r w:rsidRPr="00A80BF0">
        <w:rPr>
          <w:rFonts w:hint="eastAsia"/>
          <w:b/>
          <w:sz w:val="24"/>
        </w:rPr>
        <w:t>股其他板块，且机构投资者可能在特定阶段对北交所股票形成一致性预期，存在基金持有股票无法正常成交的风险。如果北交所成分券采用代理买卖，则可能因为流动性问题加大代理买卖风险，导致基金管理人无法遵循“时间优先、实时申报”原则进行处理，从而影响投资者的投资损益。</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lastRenderedPageBreak/>
        <w:t>②转板风险</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基金所投资北京证券交易所上市的公司在满足证券法和证监会规定的基本上市条件和符合交易所规定的具体上市条件可申请转板上市。交易所需审核并做出是否同意上市的决定。无论上市公司是否转板成功，均可能引起基金净值波动。</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③投资集中风险</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因北京证券交易所上市的公司大部分为新兴产业公司，其商业模式、盈利风险、业绩波动等特征较为相似，基金难以通过分散投资降低投资风险，若股票价格同向波动，将引起基金净值波动。</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④经营风险</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因北京证券交易所上市的公司大部分为新兴产业公司，其商业模式和盈利能力存在较高的不确定性，可能面临一定的经营风险，给基金净值带来不利影响。</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⑤退市风险</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北京证券交易所上市的公司后续经营期间如果触及相关法律法规、证监会及交易所等规定的退市情形，可能面临被终止上市的风险，从而可能给基金净值带来不利影响。</w:t>
      </w:r>
    </w:p>
    <w:p w:rsidR="00A80BF0" w:rsidRPr="00A80BF0" w:rsidRDefault="00A80BF0" w:rsidP="00A80BF0">
      <w:pPr>
        <w:autoSpaceDE w:val="0"/>
        <w:autoSpaceDN w:val="0"/>
        <w:adjustRightInd w:val="0"/>
        <w:spacing w:line="360" w:lineRule="auto"/>
        <w:ind w:firstLineChars="200" w:firstLine="482"/>
        <w:rPr>
          <w:b/>
          <w:sz w:val="24"/>
        </w:rPr>
      </w:pPr>
      <w:r w:rsidRPr="00A80BF0">
        <w:rPr>
          <w:rFonts w:hint="eastAsia"/>
          <w:b/>
          <w:sz w:val="24"/>
        </w:rPr>
        <w:t>⑥股价波动风险</w:t>
      </w:r>
    </w:p>
    <w:p w:rsidR="00A80BF0" w:rsidRDefault="00A80BF0" w:rsidP="00D05E55">
      <w:pPr>
        <w:spacing w:line="360" w:lineRule="auto"/>
        <w:ind w:firstLineChars="200" w:firstLine="482"/>
        <w:rPr>
          <w:b/>
          <w:sz w:val="24"/>
        </w:rPr>
      </w:pPr>
      <w:r w:rsidRPr="00A80BF0">
        <w:rPr>
          <w:rFonts w:hint="eastAsia"/>
          <w:b/>
          <w:sz w:val="24"/>
        </w:rPr>
        <w:t>北交所股票涨跌幅限制比例区间相对较大，存在北交所股票价格波幅较大而导致基金亏损的风险。</w:t>
      </w:r>
      <w:r>
        <w:rPr>
          <w:rFonts w:hint="eastAsia"/>
          <w:b/>
          <w:sz w:val="24"/>
        </w:rPr>
        <w:t>”</w:t>
      </w:r>
    </w:p>
    <w:p w:rsidR="007A47D3" w:rsidRPr="009F251F" w:rsidRDefault="007A47D3" w:rsidP="00D05E55">
      <w:pPr>
        <w:spacing w:line="360" w:lineRule="auto"/>
        <w:ind w:firstLineChars="200" w:firstLine="480"/>
        <w:rPr>
          <w:sz w:val="24"/>
        </w:rPr>
      </w:pPr>
      <w:r w:rsidRPr="009F251F">
        <w:rPr>
          <w:rFonts w:hint="eastAsia"/>
          <w:sz w:val="24"/>
        </w:rPr>
        <w:t>2</w:t>
      </w:r>
      <w:r w:rsidRPr="009F251F">
        <w:rPr>
          <w:rFonts w:hint="eastAsia"/>
          <w:sz w:val="24"/>
        </w:rPr>
        <w:t>、将“</w:t>
      </w:r>
      <w:r w:rsidR="00A80BF0">
        <w:rPr>
          <w:rFonts w:hint="eastAsia"/>
          <w:sz w:val="24"/>
        </w:rPr>
        <w:t>深</w:t>
      </w:r>
      <w:r w:rsidRPr="009F251F">
        <w:rPr>
          <w:rFonts w:hint="eastAsia"/>
          <w:sz w:val="24"/>
        </w:rPr>
        <w:t>市成份证券申赎处理规则带来的风险”中“</w:t>
      </w:r>
      <w:r w:rsidR="00A80BF0">
        <w:rPr>
          <w:rFonts w:hint="eastAsia"/>
          <w:sz w:val="24"/>
        </w:rPr>
        <w:t>深</w:t>
      </w:r>
      <w:r w:rsidRPr="009F251F">
        <w:rPr>
          <w:rFonts w:hint="eastAsia"/>
          <w:sz w:val="24"/>
        </w:rPr>
        <w:t>市”修订为“</w:t>
      </w:r>
      <w:r w:rsidRPr="00323521">
        <w:rPr>
          <w:rFonts w:hint="eastAsia"/>
          <w:b/>
          <w:sz w:val="24"/>
        </w:rPr>
        <w:t>非</w:t>
      </w:r>
      <w:r w:rsidR="00A80BF0">
        <w:rPr>
          <w:rFonts w:hint="eastAsia"/>
          <w:b/>
          <w:sz w:val="24"/>
        </w:rPr>
        <w:t>沪</w:t>
      </w:r>
      <w:r w:rsidRPr="00323521">
        <w:rPr>
          <w:rFonts w:hint="eastAsia"/>
          <w:b/>
          <w:sz w:val="24"/>
        </w:rPr>
        <w:t>市</w:t>
      </w:r>
      <w:r w:rsidRPr="009F251F">
        <w:rPr>
          <w:rFonts w:hint="eastAsia"/>
          <w:sz w:val="24"/>
        </w:rPr>
        <w:t>”</w:t>
      </w:r>
      <w:r w:rsidR="0069564A" w:rsidRPr="009F251F">
        <w:rPr>
          <w:rFonts w:hint="eastAsia"/>
          <w:sz w:val="24"/>
        </w:rPr>
        <w:t>。</w:t>
      </w:r>
    </w:p>
    <w:p w:rsidR="00421426" w:rsidRPr="00206F5E" w:rsidRDefault="006441CC" w:rsidP="00D05E55">
      <w:pPr>
        <w:spacing w:line="360" w:lineRule="auto"/>
        <w:ind w:firstLineChars="200" w:firstLine="480"/>
        <w:rPr>
          <w:sz w:val="24"/>
        </w:rPr>
      </w:pPr>
      <w:r>
        <w:rPr>
          <w:rFonts w:hint="eastAsia"/>
          <w:sz w:val="24"/>
        </w:rPr>
        <w:t>三</w:t>
      </w:r>
      <w:r w:rsidR="00421426" w:rsidRPr="00206F5E">
        <w:rPr>
          <w:sz w:val="24"/>
        </w:rPr>
        <w:t>、</w:t>
      </w:r>
      <w:r w:rsidRPr="00206F5E">
        <w:rPr>
          <w:sz w:val="24"/>
        </w:rPr>
        <w:t>重要提示</w:t>
      </w:r>
    </w:p>
    <w:p w:rsidR="002E2E2E" w:rsidRPr="00206F5E" w:rsidRDefault="007B42EA" w:rsidP="00D05E55">
      <w:pPr>
        <w:spacing w:line="360" w:lineRule="auto"/>
        <w:ind w:firstLineChars="200" w:firstLine="480"/>
        <w:rPr>
          <w:sz w:val="24"/>
        </w:rPr>
      </w:pPr>
      <w:r w:rsidRPr="00206F5E">
        <w:rPr>
          <w:sz w:val="24"/>
        </w:rPr>
        <w:t>本次</w:t>
      </w:r>
      <w:r w:rsidR="000012B1">
        <w:rPr>
          <w:rFonts w:hint="eastAsia"/>
          <w:sz w:val="24"/>
        </w:rPr>
        <w:t>招募说明书（更新）</w:t>
      </w:r>
      <w:r w:rsidRPr="00206F5E">
        <w:rPr>
          <w:sz w:val="24"/>
        </w:rPr>
        <w:t>修订已履行了规定的程序，符合相关法律法规及</w:t>
      </w:r>
      <w:r w:rsidR="008F07E3">
        <w:rPr>
          <w:rFonts w:hint="eastAsia"/>
          <w:sz w:val="24"/>
        </w:rPr>
        <w:t>上述</w:t>
      </w:r>
      <w:r w:rsidRPr="00206F5E">
        <w:rPr>
          <w:sz w:val="24"/>
        </w:rPr>
        <w:t>基金基金合同的规定。</w:t>
      </w:r>
      <w:r w:rsidR="008D0F03" w:rsidRPr="00206F5E">
        <w:rPr>
          <w:sz w:val="24"/>
        </w:rPr>
        <w:t>自</w:t>
      </w:r>
      <w:r w:rsidR="003C00F3" w:rsidRPr="00206F5E">
        <w:rPr>
          <w:sz w:val="24"/>
        </w:rPr>
        <w:t>202</w:t>
      </w:r>
      <w:r w:rsidR="003C00F3">
        <w:rPr>
          <w:sz w:val="24"/>
        </w:rPr>
        <w:t>5</w:t>
      </w:r>
      <w:r w:rsidR="003C00F3" w:rsidRPr="00206F5E">
        <w:rPr>
          <w:sz w:val="24"/>
        </w:rPr>
        <w:t>年</w:t>
      </w:r>
      <w:r w:rsidR="003C00F3">
        <w:rPr>
          <w:sz w:val="24"/>
        </w:rPr>
        <w:t>12</w:t>
      </w:r>
      <w:r w:rsidR="008D0F03" w:rsidRPr="00206F5E">
        <w:rPr>
          <w:sz w:val="24"/>
        </w:rPr>
        <w:t>月</w:t>
      </w:r>
      <w:r w:rsidR="003C00F3">
        <w:rPr>
          <w:sz w:val="24"/>
        </w:rPr>
        <w:t>11</w:t>
      </w:r>
      <w:r w:rsidR="008D0F03" w:rsidRPr="00206F5E">
        <w:rPr>
          <w:sz w:val="24"/>
        </w:rPr>
        <w:t>日起，</w:t>
      </w:r>
      <w:r w:rsidR="009D2241" w:rsidRPr="00206F5E">
        <w:rPr>
          <w:sz w:val="24"/>
        </w:rPr>
        <w:t>上述招募说明书（更新）修订内容生效，</w:t>
      </w:r>
      <w:r w:rsidR="00CB7B50" w:rsidRPr="00206F5E">
        <w:rPr>
          <w:sz w:val="24"/>
        </w:rPr>
        <w:t>届时投资者可登录本基金管理人网站</w:t>
      </w:r>
      <w:r w:rsidR="00CB7B50" w:rsidRPr="00206F5E">
        <w:rPr>
          <w:color w:val="000000"/>
          <w:sz w:val="24"/>
        </w:rPr>
        <w:t>（</w:t>
      </w:r>
      <w:r w:rsidR="00CB7B50" w:rsidRPr="00206F5E">
        <w:rPr>
          <w:color w:val="000000"/>
          <w:sz w:val="24"/>
        </w:rPr>
        <w:t>www.ChinaAMC.com</w:t>
      </w:r>
      <w:r w:rsidR="00CB7B50" w:rsidRPr="00206F5E">
        <w:rPr>
          <w:color w:val="000000"/>
          <w:sz w:val="24"/>
        </w:rPr>
        <w:t>）</w:t>
      </w:r>
      <w:r w:rsidR="0099607E">
        <w:rPr>
          <w:rFonts w:hint="eastAsia"/>
          <w:color w:val="000000"/>
          <w:sz w:val="24"/>
        </w:rPr>
        <w:t>和</w:t>
      </w:r>
      <w:r w:rsidR="0099607E" w:rsidRPr="00947C49">
        <w:rPr>
          <w:sz w:val="24"/>
        </w:rPr>
        <w:t>中国证监会基金电子披露网站（</w:t>
      </w:r>
      <w:hyperlink r:id="rId8" w:history="1">
        <w:r w:rsidR="0099607E" w:rsidRPr="00947C49">
          <w:rPr>
            <w:sz w:val="24"/>
          </w:rPr>
          <w:t>http://eid.csrc.gov.cn/fund</w:t>
        </w:r>
      </w:hyperlink>
      <w:r w:rsidR="0099607E" w:rsidRPr="00947C49">
        <w:rPr>
          <w:sz w:val="24"/>
        </w:rPr>
        <w:t>）</w:t>
      </w:r>
      <w:r w:rsidR="00CB7B50" w:rsidRPr="00206F5E">
        <w:rPr>
          <w:color w:val="000000"/>
          <w:sz w:val="24"/>
        </w:rPr>
        <w:t>查阅</w:t>
      </w:r>
      <w:r w:rsidR="00C91383">
        <w:rPr>
          <w:rFonts w:hint="eastAsia"/>
          <w:color w:val="000000"/>
          <w:sz w:val="24"/>
        </w:rPr>
        <w:t>上述</w:t>
      </w:r>
      <w:r w:rsidR="00CB7B50" w:rsidRPr="00206F5E">
        <w:rPr>
          <w:color w:val="000000"/>
          <w:sz w:val="24"/>
        </w:rPr>
        <w:t>基金修订后</w:t>
      </w:r>
      <w:r w:rsidR="007B6412" w:rsidRPr="00206F5E">
        <w:rPr>
          <w:color w:val="000000"/>
          <w:sz w:val="24"/>
        </w:rPr>
        <w:t>的</w:t>
      </w:r>
      <w:r w:rsidR="00CB7B50" w:rsidRPr="00206F5E">
        <w:rPr>
          <w:color w:val="000000"/>
          <w:sz w:val="24"/>
        </w:rPr>
        <w:t>招募说明书（更新）</w:t>
      </w:r>
      <w:r w:rsidR="0064157C">
        <w:rPr>
          <w:rFonts w:hint="eastAsia"/>
          <w:color w:val="000000"/>
          <w:sz w:val="24"/>
        </w:rPr>
        <w:t>及产品资料概要更新</w:t>
      </w:r>
      <w:r w:rsidR="00CB7B50" w:rsidRPr="00206F5E">
        <w:rPr>
          <w:color w:val="000000"/>
          <w:sz w:val="24"/>
        </w:rPr>
        <w:t>。</w:t>
      </w:r>
    </w:p>
    <w:p w:rsidR="00EC25B0" w:rsidRPr="00206F5E" w:rsidRDefault="00437C70" w:rsidP="00D05E55">
      <w:pPr>
        <w:autoSpaceDE w:val="0"/>
        <w:autoSpaceDN w:val="0"/>
        <w:adjustRightInd w:val="0"/>
        <w:spacing w:line="360" w:lineRule="auto"/>
        <w:ind w:firstLineChars="200" w:firstLine="480"/>
        <w:rPr>
          <w:sz w:val="24"/>
        </w:rPr>
      </w:pPr>
      <w:r w:rsidRPr="00206F5E">
        <w:rPr>
          <w:sz w:val="24"/>
        </w:rPr>
        <w:t>本公告仅对本次</w:t>
      </w:r>
      <w:r w:rsidR="00A854A7">
        <w:rPr>
          <w:rFonts w:hint="eastAsia"/>
          <w:sz w:val="24"/>
        </w:rPr>
        <w:t>因</w:t>
      </w:r>
      <w:r w:rsidR="00DC12B2">
        <w:rPr>
          <w:rFonts w:hint="eastAsia"/>
          <w:sz w:val="24"/>
        </w:rPr>
        <w:t>调整</w:t>
      </w:r>
      <w:r w:rsidR="00E367FC" w:rsidRPr="00206F5E">
        <w:rPr>
          <w:sz w:val="24"/>
        </w:rPr>
        <w:t>申购赎回</w:t>
      </w:r>
      <w:r w:rsidR="008F07E3">
        <w:rPr>
          <w:rFonts w:hint="eastAsia"/>
          <w:sz w:val="24"/>
        </w:rPr>
        <w:t>现金</w:t>
      </w:r>
      <w:r w:rsidR="00C04454" w:rsidRPr="00206F5E">
        <w:rPr>
          <w:sz w:val="24"/>
        </w:rPr>
        <w:t>替代</w:t>
      </w:r>
      <w:r w:rsidR="00907C16">
        <w:rPr>
          <w:rFonts w:hint="eastAsia"/>
          <w:sz w:val="24"/>
        </w:rPr>
        <w:t>内容</w:t>
      </w:r>
      <w:r w:rsidR="0064294D">
        <w:rPr>
          <w:rFonts w:hint="eastAsia"/>
          <w:sz w:val="24"/>
        </w:rPr>
        <w:t>修订招募说明书（更新）</w:t>
      </w:r>
      <w:r w:rsidR="00EC25B0" w:rsidRPr="00206F5E">
        <w:rPr>
          <w:sz w:val="24"/>
        </w:rPr>
        <w:t>的有关</w:t>
      </w:r>
      <w:r w:rsidRPr="00206F5E">
        <w:rPr>
          <w:sz w:val="24"/>
        </w:rPr>
        <w:t>事项</w:t>
      </w:r>
      <w:r w:rsidR="00EC25B0" w:rsidRPr="00206F5E">
        <w:rPr>
          <w:sz w:val="24"/>
        </w:rPr>
        <w:t>予以</w:t>
      </w:r>
      <w:r w:rsidRPr="00206F5E">
        <w:rPr>
          <w:sz w:val="24"/>
        </w:rPr>
        <w:t>说明，</w:t>
      </w:r>
      <w:r w:rsidR="00EC166E" w:rsidRPr="00206F5E">
        <w:rPr>
          <w:sz w:val="24"/>
        </w:rPr>
        <w:t>投资者欲了解</w:t>
      </w:r>
      <w:r w:rsidR="00C91383">
        <w:rPr>
          <w:rFonts w:hint="eastAsia"/>
          <w:sz w:val="24"/>
        </w:rPr>
        <w:t>上述</w:t>
      </w:r>
      <w:r w:rsidR="00EC166E" w:rsidRPr="00206F5E">
        <w:rPr>
          <w:sz w:val="24"/>
        </w:rPr>
        <w:t>基金的详细情况，请</w:t>
      </w:r>
      <w:r w:rsidR="00A033FD" w:rsidRPr="00206F5E">
        <w:rPr>
          <w:sz w:val="24"/>
        </w:rPr>
        <w:t>登录本基金管理人网站（</w:t>
      </w:r>
      <w:r w:rsidR="00A033FD" w:rsidRPr="00206F5E">
        <w:rPr>
          <w:sz w:val="24"/>
        </w:rPr>
        <w:t>www.ChinaAMC.com</w:t>
      </w:r>
      <w:r w:rsidR="00A033FD" w:rsidRPr="00206F5E">
        <w:rPr>
          <w:sz w:val="24"/>
        </w:rPr>
        <w:t>）</w:t>
      </w:r>
      <w:r w:rsidR="00EC166E" w:rsidRPr="00206F5E">
        <w:rPr>
          <w:sz w:val="24"/>
        </w:rPr>
        <w:t>仔细阅读</w:t>
      </w:r>
      <w:r w:rsidR="00C91383">
        <w:rPr>
          <w:rFonts w:hint="eastAsia"/>
          <w:sz w:val="24"/>
        </w:rPr>
        <w:t>上述</w:t>
      </w:r>
      <w:r w:rsidR="00EC166E" w:rsidRPr="00206F5E">
        <w:rPr>
          <w:sz w:val="24"/>
        </w:rPr>
        <w:t>基金基金合同、招募说明书</w:t>
      </w:r>
      <w:r w:rsidR="0041330F">
        <w:rPr>
          <w:rFonts w:hint="eastAsia"/>
          <w:sz w:val="24"/>
        </w:rPr>
        <w:t>、</w:t>
      </w:r>
      <w:r w:rsidR="00EC166E" w:rsidRPr="00206F5E">
        <w:rPr>
          <w:sz w:val="24"/>
        </w:rPr>
        <w:t>产品资料概要</w:t>
      </w:r>
      <w:r w:rsidR="00305649" w:rsidRPr="00206F5E">
        <w:rPr>
          <w:sz w:val="24"/>
        </w:rPr>
        <w:t>等</w:t>
      </w:r>
      <w:r w:rsidR="00EC166E" w:rsidRPr="00206F5E">
        <w:rPr>
          <w:sz w:val="24"/>
        </w:rPr>
        <w:t>法律文件</w:t>
      </w:r>
      <w:r w:rsidR="00FE24D6">
        <w:rPr>
          <w:rFonts w:hint="eastAsia"/>
          <w:sz w:val="24"/>
        </w:rPr>
        <w:t>及其更新</w:t>
      </w:r>
      <w:r w:rsidR="00EC166E" w:rsidRPr="00206F5E">
        <w:rPr>
          <w:sz w:val="24"/>
        </w:rPr>
        <w:t>。</w:t>
      </w:r>
    </w:p>
    <w:p w:rsidR="00E25146" w:rsidRPr="00206F5E" w:rsidRDefault="00407F6A" w:rsidP="00D05E55">
      <w:pPr>
        <w:pStyle w:val="0"/>
        <w:widowControl/>
        <w:spacing w:line="360" w:lineRule="auto"/>
        <w:ind w:firstLine="480"/>
        <w:rPr>
          <w:color w:val="000000"/>
          <w:sz w:val="24"/>
        </w:rPr>
      </w:pPr>
      <w:r w:rsidRPr="00206F5E">
        <w:rPr>
          <w:sz w:val="24"/>
        </w:rPr>
        <w:t>投资者</w:t>
      </w:r>
      <w:r w:rsidR="00924178" w:rsidRPr="00206F5E">
        <w:rPr>
          <w:sz w:val="24"/>
        </w:rPr>
        <w:t>如有疑问，</w:t>
      </w:r>
      <w:r w:rsidR="00924178" w:rsidRPr="00206F5E">
        <w:rPr>
          <w:color w:val="000000"/>
          <w:sz w:val="24"/>
        </w:rPr>
        <w:t>请</w:t>
      </w:r>
      <w:r w:rsidR="00E25146" w:rsidRPr="00206F5E">
        <w:rPr>
          <w:color w:val="000000"/>
          <w:sz w:val="24"/>
        </w:rPr>
        <w:t>登录本</w:t>
      </w:r>
      <w:r w:rsidRPr="00206F5E">
        <w:rPr>
          <w:color w:val="000000"/>
          <w:sz w:val="24"/>
        </w:rPr>
        <w:t>基金管理人</w:t>
      </w:r>
      <w:r w:rsidR="00E25146" w:rsidRPr="00206F5E">
        <w:rPr>
          <w:color w:val="000000"/>
          <w:sz w:val="24"/>
        </w:rPr>
        <w:t>网站（</w:t>
      </w:r>
      <w:r w:rsidR="00E25146" w:rsidRPr="00206F5E">
        <w:rPr>
          <w:color w:val="000000"/>
          <w:sz w:val="24"/>
        </w:rPr>
        <w:t>www.ChinaAMC.com</w:t>
      </w:r>
      <w:r w:rsidR="00E25146" w:rsidRPr="00206F5E">
        <w:rPr>
          <w:color w:val="000000"/>
          <w:sz w:val="24"/>
        </w:rPr>
        <w:t>）或拨打</w:t>
      </w:r>
      <w:r w:rsidRPr="00206F5E">
        <w:rPr>
          <w:color w:val="000000"/>
          <w:sz w:val="24"/>
        </w:rPr>
        <w:t>本基金管理人</w:t>
      </w:r>
      <w:r w:rsidR="00E25146" w:rsidRPr="00206F5E">
        <w:rPr>
          <w:color w:val="000000"/>
          <w:sz w:val="24"/>
        </w:rPr>
        <w:t>客户服务电话（</w:t>
      </w:r>
      <w:r w:rsidR="00E25146" w:rsidRPr="00206F5E">
        <w:rPr>
          <w:color w:val="000000"/>
          <w:sz w:val="24"/>
        </w:rPr>
        <w:t>400-818-6666</w:t>
      </w:r>
      <w:r w:rsidR="00E25146" w:rsidRPr="00206F5E">
        <w:rPr>
          <w:color w:val="000000"/>
          <w:sz w:val="24"/>
        </w:rPr>
        <w:t>）</w:t>
      </w:r>
      <w:r w:rsidRPr="00206F5E">
        <w:rPr>
          <w:color w:val="000000"/>
          <w:sz w:val="24"/>
        </w:rPr>
        <w:t>了解、咨询</w:t>
      </w:r>
      <w:r w:rsidR="00E25146" w:rsidRPr="00206F5E">
        <w:rPr>
          <w:color w:val="000000"/>
          <w:sz w:val="24"/>
        </w:rPr>
        <w:t>相关信息。</w:t>
      </w:r>
    </w:p>
    <w:p w:rsidR="00407F6A" w:rsidRPr="00206F5E" w:rsidRDefault="00407F6A" w:rsidP="00D05E55">
      <w:pPr>
        <w:spacing w:line="360" w:lineRule="auto"/>
        <w:ind w:firstLineChars="200" w:firstLine="482"/>
        <w:rPr>
          <w:b/>
          <w:sz w:val="24"/>
        </w:rPr>
      </w:pPr>
      <w:r w:rsidRPr="00206F5E">
        <w:rPr>
          <w:b/>
          <w:sz w:val="24"/>
        </w:rPr>
        <w:lastRenderedPageBreak/>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206F5E">
        <w:rPr>
          <w:b/>
          <w:sz w:val="24"/>
        </w:rPr>
        <w:t>“</w:t>
      </w:r>
      <w:r w:rsidRPr="00206F5E">
        <w:rPr>
          <w:b/>
          <w:sz w:val="24"/>
        </w:rPr>
        <w:t>买者自负</w:t>
      </w:r>
      <w:r w:rsidRPr="00206F5E">
        <w:rPr>
          <w:b/>
          <w:sz w:val="24"/>
        </w:rPr>
        <w:t>”</w:t>
      </w:r>
      <w:r w:rsidRPr="00206F5E">
        <w:rPr>
          <w:b/>
          <w:sz w:val="24"/>
        </w:rPr>
        <w:t>原则，在做出投资决策后，基金运营状况与基金净值变化引致的投资风险，由投资者自行负担。投资者在投资基金之前，请仔细阅读</w:t>
      </w:r>
      <w:r w:rsidR="00C91383">
        <w:rPr>
          <w:rFonts w:hint="eastAsia"/>
          <w:b/>
          <w:sz w:val="24"/>
        </w:rPr>
        <w:t>有关</w:t>
      </w:r>
      <w:r w:rsidRPr="00206F5E">
        <w:rPr>
          <w:b/>
          <w:sz w:val="24"/>
        </w:rPr>
        <w:t>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E25146" w:rsidRPr="00206F5E" w:rsidRDefault="00E25146" w:rsidP="00D05E55">
      <w:pPr>
        <w:widowControl/>
        <w:spacing w:line="360" w:lineRule="auto"/>
        <w:ind w:firstLine="480"/>
        <w:rPr>
          <w:color w:val="000000"/>
          <w:sz w:val="24"/>
        </w:rPr>
      </w:pPr>
      <w:r w:rsidRPr="00206F5E">
        <w:rPr>
          <w:color w:val="000000"/>
          <w:sz w:val="24"/>
        </w:rPr>
        <w:t>特此公告</w:t>
      </w:r>
    </w:p>
    <w:p w:rsidR="00445839" w:rsidRPr="00206F5E" w:rsidRDefault="00445839" w:rsidP="00D05E55">
      <w:pPr>
        <w:widowControl/>
        <w:spacing w:line="360" w:lineRule="auto"/>
        <w:ind w:firstLine="480"/>
        <w:rPr>
          <w:color w:val="000000"/>
          <w:sz w:val="24"/>
        </w:rPr>
      </w:pPr>
    </w:p>
    <w:p w:rsidR="00445839" w:rsidRPr="00206F5E" w:rsidRDefault="00445839" w:rsidP="00D05E55">
      <w:pPr>
        <w:widowControl/>
        <w:spacing w:line="360" w:lineRule="auto"/>
        <w:ind w:firstLine="480"/>
        <w:rPr>
          <w:color w:val="000000"/>
          <w:sz w:val="24"/>
        </w:rPr>
      </w:pPr>
    </w:p>
    <w:p w:rsidR="00E25146" w:rsidRPr="00206F5E" w:rsidRDefault="00E25146" w:rsidP="00D05E55">
      <w:pPr>
        <w:widowControl/>
        <w:spacing w:line="360" w:lineRule="auto"/>
        <w:jc w:val="right"/>
        <w:rPr>
          <w:color w:val="000000"/>
          <w:sz w:val="24"/>
        </w:rPr>
      </w:pPr>
      <w:r w:rsidRPr="00206F5E">
        <w:rPr>
          <w:color w:val="000000"/>
          <w:sz w:val="24"/>
        </w:rPr>
        <w:t>华夏基金管理有限公司</w:t>
      </w:r>
    </w:p>
    <w:p w:rsidR="006D665C" w:rsidRPr="00206F5E" w:rsidRDefault="00E25146" w:rsidP="00D05E55">
      <w:pPr>
        <w:widowControl/>
        <w:wordWrap w:val="0"/>
        <w:spacing w:line="360" w:lineRule="auto"/>
        <w:jc w:val="right"/>
        <w:rPr>
          <w:color w:val="000000"/>
          <w:sz w:val="24"/>
        </w:rPr>
      </w:pPr>
      <w:r w:rsidRPr="00206F5E">
        <w:rPr>
          <w:color w:val="000000"/>
          <w:sz w:val="24"/>
        </w:rPr>
        <w:t>二〇</w:t>
      </w:r>
      <w:r w:rsidR="008D0784" w:rsidRPr="00206F5E">
        <w:rPr>
          <w:color w:val="000000"/>
          <w:sz w:val="24"/>
        </w:rPr>
        <w:t>二</w:t>
      </w:r>
      <w:r w:rsidR="00C06C78">
        <w:rPr>
          <w:rFonts w:hint="eastAsia"/>
          <w:color w:val="000000"/>
          <w:sz w:val="24"/>
        </w:rPr>
        <w:t>五</w:t>
      </w:r>
      <w:r w:rsidRPr="00206F5E">
        <w:rPr>
          <w:color w:val="000000"/>
          <w:sz w:val="24"/>
        </w:rPr>
        <w:t>年</w:t>
      </w:r>
      <w:r w:rsidR="00B415B2">
        <w:rPr>
          <w:rFonts w:hint="eastAsia"/>
          <w:color w:val="000000"/>
          <w:sz w:val="24"/>
        </w:rPr>
        <w:t>十二</w:t>
      </w:r>
      <w:r w:rsidR="00982515" w:rsidRPr="00206F5E">
        <w:rPr>
          <w:color w:val="000000"/>
          <w:sz w:val="24"/>
        </w:rPr>
        <w:t>月</w:t>
      </w:r>
      <w:r w:rsidR="00081654">
        <w:rPr>
          <w:rFonts w:hint="eastAsia"/>
          <w:color w:val="000000"/>
          <w:sz w:val="24"/>
        </w:rPr>
        <w:t>十</w:t>
      </w:r>
      <w:r w:rsidRPr="00206F5E">
        <w:rPr>
          <w:color w:val="000000"/>
          <w:sz w:val="24"/>
        </w:rPr>
        <w:t>日</w:t>
      </w:r>
    </w:p>
    <w:p w:rsidR="0058380B" w:rsidRPr="00206F5E" w:rsidRDefault="0058380B" w:rsidP="00D05E55">
      <w:pPr>
        <w:widowControl/>
        <w:spacing w:line="360" w:lineRule="auto"/>
        <w:jc w:val="left"/>
        <w:rPr>
          <w:color w:val="000000"/>
          <w:sz w:val="24"/>
        </w:rPr>
      </w:pPr>
    </w:p>
    <w:sectPr w:rsidR="0058380B" w:rsidRPr="00206F5E" w:rsidSect="00D05E55">
      <w:headerReference w:type="even" r:id="rId9"/>
      <w:headerReference w:type="default" r:id="rId10"/>
      <w:footerReference w:type="default" r:id="rId11"/>
      <w:pgSz w:w="11906" w:h="16838"/>
      <w:pgMar w:top="1134" w:right="1418" w:bottom="1134" w:left="1418" w:header="851" w:footer="992" w:gutter="0"/>
      <w:cols w:space="425"/>
      <w:docGrid w:type="lines" w:linePitch="316"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100" w:rsidRDefault="00473100" w:rsidP="00E25146">
      <w:r>
        <w:separator/>
      </w:r>
    </w:p>
  </w:endnote>
  <w:endnote w:type="continuationSeparator" w:id="0">
    <w:p w:rsidR="00473100" w:rsidRDefault="00473100" w:rsidP="00E25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46" w:rsidRPr="0062597D" w:rsidRDefault="00117A69">
    <w:pPr>
      <w:pStyle w:val="a4"/>
      <w:jc w:val="center"/>
      <w:rPr>
        <w:rFonts w:ascii="Times New Roman" w:hAnsi="Times New Roman"/>
      </w:rPr>
    </w:pPr>
    <w:r w:rsidRPr="0062597D">
      <w:rPr>
        <w:rFonts w:ascii="Times New Roman" w:hAnsi="Times New Roman"/>
      </w:rPr>
      <w:fldChar w:fldCharType="begin"/>
    </w:r>
    <w:r w:rsidR="00E25146" w:rsidRPr="0062597D">
      <w:rPr>
        <w:rFonts w:ascii="Times New Roman" w:hAnsi="Times New Roman"/>
      </w:rPr>
      <w:instrText>PAGE   \* MERGEFORMAT</w:instrText>
    </w:r>
    <w:r w:rsidRPr="0062597D">
      <w:rPr>
        <w:rFonts w:ascii="Times New Roman" w:hAnsi="Times New Roman"/>
      </w:rPr>
      <w:fldChar w:fldCharType="separate"/>
    </w:r>
    <w:r w:rsidR="002C4016" w:rsidRPr="002C4016">
      <w:rPr>
        <w:rFonts w:ascii="Times New Roman" w:hAnsi="Times New Roman"/>
        <w:noProof/>
        <w:lang w:val="zh-CN"/>
      </w:rPr>
      <w:t>1</w:t>
    </w:r>
    <w:r w:rsidRPr="0062597D">
      <w:rPr>
        <w:rFonts w:ascii="Times New Roman" w:hAnsi="Times New Roman"/>
      </w:rPr>
      <w:fldChar w:fldCharType="end"/>
    </w:r>
  </w:p>
  <w:p w:rsidR="00E25146" w:rsidRDefault="00E251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100" w:rsidRDefault="00473100" w:rsidP="00E25146">
      <w:r>
        <w:separator/>
      </w:r>
    </w:p>
  </w:footnote>
  <w:footnote w:type="continuationSeparator" w:id="0">
    <w:p w:rsidR="00473100" w:rsidRDefault="00473100" w:rsidP="00E25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55" w:rsidRDefault="00D05E55" w:rsidP="00D05E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40" w:rsidRDefault="00BD7140" w:rsidP="00D05E5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59EC"/>
    <w:multiLevelType w:val="hybridMultilevel"/>
    <w:tmpl w:val="FA7E3B34"/>
    <w:lvl w:ilvl="0" w:tplc="577800D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4DF5708"/>
    <w:multiLevelType w:val="hybridMultilevel"/>
    <w:tmpl w:val="AF26E1AA"/>
    <w:lvl w:ilvl="0" w:tplc="8708B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211"/>
  <w:drawingGridVerticalSpacing w:val="158"/>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565"/>
    <w:rsid w:val="000012B1"/>
    <w:rsid w:val="00001C4B"/>
    <w:rsid w:val="00002BF6"/>
    <w:rsid w:val="00006531"/>
    <w:rsid w:val="00010FCD"/>
    <w:rsid w:val="000113AF"/>
    <w:rsid w:val="00012422"/>
    <w:rsid w:val="00015F75"/>
    <w:rsid w:val="00021E9E"/>
    <w:rsid w:val="000222AC"/>
    <w:rsid w:val="00024C28"/>
    <w:rsid w:val="000272B9"/>
    <w:rsid w:val="00027A29"/>
    <w:rsid w:val="00033525"/>
    <w:rsid w:val="0004610A"/>
    <w:rsid w:val="00050E97"/>
    <w:rsid w:val="000526AA"/>
    <w:rsid w:val="00053AB4"/>
    <w:rsid w:val="000661CA"/>
    <w:rsid w:val="0006657F"/>
    <w:rsid w:val="00080B9B"/>
    <w:rsid w:val="00081654"/>
    <w:rsid w:val="00086D7A"/>
    <w:rsid w:val="00094FDF"/>
    <w:rsid w:val="000A254D"/>
    <w:rsid w:val="000A5E43"/>
    <w:rsid w:val="000A6AE3"/>
    <w:rsid w:val="000B0314"/>
    <w:rsid w:val="000B0F13"/>
    <w:rsid w:val="000B1539"/>
    <w:rsid w:val="000B1773"/>
    <w:rsid w:val="000B401B"/>
    <w:rsid w:val="000C3933"/>
    <w:rsid w:val="000D20C6"/>
    <w:rsid w:val="000D3AA0"/>
    <w:rsid w:val="000D4803"/>
    <w:rsid w:val="000D4E23"/>
    <w:rsid w:val="000F197C"/>
    <w:rsid w:val="000F30DB"/>
    <w:rsid w:val="000F3189"/>
    <w:rsid w:val="000F5CBF"/>
    <w:rsid w:val="000F6090"/>
    <w:rsid w:val="0010710F"/>
    <w:rsid w:val="0011194C"/>
    <w:rsid w:val="00113565"/>
    <w:rsid w:val="00114064"/>
    <w:rsid w:val="00116801"/>
    <w:rsid w:val="00117A69"/>
    <w:rsid w:val="0012608F"/>
    <w:rsid w:val="00126A43"/>
    <w:rsid w:val="00131BFB"/>
    <w:rsid w:val="00131D67"/>
    <w:rsid w:val="001368DC"/>
    <w:rsid w:val="00140710"/>
    <w:rsid w:val="00145452"/>
    <w:rsid w:val="001473A5"/>
    <w:rsid w:val="00151CE5"/>
    <w:rsid w:val="00151E18"/>
    <w:rsid w:val="00151F34"/>
    <w:rsid w:val="00171A12"/>
    <w:rsid w:val="00176107"/>
    <w:rsid w:val="00192247"/>
    <w:rsid w:val="00197D78"/>
    <w:rsid w:val="001A21FB"/>
    <w:rsid w:val="001B36FA"/>
    <w:rsid w:val="001C000D"/>
    <w:rsid w:val="001C13D6"/>
    <w:rsid w:val="001C1604"/>
    <w:rsid w:val="001C4261"/>
    <w:rsid w:val="001C4679"/>
    <w:rsid w:val="001D08E6"/>
    <w:rsid w:val="001D15CE"/>
    <w:rsid w:val="001D4E42"/>
    <w:rsid w:val="001E314E"/>
    <w:rsid w:val="001E4374"/>
    <w:rsid w:val="001F016E"/>
    <w:rsid w:val="001F2145"/>
    <w:rsid w:val="001F6E32"/>
    <w:rsid w:val="00205FDE"/>
    <w:rsid w:val="00206F5E"/>
    <w:rsid w:val="00206FBE"/>
    <w:rsid w:val="00216285"/>
    <w:rsid w:val="0022062F"/>
    <w:rsid w:val="0022696F"/>
    <w:rsid w:val="00227140"/>
    <w:rsid w:val="00236472"/>
    <w:rsid w:val="00243E7A"/>
    <w:rsid w:val="00250E13"/>
    <w:rsid w:val="00251E50"/>
    <w:rsid w:val="00260BE7"/>
    <w:rsid w:val="00264735"/>
    <w:rsid w:val="00267401"/>
    <w:rsid w:val="002734F8"/>
    <w:rsid w:val="00273617"/>
    <w:rsid w:val="00276402"/>
    <w:rsid w:val="00277598"/>
    <w:rsid w:val="002823C6"/>
    <w:rsid w:val="002860B7"/>
    <w:rsid w:val="00291486"/>
    <w:rsid w:val="00292230"/>
    <w:rsid w:val="00292813"/>
    <w:rsid w:val="002A0F68"/>
    <w:rsid w:val="002A5391"/>
    <w:rsid w:val="002A545C"/>
    <w:rsid w:val="002B00F0"/>
    <w:rsid w:val="002B1505"/>
    <w:rsid w:val="002B3715"/>
    <w:rsid w:val="002B4515"/>
    <w:rsid w:val="002B6675"/>
    <w:rsid w:val="002C1782"/>
    <w:rsid w:val="002C3B87"/>
    <w:rsid w:val="002C4016"/>
    <w:rsid w:val="002C45B7"/>
    <w:rsid w:val="002C4671"/>
    <w:rsid w:val="002C583F"/>
    <w:rsid w:val="002D2F1E"/>
    <w:rsid w:val="002E2E2E"/>
    <w:rsid w:val="002E6B69"/>
    <w:rsid w:val="002F04F7"/>
    <w:rsid w:val="002F29C8"/>
    <w:rsid w:val="00304030"/>
    <w:rsid w:val="00305649"/>
    <w:rsid w:val="00306100"/>
    <w:rsid w:val="00307A58"/>
    <w:rsid w:val="00310EA8"/>
    <w:rsid w:val="003125CB"/>
    <w:rsid w:val="0031511B"/>
    <w:rsid w:val="0031614A"/>
    <w:rsid w:val="00317436"/>
    <w:rsid w:val="00323521"/>
    <w:rsid w:val="003270C6"/>
    <w:rsid w:val="00327B6E"/>
    <w:rsid w:val="00336165"/>
    <w:rsid w:val="00342473"/>
    <w:rsid w:val="00344F31"/>
    <w:rsid w:val="00347931"/>
    <w:rsid w:val="00350165"/>
    <w:rsid w:val="00350611"/>
    <w:rsid w:val="003516A9"/>
    <w:rsid w:val="00354F51"/>
    <w:rsid w:val="003568E6"/>
    <w:rsid w:val="0037326D"/>
    <w:rsid w:val="00381441"/>
    <w:rsid w:val="003921BD"/>
    <w:rsid w:val="00392963"/>
    <w:rsid w:val="003B0E43"/>
    <w:rsid w:val="003B431D"/>
    <w:rsid w:val="003C00F3"/>
    <w:rsid w:val="003C1333"/>
    <w:rsid w:val="003C17B5"/>
    <w:rsid w:val="003C5AF5"/>
    <w:rsid w:val="003D305C"/>
    <w:rsid w:val="003D75CC"/>
    <w:rsid w:val="003E3524"/>
    <w:rsid w:val="003E49C0"/>
    <w:rsid w:val="003E67C3"/>
    <w:rsid w:val="003F003E"/>
    <w:rsid w:val="003F10AC"/>
    <w:rsid w:val="003F292E"/>
    <w:rsid w:val="003F2BB5"/>
    <w:rsid w:val="003F5FCA"/>
    <w:rsid w:val="003F6B09"/>
    <w:rsid w:val="00400E16"/>
    <w:rsid w:val="00403973"/>
    <w:rsid w:val="00407F6A"/>
    <w:rsid w:val="00411C6E"/>
    <w:rsid w:val="0041330F"/>
    <w:rsid w:val="00421426"/>
    <w:rsid w:val="004227A9"/>
    <w:rsid w:val="004237A8"/>
    <w:rsid w:val="00424026"/>
    <w:rsid w:val="004271F0"/>
    <w:rsid w:val="00427BBD"/>
    <w:rsid w:val="00430F13"/>
    <w:rsid w:val="0043536E"/>
    <w:rsid w:val="00437C70"/>
    <w:rsid w:val="004432C8"/>
    <w:rsid w:val="00445839"/>
    <w:rsid w:val="00463E9D"/>
    <w:rsid w:val="0046473A"/>
    <w:rsid w:val="00472CD8"/>
    <w:rsid w:val="00473100"/>
    <w:rsid w:val="0048360C"/>
    <w:rsid w:val="00483C55"/>
    <w:rsid w:val="00487421"/>
    <w:rsid w:val="00490EE4"/>
    <w:rsid w:val="00493728"/>
    <w:rsid w:val="004A16C7"/>
    <w:rsid w:val="004A17B1"/>
    <w:rsid w:val="004A1B66"/>
    <w:rsid w:val="004A308F"/>
    <w:rsid w:val="004C24C1"/>
    <w:rsid w:val="004C7B01"/>
    <w:rsid w:val="004D2879"/>
    <w:rsid w:val="004E292E"/>
    <w:rsid w:val="004E368D"/>
    <w:rsid w:val="004E7A8D"/>
    <w:rsid w:val="004F1365"/>
    <w:rsid w:val="004F25B6"/>
    <w:rsid w:val="004F6492"/>
    <w:rsid w:val="004F70DC"/>
    <w:rsid w:val="005104DD"/>
    <w:rsid w:val="00514AB1"/>
    <w:rsid w:val="00514FBA"/>
    <w:rsid w:val="00517CE3"/>
    <w:rsid w:val="005222D5"/>
    <w:rsid w:val="0052636A"/>
    <w:rsid w:val="00526D55"/>
    <w:rsid w:val="00543DA0"/>
    <w:rsid w:val="00544DE4"/>
    <w:rsid w:val="00545AB7"/>
    <w:rsid w:val="00547858"/>
    <w:rsid w:val="00547E60"/>
    <w:rsid w:val="00554213"/>
    <w:rsid w:val="005562F1"/>
    <w:rsid w:val="0056035E"/>
    <w:rsid w:val="005634EB"/>
    <w:rsid w:val="00563EBC"/>
    <w:rsid w:val="00572808"/>
    <w:rsid w:val="00573795"/>
    <w:rsid w:val="00575088"/>
    <w:rsid w:val="00580536"/>
    <w:rsid w:val="00580B8D"/>
    <w:rsid w:val="0058380B"/>
    <w:rsid w:val="00587161"/>
    <w:rsid w:val="0058721F"/>
    <w:rsid w:val="005955DF"/>
    <w:rsid w:val="00595D81"/>
    <w:rsid w:val="005A75D0"/>
    <w:rsid w:val="005B4D46"/>
    <w:rsid w:val="005B64AF"/>
    <w:rsid w:val="005C476C"/>
    <w:rsid w:val="005C51AE"/>
    <w:rsid w:val="005C7487"/>
    <w:rsid w:val="005D2243"/>
    <w:rsid w:val="005D239F"/>
    <w:rsid w:val="005D48A5"/>
    <w:rsid w:val="005E0158"/>
    <w:rsid w:val="005E73A2"/>
    <w:rsid w:val="005F0633"/>
    <w:rsid w:val="005F3D8B"/>
    <w:rsid w:val="005F42AA"/>
    <w:rsid w:val="005F6E63"/>
    <w:rsid w:val="006121A3"/>
    <w:rsid w:val="006132C1"/>
    <w:rsid w:val="00613D42"/>
    <w:rsid w:val="00624774"/>
    <w:rsid w:val="0062675E"/>
    <w:rsid w:val="0063252C"/>
    <w:rsid w:val="0064157C"/>
    <w:rsid w:val="0064294D"/>
    <w:rsid w:val="006430ED"/>
    <w:rsid w:val="006441CC"/>
    <w:rsid w:val="00650070"/>
    <w:rsid w:val="00653BE6"/>
    <w:rsid w:val="006547E5"/>
    <w:rsid w:val="00654808"/>
    <w:rsid w:val="00663534"/>
    <w:rsid w:val="00665E10"/>
    <w:rsid w:val="0066615E"/>
    <w:rsid w:val="00666D07"/>
    <w:rsid w:val="00672515"/>
    <w:rsid w:val="00674E33"/>
    <w:rsid w:val="00675129"/>
    <w:rsid w:val="00675B55"/>
    <w:rsid w:val="00677B28"/>
    <w:rsid w:val="00681487"/>
    <w:rsid w:val="0068624C"/>
    <w:rsid w:val="00690A30"/>
    <w:rsid w:val="00691ADA"/>
    <w:rsid w:val="00693E9B"/>
    <w:rsid w:val="0069564A"/>
    <w:rsid w:val="006A1819"/>
    <w:rsid w:val="006A53BD"/>
    <w:rsid w:val="006A78E8"/>
    <w:rsid w:val="006B4E45"/>
    <w:rsid w:val="006B75B0"/>
    <w:rsid w:val="006D0F30"/>
    <w:rsid w:val="006D5E9B"/>
    <w:rsid w:val="006D665C"/>
    <w:rsid w:val="006E36EF"/>
    <w:rsid w:val="006E766A"/>
    <w:rsid w:val="006F42D7"/>
    <w:rsid w:val="006F66C5"/>
    <w:rsid w:val="0070030E"/>
    <w:rsid w:val="00703820"/>
    <w:rsid w:val="007049EB"/>
    <w:rsid w:val="00706A46"/>
    <w:rsid w:val="00712411"/>
    <w:rsid w:val="007167B6"/>
    <w:rsid w:val="007207CC"/>
    <w:rsid w:val="0072141C"/>
    <w:rsid w:val="007220C3"/>
    <w:rsid w:val="00724CA2"/>
    <w:rsid w:val="00727D78"/>
    <w:rsid w:val="00740D6A"/>
    <w:rsid w:val="00743902"/>
    <w:rsid w:val="0075093C"/>
    <w:rsid w:val="007552B4"/>
    <w:rsid w:val="00756F1C"/>
    <w:rsid w:val="00761E63"/>
    <w:rsid w:val="00762040"/>
    <w:rsid w:val="00766785"/>
    <w:rsid w:val="00784AA6"/>
    <w:rsid w:val="00786257"/>
    <w:rsid w:val="007903F3"/>
    <w:rsid w:val="007936EB"/>
    <w:rsid w:val="00793D70"/>
    <w:rsid w:val="007A03A1"/>
    <w:rsid w:val="007A0B25"/>
    <w:rsid w:val="007A47D3"/>
    <w:rsid w:val="007B42EA"/>
    <w:rsid w:val="007B4DD9"/>
    <w:rsid w:val="007B6412"/>
    <w:rsid w:val="007C6740"/>
    <w:rsid w:val="007D18AC"/>
    <w:rsid w:val="007D243B"/>
    <w:rsid w:val="007D4167"/>
    <w:rsid w:val="007E2753"/>
    <w:rsid w:val="007E2946"/>
    <w:rsid w:val="007E3A5C"/>
    <w:rsid w:val="007F7C11"/>
    <w:rsid w:val="00801B0F"/>
    <w:rsid w:val="00803782"/>
    <w:rsid w:val="008165E9"/>
    <w:rsid w:val="008172CE"/>
    <w:rsid w:val="00817E2C"/>
    <w:rsid w:val="00823B9A"/>
    <w:rsid w:val="00823BEC"/>
    <w:rsid w:val="008335F7"/>
    <w:rsid w:val="00833EDB"/>
    <w:rsid w:val="00835151"/>
    <w:rsid w:val="00835C4D"/>
    <w:rsid w:val="00837644"/>
    <w:rsid w:val="00842E17"/>
    <w:rsid w:val="00843B5B"/>
    <w:rsid w:val="00850F41"/>
    <w:rsid w:val="00860BEA"/>
    <w:rsid w:val="00861883"/>
    <w:rsid w:val="008621FB"/>
    <w:rsid w:val="008626BD"/>
    <w:rsid w:val="00862C80"/>
    <w:rsid w:val="0086402A"/>
    <w:rsid w:val="008719B6"/>
    <w:rsid w:val="008726C8"/>
    <w:rsid w:val="00880CC9"/>
    <w:rsid w:val="00881D6D"/>
    <w:rsid w:val="00882313"/>
    <w:rsid w:val="00883FF3"/>
    <w:rsid w:val="00884C27"/>
    <w:rsid w:val="00886FF5"/>
    <w:rsid w:val="00894674"/>
    <w:rsid w:val="00897544"/>
    <w:rsid w:val="008A0D09"/>
    <w:rsid w:val="008A352A"/>
    <w:rsid w:val="008A3C10"/>
    <w:rsid w:val="008B3386"/>
    <w:rsid w:val="008C26FA"/>
    <w:rsid w:val="008D0784"/>
    <w:rsid w:val="008D0F03"/>
    <w:rsid w:val="008D30B3"/>
    <w:rsid w:val="008D6AC1"/>
    <w:rsid w:val="008E1CC7"/>
    <w:rsid w:val="008F07E3"/>
    <w:rsid w:val="008F1757"/>
    <w:rsid w:val="008F6F07"/>
    <w:rsid w:val="008F77B4"/>
    <w:rsid w:val="00902090"/>
    <w:rsid w:val="00905C33"/>
    <w:rsid w:val="00907C16"/>
    <w:rsid w:val="00912165"/>
    <w:rsid w:val="0091265D"/>
    <w:rsid w:val="009131C8"/>
    <w:rsid w:val="00920063"/>
    <w:rsid w:val="00923868"/>
    <w:rsid w:val="00924178"/>
    <w:rsid w:val="00926B6C"/>
    <w:rsid w:val="00926DBB"/>
    <w:rsid w:val="00935DE4"/>
    <w:rsid w:val="00936729"/>
    <w:rsid w:val="0094230B"/>
    <w:rsid w:val="00943BF6"/>
    <w:rsid w:val="00951636"/>
    <w:rsid w:val="00951E6D"/>
    <w:rsid w:val="0095433A"/>
    <w:rsid w:val="00956D85"/>
    <w:rsid w:val="00957DE9"/>
    <w:rsid w:val="009606C2"/>
    <w:rsid w:val="00962909"/>
    <w:rsid w:val="00964C8C"/>
    <w:rsid w:val="00982515"/>
    <w:rsid w:val="00985020"/>
    <w:rsid w:val="009957C9"/>
    <w:rsid w:val="0099607E"/>
    <w:rsid w:val="009A0504"/>
    <w:rsid w:val="009A24B9"/>
    <w:rsid w:val="009A2C41"/>
    <w:rsid w:val="009A447F"/>
    <w:rsid w:val="009A7AB7"/>
    <w:rsid w:val="009A7BCC"/>
    <w:rsid w:val="009A7E2F"/>
    <w:rsid w:val="009B062B"/>
    <w:rsid w:val="009B5DFB"/>
    <w:rsid w:val="009B5E89"/>
    <w:rsid w:val="009C036E"/>
    <w:rsid w:val="009C0D40"/>
    <w:rsid w:val="009C15D6"/>
    <w:rsid w:val="009C1817"/>
    <w:rsid w:val="009C3CF1"/>
    <w:rsid w:val="009C47A9"/>
    <w:rsid w:val="009C60F4"/>
    <w:rsid w:val="009C6A1B"/>
    <w:rsid w:val="009D0D96"/>
    <w:rsid w:val="009D1CC4"/>
    <w:rsid w:val="009D2241"/>
    <w:rsid w:val="009D5058"/>
    <w:rsid w:val="009E0734"/>
    <w:rsid w:val="009E1254"/>
    <w:rsid w:val="009E3065"/>
    <w:rsid w:val="009E4E70"/>
    <w:rsid w:val="009F0D95"/>
    <w:rsid w:val="009F251F"/>
    <w:rsid w:val="00A033FD"/>
    <w:rsid w:val="00A21A8A"/>
    <w:rsid w:val="00A27435"/>
    <w:rsid w:val="00A30977"/>
    <w:rsid w:val="00A351C4"/>
    <w:rsid w:val="00A356A3"/>
    <w:rsid w:val="00A42219"/>
    <w:rsid w:val="00A42617"/>
    <w:rsid w:val="00A43861"/>
    <w:rsid w:val="00A463FD"/>
    <w:rsid w:val="00A74984"/>
    <w:rsid w:val="00A80BF0"/>
    <w:rsid w:val="00A8354E"/>
    <w:rsid w:val="00A83959"/>
    <w:rsid w:val="00A84AD3"/>
    <w:rsid w:val="00A851DF"/>
    <w:rsid w:val="00A854A7"/>
    <w:rsid w:val="00A94D59"/>
    <w:rsid w:val="00A97102"/>
    <w:rsid w:val="00AA24BF"/>
    <w:rsid w:val="00AA45FF"/>
    <w:rsid w:val="00AA486D"/>
    <w:rsid w:val="00AB1837"/>
    <w:rsid w:val="00AB4053"/>
    <w:rsid w:val="00AB53BB"/>
    <w:rsid w:val="00AB5819"/>
    <w:rsid w:val="00AC3A28"/>
    <w:rsid w:val="00AC3FE1"/>
    <w:rsid w:val="00AC40D0"/>
    <w:rsid w:val="00AC7696"/>
    <w:rsid w:val="00AC7A5D"/>
    <w:rsid w:val="00AD21B8"/>
    <w:rsid w:val="00AD21BB"/>
    <w:rsid w:val="00AD6775"/>
    <w:rsid w:val="00AE3CE8"/>
    <w:rsid w:val="00AF06B4"/>
    <w:rsid w:val="00AF5D28"/>
    <w:rsid w:val="00AF77F1"/>
    <w:rsid w:val="00B05F4E"/>
    <w:rsid w:val="00B07524"/>
    <w:rsid w:val="00B1197F"/>
    <w:rsid w:val="00B12BDB"/>
    <w:rsid w:val="00B2152A"/>
    <w:rsid w:val="00B22685"/>
    <w:rsid w:val="00B2429D"/>
    <w:rsid w:val="00B4020F"/>
    <w:rsid w:val="00B415B2"/>
    <w:rsid w:val="00B705EA"/>
    <w:rsid w:val="00B71137"/>
    <w:rsid w:val="00B713F2"/>
    <w:rsid w:val="00B776C5"/>
    <w:rsid w:val="00B86281"/>
    <w:rsid w:val="00B8663E"/>
    <w:rsid w:val="00B90BFF"/>
    <w:rsid w:val="00B91010"/>
    <w:rsid w:val="00B92E6C"/>
    <w:rsid w:val="00B97CC1"/>
    <w:rsid w:val="00B97F34"/>
    <w:rsid w:val="00BA367F"/>
    <w:rsid w:val="00BB0EE0"/>
    <w:rsid w:val="00BB3993"/>
    <w:rsid w:val="00BC1339"/>
    <w:rsid w:val="00BC2FD8"/>
    <w:rsid w:val="00BD2F80"/>
    <w:rsid w:val="00BD370B"/>
    <w:rsid w:val="00BD7140"/>
    <w:rsid w:val="00BD7782"/>
    <w:rsid w:val="00BE42AF"/>
    <w:rsid w:val="00BE5CE3"/>
    <w:rsid w:val="00BE75BB"/>
    <w:rsid w:val="00BE75FF"/>
    <w:rsid w:val="00BF0BD9"/>
    <w:rsid w:val="00C025E8"/>
    <w:rsid w:val="00C03520"/>
    <w:rsid w:val="00C04454"/>
    <w:rsid w:val="00C05D98"/>
    <w:rsid w:val="00C05F76"/>
    <w:rsid w:val="00C06C78"/>
    <w:rsid w:val="00C158A2"/>
    <w:rsid w:val="00C2721D"/>
    <w:rsid w:val="00C27FA8"/>
    <w:rsid w:val="00C338A6"/>
    <w:rsid w:val="00C3468A"/>
    <w:rsid w:val="00C3561A"/>
    <w:rsid w:val="00C36CEA"/>
    <w:rsid w:val="00C37811"/>
    <w:rsid w:val="00C407B0"/>
    <w:rsid w:val="00C423E9"/>
    <w:rsid w:val="00C42CD1"/>
    <w:rsid w:val="00C500D5"/>
    <w:rsid w:val="00C50177"/>
    <w:rsid w:val="00C52488"/>
    <w:rsid w:val="00C52621"/>
    <w:rsid w:val="00C6250C"/>
    <w:rsid w:val="00C655DB"/>
    <w:rsid w:val="00C709B4"/>
    <w:rsid w:val="00C73A7F"/>
    <w:rsid w:val="00C85F75"/>
    <w:rsid w:val="00C8683D"/>
    <w:rsid w:val="00C90CAA"/>
    <w:rsid w:val="00C91383"/>
    <w:rsid w:val="00C916E5"/>
    <w:rsid w:val="00CA06EC"/>
    <w:rsid w:val="00CA0869"/>
    <w:rsid w:val="00CA1B73"/>
    <w:rsid w:val="00CA1EB6"/>
    <w:rsid w:val="00CA53B3"/>
    <w:rsid w:val="00CA678E"/>
    <w:rsid w:val="00CB0049"/>
    <w:rsid w:val="00CB0976"/>
    <w:rsid w:val="00CB52A3"/>
    <w:rsid w:val="00CB6901"/>
    <w:rsid w:val="00CB7B50"/>
    <w:rsid w:val="00CC316A"/>
    <w:rsid w:val="00CC620D"/>
    <w:rsid w:val="00CD12E7"/>
    <w:rsid w:val="00CD7CE4"/>
    <w:rsid w:val="00CE1E42"/>
    <w:rsid w:val="00CE60B0"/>
    <w:rsid w:val="00CF6FC4"/>
    <w:rsid w:val="00CF70E4"/>
    <w:rsid w:val="00CF7241"/>
    <w:rsid w:val="00D00B72"/>
    <w:rsid w:val="00D01864"/>
    <w:rsid w:val="00D03C86"/>
    <w:rsid w:val="00D04D3E"/>
    <w:rsid w:val="00D05E55"/>
    <w:rsid w:val="00D109DC"/>
    <w:rsid w:val="00D21937"/>
    <w:rsid w:val="00D256D1"/>
    <w:rsid w:val="00D3767E"/>
    <w:rsid w:val="00D4041F"/>
    <w:rsid w:val="00D47B5B"/>
    <w:rsid w:val="00D50FE2"/>
    <w:rsid w:val="00D51652"/>
    <w:rsid w:val="00D51C00"/>
    <w:rsid w:val="00D5430E"/>
    <w:rsid w:val="00D56C4A"/>
    <w:rsid w:val="00D64DE6"/>
    <w:rsid w:val="00D7036C"/>
    <w:rsid w:val="00D74B18"/>
    <w:rsid w:val="00D762B7"/>
    <w:rsid w:val="00D8023A"/>
    <w:rsid w:val="00D80D85"/>
    <w:rsid w:val="00D8712E"/>
    <w:rsid w:val="00D94053"/>
    <w:rsid w:val="00D97EB4"/>
    <w:rsid w:val="00DA3733"/>
    <w:rsid w:val="00DA4341"/>
    <w:rsid w:val="00DB3EAB"/>
    <w:rsid w:val="00DB65ED"/>
    <w:rsid w:val="00DB6984"/>
    <w:rsid w:val="00DC12B2"/>
    <w:rsid w:val="00DC6425"/>
    <w:rsid w:val="00DD2C82"/>
    <w:rsid w:val="00DE4D45"/>
    <w:rsid w:val="00DF2344"/>
    <w:rsid w:val="00DF5742"/>
    <w:rsid w:val="00E00FEB"/>
    <w:rsid w:val="00E016CB"/>
    <w:rsid w:val="00E01DD5"/>
    <w:rsid w:val="00E06F67"/>
    <w:rsid w:val="00E10AFD"/>
    <w:rsid w:val="00E214E9"/>
    <w:rsid w:val="00E2208E"/>
    <w:rsid w:val="00E24952"/>
    <w:rsid w:val="00E25146"/>
    <w:rsid w:val="00E367FC"/>
    <w:rsid w:val="00E37795"/>
    <w:rsid w:val="00E43083"/>
    <w:rsid w:val="00E44A25"/>
    <w:rsid w:val="00E456AB"/>
    <w:rsid w:val="00E45799"/>
    <w:rsid w:val="00E4600C"/>
    <w:rsid w:val="00E50B67"/>
    <w:rsid w:val="00E54B73"/>
    <w:rsid w:val="00E55A76"/>
    <w:rsid w:val="00E64A52"/>
    <w:rsid w:val="00E74F85"/>
    <w:rsid w:val="00E74FAC"/>
    <w:rsid w:val="00E77913"/>
    <w:rsid w:val="00E82432"/>
    <w:rsid w:val="00E8570A"/>
    <w:rsid w:val="00E9423A"/>
    <w:rsid w:val="00E963F8"/>
    <w:rsid w:val="00E97BE7"/>
    <w:rsid w:val="00EA0CD3"/>
    <w:rsid w:val="00EA136D"/>
    <w:rsid w:val="00EA2350"/>
    <w:rsid w:val="00EA3B56"/>
    <w:rsid w:val="00EB1D70"/>
    <w:rsid w:val="00EB5E49"/>
    <w:rsid w:val="00EB62F4"/>
    <w:rsid w:val="00EB6B50"/>
    <w:rsid w:val="00EB7884"/>
    <w:rsid w:val="00EC029A"/>
    <w:rsid w:val="00EC166E"/>
    <w:rsid w:val="00EC25B0"/>
    <w:rsid w:val="00EC33F0"/>
    <w:rsid w:val="00EC35C2"/>
    <w:rsid w:val="00EC6507"/>
    <w:rsid w:val="00EC7BE9"/>
    <w:rsid w:val="00ED1667"/>
    <w:rsid w:val="00EE3285"/>
    <w:rsid w:val="00EF0232"/>
    <w:rsid w:val="00EF0A41"/>
    <w:rsid w:val="00EF3C81"/>
    <w:rsid w:val="00EF5A66"/>
    <w:rsid w:val="00F02263"/>
    <w:rsid w:val="00F04A89"/>
    <w:rsid w:val="00F16DF8"/>
    <w:rsid w:val="00F2064C"/>
    <w:rsid w:val="00F21BF8"/>
    <w:rsid w:val="00F254CC"/>
    <w:rsid w:val="00F31E0B"/>
    <w:rsid w:val="00F44B3C"/>
    <w:rsid w:val="00F4591B"/>
    <w:rsid w:val="00F5039B"/>
    <w:rsid w:val="00F51FC9"/>
    <w:rsid w:val="00F54494"/>
    <w:rsid w:val="00F56401"/>
    <w:rsid w:val="00F6004D"/>
    <w:rsid w:val="00F60236"/>
    <w:rsid w:val="00F65087"/>
    <w:rsid w:val="00F705E0"/>
    <w:rsid w:val="00F73665"/>
    <w:rsid w:val="00F815F2"/>
    <w:rsid w:val="00F82516"/>
    <w:rsid w:val="00F87712"/>
    <w:rsid w:val="00F87E96"/>
    <w:rsid w:val="00F915AF"/>
    <w:rsid w:val="00F948E4"/>
    <w:rsid w:val="00F9565D"/>
    <w:rsid w:val="00FA1439"/>
    <w:rsid w:val="00FC1944"/>
    <w:rsid w:val="00FC22E6"/>
    <w:rsid w:val="00FC471B"/>
    <w:rsid w:val="00FD10D1"/>
    <w:rsid w:val="00FD564C"/>
    <w:rsid w:val="00FE24D6"/>
    <w:rsid w:val="00FE43E3"/>
    <w:rsid w:val="00FE6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A9"/>
    <w:pPr>
      <w:widowControl w:val="0"/>
      <w:jc w:val="both"/>
    </w:pPr>
    <w:rPr>
      <w:rFonts w:ascii="Times New Roman" w:hAnsi="Times New Roman"/>
      <w:kern w:val="2"/>
      <w:sz w:val="21"/>
      <w:szCs w:val="24"/>
    </w:rPr>
  </w:style>
  <w:style w:type="paragraph" w:styleId="2">
    <w:name w:val="heading 2"/>
    <w:basedOn w:val="a"/>
    <w:next w:val="a"/>
    <w:link w:val="2Char"/>
    <w:qFormat/>
    <w:rsid w:val="000756A9"/>
    <w:pPr>
      <w:keepNext/>
      <w:keepLines/>
      <w:spacing w:before="260" w:after="260" w:line="416" w:lineRule="auto"/>
      <w:outlineLvl w:val="1"/>
    </w:pPr>
    <w:rPr>
      <w:rFonts w:ascii="Arial" w:eastAsia="黑体" w:hAnsi="Arial"/>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6A9"/>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0756A9"/>
    <w:rPr>
      <w:sz w:val="18"/>
      <w:szCs w:val="18"/>
    </w:rPr>
  </w:style>
  <w:style w:type="paragraph" w:styleId="a4">
    <w:name w:val="footer"/>
    <w:basedOn w:val="a"/>
    <w:link w:val="Char0"/>
    <w:uiPriority w:val="99"/>
    <w:unhideWhenUsed/>
    <w:rsid w:val="000756A9"/>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0756A9"/>
    <w:rPr>
      <w:sz w:val="18"/>
      <w:szCs w:val="18"/>
    </w:rPr>
  </w:style>
  <w:style w:type="character" w:customStyle="1" w:styleId="2Char">
    <w:name w:val="标题 2 Char"/>
    <w:link w:val="2"/>
    <w:rsid w:val="000756A9"/>
    <w:rPr>
      <w:rFonts w:ascii="Arial" w:eastAsia="黑体" w:hAnsi="Arial" w:cs="Times New Roman"/>
      <w:b/>
      <w:bCs/>
      <w:sz w:val="32"/>
      <w:szCs w:val="32"/>
    </w:rPr>
  </w:style>
  <w:style w:type="paragraph" w:styleId="a5">
    <w:name w:val="Balloon Text"/>
    <w:basedOn w:val="a"/>
    <w:link w:val="Char1"/>
    <w:uiPriority w:val="99"/>
    <w:semiHidden/>
    <w:unhideWhenUsed/>
    <w:rsid w:val="00226EB5"/>
    <w:rPr>
      <w:kern w:val="0"/>
      <w:sz w:val="18"/>
      <w:szCs w:val="18"/>
      <w:lang/>
    </w:rPr>
  </w:style>
  <w:style w:type="character" w:customStyle="1" w:styleId="Char1">
    <w:name w:val="批注框文本 Char"/>
    <w:link w:val="a5"/>
    <w:uiPriority w:val="99"/>
    <w:semiHidden/>
    <w:rsid w:val="00226EB5"/>
    <w:rPr>
      <w:rFonts w:ascii="Times New Roman" w:eastAsia="宋体" w:hAnsi="Times New Roman" w:cs="Times New Roman"/>
      <w:sz w:val="18"/>
      <w:szCs w:val="18"/>
    </w:rPr>
  </w:style>
  <w:style w:type="paragraph" w:customStyle="1" w:styleId="20">
    <w:name w:val="标题 2_0"/>
    <w:basedOn w:val="0"/>
    <w:next w:val="0"/>
    <w:link w:val="2Char0"/>
    <w:qFormat/>
    <w:rsid w:val="000756A9"/>
    <w:pPr>
      <w:keepNext/>
      <w:keepLines/>
      <w:spacing w:before="260" w:after="260" w:line="416" w:lineRule="auto"/>
      <w:outlineLvl w:val="1"/>
    </w:pPr>
    <w:rPr>
      <w:rFonts w:ascii="Arial" w:eastAsia="黑体" w:hAnsi="Arial"/>
      <w:b/>
      <w:bCs/>
      <w:kern w:val="0"/>
      <w:sz w:val="32"/>
      <w:szCs w:val="32"/>
      <w:lang/>
    </w:rPr>
  </w:style>
  <w:style w:type="paragraph" w:customStyle="1" w:styleId="0">
    <w:name w:val="正文_0"/>
    <w:qFormat/>
    <w:rsid w:val="000756A9"/>
    <w:pPr>
      <w:widowControl w:val="0"/>
      <w:jc w:val="both"/>
    </w:pPr>
    <w:rPr>
      <w:rFonts w:ascii="Times New Roman" w:hAnsi="Times New Roman"/>
      <w:kern w:val="2"/>
      <w:sz w:val="21"/>
      <w:szCs w:val="24"/>
    </w:rPr>
  </w:style>
  <w:style w:type="character" w:customStyle="1" w:styleId="2Char0">
    <w:name w:val="标题 2 Char_0"/>
    <w:link w:val="20"/>
    <w:rsid w:val="000756A9"/>
    <w:rPr>
      <w:rFonts w:ascii="Arial" w:eastAsia="黑体" w:hAnsi="Arial" w:cs="Times New Roman"/>
      <w:b/>
      <w:bCs/>
      <w:sz w:val="32"/>
      <w:szCs w:val="32"/>
    </w:rPr>
  </w:style>
  <w:style w:type="paragraph" w:styleId="a6">
    <w:name w:val="Document Map"/>
    <w:basedOn w:val="a"/>
    <w:link w:val="Char2"/>
    <w:uiPriority w:val="99"/>
    <w:semiHidden/>
    <w:unhideWhenUsed/>
    <w:rsid w:val="00BD7140"/>
    <w:rPr>
      <w:rFonts w:ascii="宋体"/>
      <w:sz w:val="18"/>
      <w:szCs w:val="18"/>
      <w:lang/>
    </w:rPr>
  </w:style>
  <w:style w:type="character" w:customStyle="1" w:styleId="Char2">
    <w:name w:val="文档结构图 Char"/>
    <w:link w:val="a6"/>
    <w:uiPriority w:val="99"/>
    <w:semiHidden/>
    <w:rsid w:val="00BD7140"/>
    <w:rPr>
      <w:rFonts w:ascii="宋体" w:hAnsi="Times New Roman"/>
      <w:kern w:val="2"/>
      <w:sz w:val="18"/>
      <w:szCs w:val="18"/>
    </w:rPr>
  </w:style>
  <w:style w:type="character" w:customStyle="1" w:styleId="afont1">
    <w:name w:val="afont1"/>
    <w:rsid w:val="002B3715"/>
    <w:rPr>
      <w:rFonts w:ascii="Arial Narrow" w:hAnsi="Arial Narrow" w:hint="default"/>
      <w:sz w:val="21"/>
      <w:szCs w:val="21"/>
    </w:rPr>
  </w:style>
  <w:style w:type="character" w:styleId="a7">
    <w:name w:val="annotation reference"/>
    <w:uiPriority w:val="99"/>
    <w:semiHidden/>
    <w:unhideWhenUsed/>
    <w:rsid w:val="00BE75FF"/>
    <w:rPr>
      <w:sz w:val="21"/>
      <w:szCs w:val="21"/>
    </w:rPr>
  </w:style>
  <w:style w:type="paragraph" w:styleId="a8">
    <w:name w:val="annotation text"/>
    <w:basedOn w:val="a"/>
    <w:link w:val="Char3"/>
    <w:uiPriority w:val="99"/>
    <w:semiHidden/>
    <w:unhideWhenUsed/>
    <w:rsid w:val="00BE75FF"/>
    <w:pPr>
      <w:jc w:val="left"/>
    </w:pPr>
    <w:rPr>
      <w:lang/>
    </w:rPr>
  </w:style>
  <w:style w:type="character" w:customStyle="1" w:styleId="Char3">
    <w:name w:val="批注文字 Char"/>
    <w:link w:val="a8"/>
    <w:uiPriority w:val="99"/>
    <w:semiHidden/>
    <w:rsid w:val="00BE75FF"/>
    <w:rPr>
      <w:rFonts w:ascii="Times New Roman" w:hAnsi="Times New Roman"/>
      <w:kern w:val="2"/>
      <w:sz w:val="21"/>
      <w:szCs w:val="24"/>
      <w:lang w:bidi="ar-SA"/>
    </w:rPr>
  </w:style>
  <w:style w:type="paragraph" w:styleId="a9">
    <w:name w:val="annotation subject"/>
    <w:basedOn w:val="a8"/>
    <w:next w:val="a8"/>
    <w:link w:val="Char4"/>
    <w:uiPriority w:val="99"/>
    <w:semiHidden/>
    <w:unhideWhenUsed/>
    <w:rsid w:val="00BE75FF"/>
    <w:rPr>
      <w:b/>
      <w:bCs/>
    </w:rPr>
  </w:style>
  <w:style w:type="character" w:customStyle="1" w:styleId="Char4">
    <w:name w:val="批注主题 Char"/>
    <w:link w:val="a9"/>
    <w:uiPriority w:val="99"/>
    <w:semiHidden/>
    <w:rsid w:val="00BE75FF"/>
    <w:rPr>
      <w:rFonts w:ascii="Times New Roman" w:hAnsi="Times New Roman"/>
      <w:b/>
      <w:bCs/>
      <w:kern w:val="2"/>
      <w:sz w:val="21"/>
      <w:szCs w:val="24"/>
      <w:lang w:bidi="ar-SA"/>
    </w:rPr>
  </w:style>
  <w:style w:type="paragraph" w:styleId="aa">
    <w:name w:val="List Paragraph"/>
    <w:basedOn w:val="a"/>
    <w:uiPriority w:val="34"/>
    <w:qFormat/>
    <w:rsid w:val="006D665C"/>
    <w:pPr>
      <w:ind w:firstLineChars="200" w:firstLine="420"/>
    </w:pPr>
    <w:rPr>
      <w:rFonts w:ascii="Calibri" w:hAnsi="Calibri" w:cs="Cordia New"/>
      <w:szCs w:val="22"/>
    </w:rPr>
  </w:style>
  <w:style w:type="table" w:styleId="ab">
    <w:name w:val="Table Grid"/>
    <w:basedOn w:val="a1"/>
    <w:uiPriority w:val="39"/>
    <w:rsid w:val="0095433A"/>
    <w:rPr>
      <w:rFonts w:cs="Cordia New"/>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aff1"/>
    <w:rsid w:val="000272B9"/>
    <w:pPr>
      <w:widowControl w:val="0"/>
      <w:jc w:val="both"/>
    </w:pPr>
    <w:rPr>
      <w:kern w:val="2"/>
      <w:sz w:val="21"/>
      <w:szCs w:val="24"/>
    </w:rPr>
  </w:style>
  <w:style w:type="paragraph" w:customStyle="1" w:styleId="ac">
    <w:name w:val="正文所"/>
    <w:basedOn w:val="a"/>
    <w:link w:val="ad"/>
    <w:rsid w:val="00CA06EC"/>
    <w:pPr>
      <w:spacing w:line="360" w:lineRule="auto"/>
      <w:ind w:firstLineChars="200" w:firstLine="420"/>
    </w:pPr>
    <w:rPr>
      <w:rFonts w:ascii="宋体"/>
      <w:szCs w:val="20"/>
    </w:rPr>
  </w:style>
  <w:style w:type="character" w:customStyle="1" w:styleId="ad">
    <w:name w:val="正文所 字符"/>
    <w:link w:val="ac"/>
    <w:rsid w:val="00CA06EC"/>
    <w:rPr>
      <w:rFonts w:ascii="宋体" w:hAnsi="Times New Roman"/>
      <w:kern w:val="2"/>
      <w:sz w:val="21"/>
    </w:rPr>
  </w:style>
  <w:style w:type="paragraph" w:customStyle="1" w:styleId="a40">
    <w:name w:val="a4"/>
    <w:rsid w:val="003C5AF5"/>
    <w:pPr>
      <w:widowControl w:val="0"/>
      <w:jc w:val="both"/>
    </w:pPr>
    <w:rPr>
      <w:kern w:val="2"/>
      <w:sz w:val="21"/>
      <w:szCs w:val="24"/>
    </w:rPr>
  </w:style>
  <w:style w:type="paragraph" w:styleId="ae">
    <w:name w:val="Revision"/>
    <w:hidden/>
    <w:uiPriority w:val="99"/>
    <w:semiHidden/>
    <w:rsid w:val="003C00F3"/>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1701</Characters>
  <Application>Microsoft Office Word</Application>
  <DocSecurity>4</DocSecurity>
  <Lines>14</Lines>
  <Paragraphs>3</Paragraphs>
  <ScaleCrop>false</ScaleCrop>
  <Company>Microsoft</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2025-06-10T01:10:00Z</cp:lastPrinted>
  <dcterms:created xsi:type="dcterms:W3CDTF">2025-12-09T16:02:00Z</dcterms:created>
  <dcterms:modified xsi:type="dcterms:W3CDTF">2025-12-09T16:02:00Z</dcterms:modified>
</cp:coreProperties>
</file>