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ABD" w:rsidRDefault="000A3D44">
      <w:pPr>
        <w:spacing w:line="360" w:lineRule="auto"/>
        <w:jc w:val="center"/>
        <w:rPr>
          <w:rFonts w:ascii="宋体" w:hAnsi="宋体" w:cs="宋体"/>
          <w:b/>
          <w:bCs/>
          <w:sz w:val="30"/>
          <w:szCs w:val="30"/>
        </w:rPr>
      </w:pPr>
      <w:r>
        <w:rPr>
          <w:rFonts w:ascii="宋体" w:hAnsi="宋体" w:cs="宋体" w:hint="eastAsia"/>
          <w:b/>
          <w:bCs/>
          <w:sz w:val="30"/>
          <w:szCs w:val="30"/>
        </w:rPr>
        <w:t>关于调整中泰锦泉汇金货币市场基金管理费适用费率的公告</w:t>
      </w:r>
    </w:p>
    <w:p w:rsidR="00104ABD" w:rsidRDefault="00104ABD">
      <w:pPr>
        <w:spacing w:line="360" w:lineRule="auto"/>
        <w:ind w:firstLineChars="200" w:firstLine="480"/>
        <w:rPr>
          <w:rFonts w:ascii="宋体" w:hAnsi="宋体" w:cs="宋体"/>
          <w:sz w:val="24"/>
        </w:rPr>
      </w:pPr>
    </w:p>
    <w:p w:rsidR="00104ABD" w:rsidRDefault="000A3D44">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w:t>
      </w:r>
      <w:r>
        <w:rPr>
          <w:rFonts w:ascii="宋体" w:hAnsi="宋体" w:cs="宋体" w:hint="eastAsia"/>
          <w:b/>
          <w:bCs/>
          <w:szCs w:val="21"/>
        </w:rPr>
        <w:t xml:space="preserve"> </w:t>
      </w:r>
      <w:r>
        <w:rPr>
          <w:rFonts w:ascii="宋体" w:hAnsi="宋体" w:cs="宋体" w:hint="eastAsia"/>
          <w:b/>
          <w:bCs/>
          <w:szCs w:val="21"/>
        </w:rPr>
        <w:t>基金基本信息及管理费调整方案</w:t>
      </w:r>
    </w:p>
    <w:tbl>
      <w:tblPr>
        <w:tblStyle w:val="a5"/>
        <w:tblW w:w="0" w:type="auto"/>
        <w:jc w:val="center"/>
        <w:tblLook w:val="04A0"/>
      </w:tblPr>
      <w:tblGrid>
        <w:gridCol w:w="1735"/>
        <w:gridCol w:w="6787"/>
      </w:tblGrid>
      <w:tr w:rsidR="00104ABD">
        <w:trPr>
          <w:trHeight w:val="350"/>
          <w:jc w:val="center"/>
        </w:trPr>
        <w:tc>
          <w:tcPr>
            <w:tcW w:w="1735" w:type="dxa"/>
            <w:vAlign w:val="center"/>
          </w:tcPr>
          <w:p w:rsidR="00104ABD" w:rsidRDefault="000A3D44">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基金名称</w:t>
            </w:r>
          </w:p>
        </w:tc>
        <w:tc>
          <w:tcPr>
            <w:tcW w:w="6787" w:type="dxa"/>
            <w:vAlign w:val="bottom"/>
          </w:tcPr>
          <w:p w:rsidR="00104ABD" w:rsidRDefault="000A3D44">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中泰锦泉汇金货币市场基金</w:t>
            </w:r>
          </w:p>
        </w:tc>
      </w:tr>
      <w:tr w:rsidR="00104ABD">
        <w:trPr>
          <w:trHeight w:val="289"/>
          <w:jc w:val="center"/>
        </w:trPr>
        <w:tc>
          <w:tcPr>
            <w:tcW w:w="1735" w:type="dxa"/>
            <w:vAlign w:val="center"/>
          </w:tcPr>
          <w:p w:rsidR="00104ABD" w:rsidRDefault="000A3D44">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基金简称</w:t>
            </w:r>
          </w:p>
        </w:tc>
        <w:tc>
          <w:tcPr>
            <w:tcW w:w="6787" w:type="dxa"/>
            <w:vAlign w:val="bottom"/>
          </w:tcPr>
          <w:p w:rsidR="00104ABD" w:rsidRDefault="000A3D44">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中泰锦泉汇金货币</w:t>
            </w:r>
          </w:p>
        </w:tc>
      </w:tr>
      <w:tr w:rsidR="00104ABD">
        <w:trPr>
          <w:jc w:val="center"/>
        </w:trPr>
        <w:tc>
          <w:tcPr>
            <w:tcW w:w="1735" w:type="dxa"/>
            <w:vAlign w:val="center"/>
          </w:tcPr>
          <w:p w:rsidR="00104ABD" w:rsidRDefault="000A3D44">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基金主代码</w:t>
            </w:r>
          </w:p>
        </w:tc>
        <w:tc>
          <w:tcPr>
            <w:tcW w:w="6787" w:type="dxa"/>
            <w:vAlign w:val="bottom"/>
          </w:tcPr>
          <w:p w:rsidR="00104ABD" w:rsidRDefault="000A3D44">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014822</w:t>
            </w:r>
          </w:p>
        </w:tc>
      </w:tr>
      <w:tr w:rsidR="00104ABD">
        <w:trPr>
          <w:trHeight w:val="296"/>
          <w:jc w:val="center"/>
        </w:trPr>
        <w:tc>
          <w:tcPr>
            <w:tcW w:w="1735" w:type="dxa"/>
            <w:vAlign w:val="center"/>
          </w:tcPr>
          <w:p w:rsidR="00104ABD" w:rsidRDefault="000A3D44">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基金合同生效日</w:t>
            </w:r>
          </w:p>
        </w:tc>
        <w:tc>
          <w:tcPr>
            <w:tcW w:w="6787" w:type="dxa"/>
            <w:vAlign w:val="bottom"/>
          </w:tcPr>
          <w:p w:rsidR="00104ABD" w:rsidRDefault="000A3D44">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2022</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2</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28</w:t>
            </w:r>
            <w:r>
              <w:rPr>
                <w:rFonts w:asciiTheme="minorEastAsia" w:eastAsia="宋体" w:hAnsiTheme="minorEastAsia" w:cstheme="minorEastAsia" w:hint="eastAsia"/>
                <w:szCs w:val="21"/>
              </w:rPr>
              <w:t>日</w:t>
            </w:r>
          </w:p>
        </w:tc>
      </w:tr>
      <w:tr w:rsidR="00104ABD">
        <w:trPr>
          <w:jc w:val="center"/>
        </w:trPr>
        <w:tc>
          <w:tcPr>
            <w:tcW w:w="1735" w:type="dxa"/>
            <w:vAlign w:val="center"/>
          </w:tcPr>
          <w:p w:rsidR="00104ABD" w:rsidRDefault="000A3D44">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基金管理人名称</w:t>
            </w:r>
          </w:p>
        </w:tc>
        <w:tc>
          <w:tcPr>
            <w:tcW w:w="6787" w:type="dxa"/>
            <w:vAlign w:val="bottom"/>
          </w:tcPr>
          <w:p w:rsidR="00104ABD" w:rsidRDefault="000A3D44">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中泰证券（上海）资产管理有限公司</w:t>
            </w:r>
          </w:p>
        </w:tc>
      </w:tr>
      <w:tr w:rsidR="00104ABD">
        <w:trPr>
          <w:jc w:val="center"/>
        </w:trPr>
        <w:tc>
          <w:tcPr>
            <w:tcW w:w="1735" w:type="dxa"/>
            <w:vAlign w:val="center"/>
          </w:tcPr>
          <w:p w:rsidR="00104ABD" w:rsidRDefault="000A3D44">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基金托管人名称</w:t>
            </w:r>
          </w:p>
        </w:tc>
        <w:tc>
          <w:tcPr>
            <w:tcW w:w="6787" w:type="dxa"/>
            <w:vAlign w:val="bottom"/>
          </w:tcPr>
          <w:p w:rsidR="00104ABD" w:rsidRDefault="000A3D44">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中国证券登记结算有限责任公司</w:t>
            </w:r>
          </w:p>
        </w:tc>
      </w:tr>
      <w:tr w:rsidR="00104ABD">
        <w:trPr>
          <w:trHeight w:val="614"/>
          <w:jc w:val="center"/>
        </w:trPr>
        <w:tc>
          <w:tcPr>
            <w:tcW w:w="1735" w:type="dxa"/>
            <w:vAlign w:val="center"/>
          </w:tcPr>
          <w:p w:rsidR="00104ABD" w:rsidRDefault="000A3D44">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公告依据</w:t>
            </w:r>
          </w:p>
        </w:tc>
        <w:tc>
          <w:tcPr>
            <w:tcW w:w="6787" w:type="dxa"/>
            <w:vAlign w:val="center"/>
          </w:tcPr>
          <w:p w:rsidR="00104ABD" w:rsidRDefault="000A3D44">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《公开募集证券投资基金信息披露管理办法》、《中泰锦泉汇金货币市场基金基金合同》、《中泰锦泉汇金货币市场基金招募说明书》</w:t>
            </w:r>
          </w:p>
        </w:tc>
      </w:tr>
      <w:tr w:rsidR="00104ABD">
        <w:trPr>
          <w:jc w:val="center"/>
        </w:trPr>
        <w:tc>
          <w:tcPr>
            <w:tcW w:w="1735" w:type="dxa"/>
            <w:vAlign w:val="center"/>
          </w:tcPr>
          <w:p w:rsidR="00104ABD" w:rsidRDefault="000A3D44">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管理费下调起始日期</w:t>
            </w:r>
          </w:p>
        </w:tc>
        <w:tc>
          <w:tcPr>
            <w:tcW w:w="6787" w:type="dxa"/>
            <w:vAlign w:val="center"/>
          </w:tcPr>
          <w:p w:rsidR="00104ABD" w:rsidRDefault="000A3D44">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bookmarkStart w:id="0" w:name="_GoBack"/>
            <w:bookmarkEnd w:id="0"/>
            <w:r>
              <w:rPr>
                <w:rFonts w:asciiTheme="minorEastAsia" w:eastAsia="宋体" w:hAnsiTheme="minorEastAsia" w:cstheme="minorEastAsia" w:hint="eastAsia"/>
                <w:szCs w:val="21"/>
              </w:rPr>
              <w:t>12</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08</w:t>
            </w:r>
            <w:r>
              <w:rPr>
                <w:rFonts w:asciiTheme="minorEastAsia" w:eastAsia="宋体" w:hAnsiTheme="minorEastAsia" w:cstheme="minorEastAsia" w:hint="eastAsia"/>
                <w:szCs w:val="21"/>
              </w:rPr>
              <w:t>日</w:t>
            </w:r>
          </w:p>
        </w:tc>
      </w:tr>
      <w:tr w:rsidR="00104ABD">
        <w:trPr>
          <w:jc w:val="center"/>
        </w:trPr>
        <w:tc>
          <w:tcPr>
            <w:tcW w:w="1735" w:type="dxa"/>
            <w:vAlign w:val="center"/>
          </w:tcPr>
          <w:p w:rsidR="00104ABD" w:rsidRDefault="000A3D44">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管理费恢复起始日期</w:t>
            </w:r>
          </w:p>
        </w:tc>
        <w:tc>
          <w:tcPr>
            <w:tcW w:w="6787" w:type="dxa"/>
            <w:vAlign w:val="center"/>
          </w:tcPr>
          <w:p w:rsidR="00104ABD" w:rsidRDefault="000A3D44">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12</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09</w:t>
            </w:r>
            <w:r>
              <w:rPr>
                <w:rFonts w:asciiTheme="minorEastAsia" w:eastAsia="宋体" w:hAnsiTheme="minorEastAsia" w:cstheme="minorEastAsia" w:hint="eastAsia"/>
                <w:szCs w:val="21"/>
              </w:rPr>
              <w:t>日</w:t>
            </w:r>
          </w:p>
        </w:tc>
      </w:tr>
      <w:tr w:rsidR="00104ABD">
        <w:trPr>
          <w:jc w:val="center"/>
        </w:trPr>
        <w:tc>
          <w:tcPr>
            <w:tcW w:w="1735" w:type="dxa"/>
            <w:vAlign w:val="center"/>
          </w:tcPr>
          <w:p w:rsidR="00104ABD" w:rsidRDefault="000A3D44">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调整原因</w:t>
            </w:r>
          </w:p>
        </w:tc>
        <w:tc>
          <w:tcPr>
            <w:tcW w:w="6787" w:type="dxa"/>
            <w:vAlign w:val="bottom"/>
          </w:tcPr>
          <w:p w:rsidR="00104ABD" w:rsidRDefault="000A3D44">
            <w:pPr>
              <w:spacing w:line="360" w:lineRule="auto"/>
              <w:ind w:firstLineChars="200" w:firstLine="420"/>
              <w:rPr>
                <w:rFonts w:asciiTheme="minorEastAsia" w:eastAsia="宋体" w:hAnsiTheme="minorEastAsia" w:cstheme="minorEastAsia"/>
                <w:szCs w:val="21"/>
              </w:rPr>
            </w:pPr>
            <w:r>
              <w:rPr>
                <w:rFonts w:asciiTheme="minorEastAsia" w:eastAsia="宋体" w:hAnsiTheme="minorEastAsia" w:cstheme="minorEastAsia" w:hint="eastAsia"/>
                <w:szCs w:val="21"/>
              </w:rPr>
              <w:t>《中泰锦泉汇金货币市场基金基金合同》及《中泰锦泉汇金货币市场基金招募说明书》约定：“如果以</w:t>
            </w:r>
            <w:r>
              <w:rPr>
                <w:rFonts w:asciiTheme="minorEastAsia" w:eastAsia="宋体" w:hAnsiTheme="minorEastAsia" w:cstheme="minorEastAsia" w:hint="eastAsia"/>
                <w:szCs w:val="21"/>
              </w:rPr>
              <w:t>0.90%</w:t>
            </w:r>
            <w:r>
              <w:rPr>
                <w:rFonts w:asciiTheme="minorEastAsia" w:eastAsia="宋体" w:hAnsiTheme="minorEastAsia" w:cstheme="minorEastAsia" w:hint="eastAsia"/>
                <w:szCs w:val="21"/>
              </w:rPr>
              <w:t>的管理费计算的七日年化暂估收益率小于或等于</w:t>
            </w:r>
            <w:r>
              <w:rPr>
                <w:rFonts w:asciiTheme="minorEastAsia" w:eastAsia="宋体" w:hAnsiTheme="minorEastAsia" w:cstheme="minorEastAsia" w:hint="eastAsia"/>
                <w:szCs w:val="21"/>
              </w:rPr>
              <w:t>2</w:t>
            </w:r>
            <w:r>
              <w:rPr>
                <w:rFonts w:asciiTheme="minorEastAsia" w:eastAsia="宋体" w:hAnsiTheme="minorEastAsia" w:cstheme="minorEastAsia" w:hint="eastAsia"/>
                <w:szCs w:val="21"/>
              </w:rPr>
              <w:t>倍活期存款利率，基金管理人将调整管理费为</w:t>
            </w:r>
            <w:r>
              <w:rPr>
                <w:rFonts w:asciiTheme="minorEastAsia" w:eastAsia="宋体" w:hAnsiTheme="minorEastAsia" w:cstheme="minorEastAsia" w:hint="eastAsia"/>
                <w:szCs w:val="21"/>
              </w:rPr>
              <w:t>0.25%</w:t>
            </w:r>
            <w:r>
              <w:rPr>
                <w:rFonts w:asciiTheme="minorEastAsia" w:eastAsia="宋体" w:hAnsiTheme="minorEastAsia" w:cstheme="minorEastAsia" w:hint="eastAsia"/>
                <w:szCs w:val="21"/>
              </w:rPr>
              <w:t>，以降低每万份基金暂估净收益为负并引发销售机构交收透支的风险，直至该类风险消除，基金管理人方可恢复计提</w:t>
            </w:r>
            <w:r>
              <w:rPr>
                <w:rFonts w:asciiTheme="minorEastAsia" w:eastAsia="宋体" w:hAnsiTheme="minorEastAsia" w:cstheme="minorEastAsia" w:hint="eastAsia"/>
                <w:szCs w:val="21"/>
              </w:rPr>
              <w:t>0.90%</w:t>
            </w:r>
            <w:r>
              <w:rPr>
                <w:rFonts w:asciiTheme="minorEastAsia" w:eastAsia="宋体" w:hAnsiTheme="minorEastAsia" w:cstheme="minorEastAsia" w:hint="eastAsia"/>
                <w:szCs w:val="21"/>
              </w:rPr>
              <w:t>的管理费。基金管理人应在费率调整后依照《信息披露办法》的有关规定在规定媒介上公告。”</w:t>
            </w:r>
          </w:p>
          <w:p w:rsidR="00104ABD" w:rsidRDefault="000A3D44">
            <w:pPr>
              <w:spacing w:line="360" w:lineRule="auto"/>
              <w:ind w:firstLineChars="200" w:firstLine="420"/>
              <w:rPr>
                <w:rFonts w:asciiTheme="minorEastAsia" w:eastAsia="宋体" w:hAnsiTheme="minorEastAsia" w:cstheme="minorEastAsia"/>
                <w:szCs w:val="21"/>
              </w:rPr>
            </w:pPr>
            <w:r>
              <w:rPr>
                <w:rFonts w:asciiTheme="minorEastAsia" w:eastAsia="宋体" w:hAnsiTheme="minorEastAsia" w:cstheme="minorEastAsia" w:hint="eastAsia"/>
                <w:szCs w:val="21"/>
              </w:rPr>
              <w:t>因触发上述管理费调整情形，基金管理人决定自</w:t>
            </w:r>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12</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08</w:t>
            </w:r>
            <w:r>
              <w:rPr>
                <w:rFonts w:asciiTheme="minorEastAsia" w:eastAsia="宋体" w:hAnsiTheme="minorEastAsia" w:cstheme="minorEastAsia" w:hint="eastAsia"/>
                <w:szCs w:val="21"/>
              </w:rPr>
              <w:t>日</w:t>
            </w:r>
            <w:r>
              <w:rPr>
                <w:rFonts w:asciiTheme="minorEastAsia" w:eastAsia="宋体" w:hAnsiTheme="minorEastAsia" w:cstheme="minorEastAsia" w:hint="eastAsia"/>
                <w:szCs w:val="21"/>
              </w:rPr>
              <w:t>起将本基金管理费率调整为</w:t>
            </w:r>
            <w:r>
              <w:rPr>
                <w:rFonts w:asciiTheme="minorEastAsia" w:eastAsia="宋体" w:hAnsiTheme="minorEastAsia" w:cstheme="minorEastAsia" w:hint="eastAsia"/>
                <w:szCs w:val="21"/>
              </w:rPr>
              <w:t>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12</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09</w:t>
            </w:r>
            <w:r>
              <w:rPr>
                <w:rFonts w:asciiTheme="minorEastAsia" w:eastAsia="宋体" w:hAnsiTheme="minorEastAsia" w:cstheme="minorEastAsia" w:hint="eastAsia"/>
                <w:szCs w:val="21"/>
              </w:rPr>
              <w:t>日</w:t>
            </w:r>
            <w:r>
              <w:rPr>
                <w:rFonts w:asciiTheme="minorEastAsia" w:eastAsia="宋体" w:hAnsiTheme="minorEastAsia" w:cstheme="minorEastAsia" w:hint="eastAsia"/>
                <w:szCs w:val="21"/>
              </w:rPr>
              <w:t>，前述风险已消除，本基金管理费率恢复至</w:t>
            </w:r>
            <w:r>
              <w:rPr>
                <w:rFonts w:asciiTheme="minorEastAsia" w:eastAsia="宋体" w:hAnsiTheme="minorEastAsia" w:cstheme="minorEastAsia" w:hint="eastAsia"/>
                <w:szCs w:val="21"/>
              </w:rPr>
              <w:t>0.90%/</w:t>
            </w:r>
            <w:r>
              <w:rPr>
                <w:rFonts w:asciiTheme="minorEastAsia" w:eastAsia="宋体" w:hAnsiTheme="minorEastAsia" w:cstheme="minorEastAsia" w:hint="eastAsia"/>
                <w:szCs w:val="21"/>
              </w:rPr>
              <w:t>年。</w:t>
            </w:r>
          </w:p>
        </w:tc>
      </w:tr>
    </w:tbl>
    <w:p w:rsidR="00104ABD" w:rsidRDefault="00104ABD">
      <w:pPr>
        <w:spacing w:line="360" w:lineRule="auto"/>
        <w:ind w:firstLineChars="200" w:firstLine="420"/>
        <w:rPr>
          <w:rFonts w:ascii="宋体" w:hAnsi="宋体" w:cs="宋体"/>
          <w:szCs w:val="21"/>
        </w:rPr>
      </w:pPr>
    </w:p>
    <w:p w:rsidR="00104ABD" w:rsidRDefault="000A3D44">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、其他需要提示的事项</w:t>
      </w:r>
    </w:p>
    <w:p w:rsidR="00104ABD" w:rsidRDefault="000A3D44">
      <w:pPr>
        <w:numPr>
          <w:ilvl w:val="0"/>
          <w:numId w:val="1"/>
        </w:numPr>
        <w:spacing w:line="360" w:lineRule="auto"/>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rPr>
        <w:t>投资者可通过下列渠道了解相关信息：</w:t>
      </w:r>
    </w:p>
    <w:p w:rsidR="00104ABD" w:rsidRDefault="000A3D44">
      <w:pPr>
        <w:numPr>
          <w:ilvl w:val="0"/>
          <w:numId w:val="2"/>
        </w:num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中泰证券（上海）资产管理有限公司客户服务电话：</w:t>
      </w:r>
      <w:r>
        <w:rPr>
          <w:rFonts w:asciiTheme="majorEastAsia" w:eastAsiaTheme="majorEastAsia" w:hAnsiTheme="majorEastAsia" w:cstheme="majorEastAsia" w:hint="eastAsia"/>
        </w:rPr>
        <w:t>400-821-0808</w:t>
      </w:r>
      <w:r>
        <w:rPr>
          <w:rFonts w:asciiTheme="majorEastAsia" w:eastAsiaTheme="majorEastAsia" w:hAnsiTheme="majorEastAsia" w:cstheme="majorEastAsia" w:hint="eastAsia"/>
        </w:rPr>
        <w:t>；</w:t>
      </w:r>
    </w:p>
    <w:p w:rsidR="00104ABD" w:rsidRDefault="000A3D44">
      <w:pPr>
        <w:numPr>
          <w:ilvl w:val="0"/>
          <w:numId w:val="2"/>
        </w:num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rPr>
        <w:t>中泰证券（上海）资产管理有限公司网站：</w:t>
      </w:r>
      <w:r>
        <w:rPr>
          <w:rFonts w:asciiTheme="majorEastAsia" w:eastAsiaTheme="majorEastAsia" w:hAnsiTheme="majorEastAsia" w:cstheme="majorEastAsia" w:hint="eastAsia"/>
        </w:rPr>
        <w:t>www.ztzqzg.com</w:t>
      </w:r>
      <w:r>
        <w:rPr>
          <w:rFonts w:asciiTheme="majorEastAsia" w:eastAsiaTheme="majorEastAsia" w:hAnsiTheme="majorEastAsia" w:cstheme="majorEastAsia" w:hint="eastAsia"/>
        </w:rPr>
        <w:t>；</w:t>
      </w:r>
    </w:p>
    <w:p w:rsidR="00104ABD" w:rsidRDefault="000A3D44">
      <w:pPr>
        <w:numPr>
          <w:ilvl w:val="0"/>
          <w:numId w:val="2"/>
        </w:num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rPr>
        <w:t>本基金销售机构：中泰证券股份有限公司</w:t>
      </w:r>
    </w:p>
    <w:p w:rsidR="00104ABD" w:rsidRDefault="000A3D44">
      <w:pPr>
        <w:numPr>
          <w:ilvl w:val="0"/>
          <w:numId w:val="1"/>
        </w:numPr>
        <w:spacing w:line="360" w:lineRule="auto"/>
        <w:ind w:firstLineChars="200" w:firstLine="420"/>
        <w:rPr>
          <w:rFonts w:ascii="宋体" w:hAnsi="宋体" w:cs="宋体"/>
          <w:szCs w:val="21"/>
        </w:rPr>
      </w:pPr>
      <w:r>
        <w:rPr>
          <w:rFonts w:hint="eastAsia"/>
        </w:rPr>
        <w:t>  </w:t>
      </w:r>
      <w:r>
        <w:rPr>
          <w:rFonts w:hint="eastAsia"/>
        </w:rPr>
        <w:t>风险提示</w:t>
      </w:r>
    </w:p>
    <w:p w:rsidR="00104ABD" w:rsidRDefault="000A3D44">
      <w:pPr>
        <w:spacing w:line="360" w:lineRule="auto"/>
        <w:ind w:firstLineChars="200" w:firstLine="420"/>
      </w:pPr>
      <w:r>
        <w:rPr>
          <w:rFonts w:hint="eastAsia"/>
        </w:rPr>
        <w:t>基金管理人承诺以诚实信用、勤勉尽责的原则管理和运用基金资产，但不保证基金一定</w:t>
      </w:r>
      <w:r>
        <w:rPr>
          <w:rFonts w:hint="eastAsia"/>
        </w:rPr>
        <w:lastRenderedPageBreak/>
        <w:t>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w:t>
      </w:r>
      <w:r>
        <w:rPr>
          <w:rFonts w:hint="eastAsia"/>
        </w:rPr>
        <w:t>"</w:t>
      </w:r>
      <w:r>
        <w:rPr>
          <w:rFonts w:hint="eastAsia"/>
        </w:rPr>
        <w:t>买者自负</w:t>
      </w:r>
      <w:r>
        <w:rPr>
          <w:rFonts w:hint="eastAsia"/>
        </w:rPr>
        <w:t>"</w:t>
      </w:r>
      <w:r>
        <w:rPr>
          <w:rFonts w:hint="eastAsia"/>
        </w:rPr>
        <w:t>原则，请投资者根据自身的风险承受能力选择适合自己的基金产品。</w:t>
      </w:r>
    </w:p>
    <w:p w:rsidR="00104ABD" w:rsidRDefault="000A3D44">
      <w:pPr>
        <w:spacing w:line="360" w:lineRule="auto"/>
        <w:ind w:firstLineChars="200" w:firstLine="420"/>
        <w:rPr>
          <w:rFonts w:ascii="宋体" w:hAnsi="宋体" w:cs="宋体"/>
          <w:szCs w:val="21"/>
        </w:rPr>
      </w:pPr>
      <w:r>
        <w:rPr>
          <w:rFonts w:hint="eastAsia"/>
        </w:rPr>
        <w:t>本基金是以投资者交易结算资金为管理对象的货币市场基金，购买货币市场基金并不等于将资金作为存款存放在银行或者存款类金融</w:t>
      </w:r>
      <w:r>
        <w:rPr>
          <w:rFonts w:hint="eastAsia"/>
        </w:rPr>
        <w:t>机构。本基金对接服务的资金仅限于证券公司经纪业务客户交易结算资金，投资者持有的基金份额可用于客户资金账户交易结算；但是，本基金基金份额不等于投资者交易结算资金，本基金可能会给投资者证券交易、取款等带来习惯改变。敬请注意投资风险。</w:t>
      </w:r>
    </w:p>
    <w:p w:rsidR="00104ABD" w:rsidRDefault="00104ABD">
      <w:pPr>
        <w:spacing w:line="360" w:lineRule="auto"/>
        <w:rPr>
          <w:rFonts w:ascii="宋体" w:hAnsi="宋体" w:cs="宋体"/>
          <w:szCs w:val="21"/>
        </w:rPr>
      </w:pPr>
    </w:p>
    <w:p w:rsidR="00104ABD" w:rsidRDefault="000A3D44">
      <w:pPr>
        <w:spacing w:line="360" w:lineRule="auto"/>
        <w:jc w:val="right"/>
        <w:rPr>
          <w:rFonts w:asciiTheme="minorEastAsia" w:eastAsia="宋体" w:hAnsiTheme="minorEastAsia" w:cstheme="minorEastAsia"/>
          <w:b/>
          <w:bCs/>
          <w:szCs w:val="21"/>
        </w:rPr>
      </w:pPr>
      <w:r>
        <w:rPr>
          <w:rFonts w:asciiTheme="minorEastAsia" w:eastAsia="宋体" w:hAnsiTheme="minorEastAsia" w:cstheme="minorEastAsia" w:hint="eastAsia"/>
          <w:b/>
          <w:bCs/>
          <w:szCs w:val="21"/>
        </w:rPr>
        <w:t>中泰证券（上海）资产管理有限公司</w:t>
      </w:r>
    </w:p>
    <w:p w:rsidR="00104ABD" w:rsidRDefault="000A3D44">
      <w:pPr>
        <w:wordWrap w:val="0"/>
        <w:spacing w:line="360" w:lineRule="auto"/>
        <w:jc w:val="right"/>
        <w:rPr>
          <w:rFonts w:ascii="宋体" w:hAnsi="宋体" w:cs="宋体"/>
          <w:b/>
          <w:bCs/>
          <w:szCs w:val="21"/>
        </w:rPr>
      </w:pPr>
      <w:r>
        <w:rPr>
          <w:rFonts w:ascii="宋体" w:hAnsi="宋体" w:cs="宋体" w:hint="eastAsia"/>
          <w:b/>
          <w:bCs/>
          <w:szCs w:val="21"/>
        </w:rPr>
        <w:t>2025</w:t>
      </w:r>
      <w:r>
        <w:rPr>
          <w:rFonts w:ascii="宋体" w:hAnsi="宋体" w:cs="宋体" w:hint="eastAsia"/>
          <w:b/>
          <w:bCs/>
          <w:szCs w:val="21"/>
        </w:rPr>
        <w:t>年</w:t>
      </w:r>
      <w:r>
        <w:rPr>
          <w:rFonts w:ascii="宋体" w:hAnsi="宋体" w:cs="宋体" w:hint="eastAsia"/>
          <w:b/>
          <w:bCs/>
          <w:szCs w:val="21"/>
        </w:rPr>
        <w:t>12</w:t>
      </w:r>
      <w:r>
        <w:rPr>
          <w:rFonts w:ascii="宋体" w:hAnsi="宋体" w:cs="宋体" w:hint="eastAsia"/>
          <w:b/>
          <w:bCs/>
          <w:szCs w:val="21"/>
        </w:rPr>
        <w:t>月</w:t>
      </w:r>
      <w:r>
        <w:rPr>
          <w:rFonts w:ascii="宋体" w:hAnsi="宋体" w:cs="宋体" w:hint="eastAsia"/>
          <w:b/>
          <w:bCs/>
          <w:szCs w:val="21"/>
        </w:rPr>
        <w:t>10</w:t>
      </w:r>
      <w:r>
        <w:rPr>
          <w:rFonts w:ascii="宋体" w:hAnsi="宋体" w:cs="宋体" w:hint="eastAsia"/>
          <w:b/>
          <w:bCs/>
          <w:szCs w:val="21"/>
        </w:rPr>
        <w:t>日</w:t>
      </w:r>
    </w:p>
    <w:p w:rsidR="00104ABD" w:rsidRDefault="00104ABD">
      <w:pPr>
        <w:spacing w:line="360" w:lineRule="auto"/>
        <w:jc w:val="center"/>
        <w:rPr>
          <w:rFonts w:ascii="宋体" w:hAnsi="宋体" w:cs="宋体"/>
          <w:szCs w:val="21"/>
        </w:rPr>
      </w:pPr>
    </w:p>
    <w:sectPr w:rsidR="00104ABD" w:rsidSect="00104AB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A51ACC"/>
    <w:multiLevelType w:val="singleLevel"/>
    <w:tmpl w:val="B1A51ACC"/>
    <w:lvl w:ilvl="0">
      <w:start w:val="1"/>
      <w:numFmt w:val="decimal"/>
      <w:lvlText w:val="%1)"/>
      <w:lvlJc w:val="left"/>
      <w:pPr>
        <w:tabs>
          <w:tab w:val="left" w:pos="312"/>
        </w:tabs>
        <w:ind w:left="514" w:firstLine="0"/>
      </w:pPr>
    </w:lvl>
  </w:abstractNum>
  <w:abstractNum w:abstractNumId="1">
    <w:nsid w:val="26582FE8"/>
    <w:multiLevelType w:val="singleLevel"/>
    <w:tmpl w:val="26582FE8"/>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trackRevision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802CA7"/>
    <w:rsid w:val="000A3D44"/>
    <w:rsid w:val="00104ABD"/>
    <w:rsid w:val="004D53DC"/>
    <w:rsid w:val="006B0A6F"/>
    <w:rsid w:val="006E3665"/>
    <w:rsid w:val="00795CF9"/>
    <w:rsid w:val="007A23A4"/>
    <w:rsid w:val="007E1471"/>
    <w:rsid w:val="00802CA7"/>
    <w:rsid w:val="009661BF"/>
    <w:rsid w:val="00D026AE"/>
    <w:rsid w:val="00D02D71"/>
    <w:rsid w:val="00D83EA1"/>
    <w:rsid w:val="00FD0620"/>
    <w:rsid w:val="098D2289"/>
    <w:rsid w:val="14403C27"/>
    <w:rsid w:val="199C048A"/>
    <w:rsid w:val="28382BD7"/>
    <w:rsid w:val="2A436478"/>
    <w:rsid w:val="367D667D"/>
    <w:rsid w:val="3EB62A83"/>
    <w:rsid w:val="4764184A"/>
    <w:rsid w:val="4D74698C"/>
    <w:rsid w:val="4FB425C0"/>
    <w:rsid w:val="50A51D3B"/>
    <w:rsid w:val="515E246E"/>
    <w:rsid w:val="54E933CE"/>
    <w:rsid w:val="55BD1E4A"/>
    <w:rsid w:val="572D51F9"/>
    <w:rsid w:val="5CD53A4D"/>
    <w:rsid w:val="61415711"/>
    <w:rsid w:val="64850BC1"/>
    <w:rsid w:val="69C505E6"/>
    <w:rsid w:val="6C712C96"/>
    <w:rsid w:val="6E233564"/>
    <w:rsid w:val="6ED3771E"/>
    <w:rsid w:val="71DA44EA"/>
    <w:rsid w:val="7BF96D55"/>
    <w:rsid w:val="7FF24E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4AB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04ABD"/>
    <w:pPr>
      <w:tabs>
        <w:tab w:val="center" w:pos="4153"/>
        <w:tab w:val="right" w:pos="8306"/>
      </w:tabs>
      <w:snapToGrid w:val="0"/>
      <w:jc w:val="left"/>
    </w:pPr>
    <w:rPr>
      <w:sz w:val="18"/>
      <w:szCs w:val="18"/>
    </w:rPr>
  </w:style>
  <w:style w:type="paragraph" w:styleId="a4">
    <w:name w:val="header"/>
    <w:basedOn w:val="a"/>
    <w:link w:val="Char0"/>
    <w:qFormat/>
    <w:rsid w:val="00104ABD"/>
    <w:pPr>
      <w:tabs>
        <w:tab w:val="center" w:pos="4153"/>
        <w:tab w:val="right" w:pos="8306"/>
      </w:tabs>
      <w:snapToGrid w:val="0"/>
      <w:jc w:val="center"/>
    </w:pPr>
    <w:rPr>
      <w:sz w:val="18"/>
      <w:szCs w:val="18"/>
    </w:rPr>
  </w:style>
  <w:style w:type="table" w:styleId="a5">
    <w:name w:val="Table Grid"/>
    <w:basedOn w:val="a1"/>
    <w:qFormat/>
    <w:rsid w:val="00104AB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104ABD"/>
    <w:rPr>
      <w:color w:val="0000FF"/>
      <w:u w:val="single"/>
    </w:rPr>
  </w:style>
  <w:style w:type="character" w:customStyle="1" w:styleId="Char0">
    <w:name w:val="页眉 Char"/>
    <w:basedOn w:val="a0"/>
    <w:link w:val="a4"/>
    <w:qFormat/>
    <w:rsid w:val="00104ABD"/>
    <w:rPr>
      <w:rFonts w:asciiTheme="minorHAnsi" w:eastAsiaTheme="minorEastAsia" w:hAnsiTheme="minorHAnsi" w:cstheme="minorBidi"/>
      <w:kern w:val="2"/>
      <w:sz w:val="18"/>
      <w:szCs w:val="18"/>
    </w:rPr>
  </w:style>
  <w:style w:type="character" w:customStyle="1" w:styleId="Char">
    <w:name w:val="页脚 Char"/>
    <w:basedOn w:val="a0"/>
    <w:link w:val="a3"/>
    <w:qFormat/>
    <w:rsid w:val="00104ABD"/>
    <w:rPr>
      <w:rFonts w:asciiTheme="minorHAnsi" w:eastAsiaTheme="minorEastAsia" w:hAnsiTheme="minorHAnsi" w:cstheme="minorBidi"/>
      <w:kern w:val="2"/>
      <w:sz w:val="18"/>
      <w:szCs w:val="18"/>
    </w:rPr>
  </w:style>
  <w:style w:type="paragraph" w:customStyle="1" w:styleId="1">
    <w:name w:val="修订1"/>
    <w:hidden/>
    <w:uiPriority w:val="99"/>
    <w:unhideWhenUsed/>
    <w:qFormat/>
    <w:rsid w:val="00104ABD"/>
    <w:rPr>
      <w:rFonts w:asciiTheme="minorHAnsi" w:eastAsiaTheme="minorEastAsia" w:hAnsiTheme="minorHAnsi" w:cstheme="minorBidi"/>
      <w:kern w:val="2"/>
      <w:sz w:val="21"/>
      <w:szCs w:val="24"/>
    </w:rPr>
  </w:style>
  <w:style w:type="paragraph" w:customStyle="1" w:styleId="2">
    <w:name w:val="修订2"/>
    <w:hidden/>
    <w:uiPriority w:val="99"/>
    <w:unhideWhenUsed/>
    <w:qFormat/>
    <w:rsid w:val="00104ABD"/>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936</Characters>
  <Application>Microsoft Office Word</Application>
  <DocSecurity>4</DocSecurity>
  <Lines>7</Lines>
  <Paragraphs>2</Paragraphs>
  <ScaleCrop>false</ScaleCrop>
  <Company>CNSTOCK</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2025-12-09T16:00:00Z</dcterms:created>
  <dcterms:modified xsi:type="dcterms:W3CDTF">2025-12-09T16:00:00Z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62102DC8C56E4E2285566AAA6B02445D</vt:lpwstr>
  </property>
</Properties>
</file>