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4248">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基金新增广发证券股份有限公司为代销机构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754248">
      <w:pPr>
        <w:spacing w:line="400" w:lineRule="exact"/>
        <w:jc w:val="center"/>
        <w:rPr>
          <w:rStyle w:val="da"/>
          <w:rFonts w:ascii="宋体" w:hAnsi="宋体" w:hint="eastAsia"/>
          <w:b/>
          <w:bCs/>
        </w:rPr>
      </w:pPr>
    </w:p>
    <w:p w:rsidR="00000000" w:rsidRDefault="00754248">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根据东吴基金管理有限公司（以下简称“东吴基金”）与广发证券股份有限公司（以下简称</w:t>
      </w:r>
      <w:r>
        <w:rPr>
          <w:rFonts w:cs="宋体" w:hint="eastAsia"/>
          <w:kern w:val="0"/>
          <w:szCs w:val="21"/>
        </w:rPr>
        <w:t>“</w:t>
      </w:r>
      <w:r>
        <w:rPr>
          <w:rFonts w:cs="宋体" w:hint="eastAsia"/>
          <w:kern w:val="0"/>
          <w:szCs w:val="21"/>
        </w:rPr>
        <w:t>广发证券</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12</w:t>
      </w:r>
      <w:r>
        <w:rPr>
          <w:rFonts w:cs="宋体" w:hint="eastAsia"/>
          <w:kern w:val="0"/>
          <w:szCs w:val="21"/>
        </w:rPr>
        <w:t>月</w:t>
      </w:r>
      <w:r>
        <w:rPr>
          <w:rFonts w:cs="宋体" w:hint="eastAsia"/>
          <w:kern w:val="0"/>
          <w:szCs w:val="21"/>
        </w:rPr>
        <w:t>11</w:t>
      </w:r>
      <w:r>
        <w:rPr>
          <w:rFonts w:cs="宋体" w:hint="eastAsia"/>
          <w:kern w:val="0"/>
          <w:szCs w:val="21"/>
        </w:rPr>
        <w:t>日</w:t>
      </w:r>
      <w:r>
        <w:rPr>
          <w:rFonts w:cs="宋体" w:hint="eastAsia"/>
          <w:kern w:val="0"/>
          <w:szCs w:val="21"/>
        </w:rPr>
        <w:t>起通过</w:t>
      </w:r>
      <w:r>
        <w:rPr>
          <w:rFonts w:cs="宋体" w:hint="eastAsia"/>
          <w:kern w:val="0"/>
          <w:szCs w:val="21"/>
        </w:rPr>
        <w:t>广发证券</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754248">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462"/>
        <w:gridCol w:w="2263"/>
      </w:tblGrid>
      <w:tr w:rsidR="00000000">
        <w:trPr>
          <w:trHeight w:val="90"/>
          <w:jc w:val="center"/>
        </w:trPr>
        <w:tc>
          <w:tcPr>
            <w:tcW w:w="676" w:type="dxa"/>
          </w:tcPr>
          <w:p w:rsidR="00000000" w:rsidRDefault="00754248">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462" w:type="dxa"/>
          </w:tcPr>
          <w:p w:rsidR="00000000" w:rsidRDefault="00754248">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263" w:type="dxa"/>
          </w:tcPr>
          <w:p w:rsidR="00000000" w:rsidRDefault="00754248">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东吴嘉禾优势精选混合型开放式证券投资基金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015152</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东吴价值成长双动力混合型证券投资</w:t>
            </w:r>
            <w:r>
              <w:rPr>
                <w:rFonts w:ascii="Times New Roman" w:hAnsi="Times New Roman" w:cs="宋体" w:hint="eastAsia"/>
                <w:szCs w:val="21"/>
                <w:lang/>
              </w:rPr>
              <w:t>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011241</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东吴行业轮动混合型证券投资基金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011240</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东吴进取策略灵活配置混合型开放式证券投资基金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011242</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东吴新产业精选股票型证券投资基金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011470</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东吴安享量化灵活配置混合型证券投资基金</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spacing w:line="400" w:lineRule="exact"/>
              <w:rPr>
                <w:rFonts w:ascii="Times New Roman" w:hAnsi="Times New Roman" w:cs="宋体" w:hint="eastAsia"/>
                <w:szCs w:val="21"/>
                <w:lang/>
              </w:rPr>
            </w:pPr>
            <w:r>
              <w:rPr>
                <w:rFonts w:ascii="Times New Roman" w:hAnsi="Times New Roman" w:cs="宋体" w:hint="eastAsia"/>
                <w:szCs w:val="21"/>
                <w:lang/>
              </w:rPr>
              <w:t>014571</w:t>
            </w:r>
          </w:p>
        </w:tc>
      </w:tr>
      <w:tr w:rsidR="00000000">
        <w:trPr>
          <w:trHeight w:val="385"/>
          <w:jc w:val="center"/>
        </w:trPr>
        <w:tc>
          <w:tcPr>
            <w:tcW w:w="676" w:type="dxa"/>
          </w:tcPr>
          <w:p w:rsidR="00000000" w:rsidRDefault="00754248">
            <w:pPr>
              <w:widowControl/>
              <w:numPr>
                <w:ilvl w:val="0"/>
                <w:numId w:val="2"/>
              </w:numPr>
              <w:spacing w:line="400" w:lineRule="exact"/>
              <w:jc w:val="left"/>
              <w:rPr>
                <w:rFonts w:ascii="Times New Roman" w:hAnsi="Times New Roman" w:cs="宋体" w:hint="eastAsia"/>
                <w:szCs w:val="21"/>
              </w:rPr>
            </w:pPr>
          </w:p>
        </w:tc>
        <w:tc>
          <w:tcPr>
            <w:tcW w:w="5462" w:type="dxa"/>
            <w:vAlign w:val="center"/>
          </w:tcPr>
          <w:p w:rsidR="00000000" w:rsidRDefault="00754248">
            <w:pPr>
              <w:widowControl/>
              <w:jc w:val="left"/>
              <w:textAlignment w:val="center"/>
              <w:rPr>
                <w:rFonts w:ascii="Times New Roman" w:hAnsi="Times New Roman" w:cs="宋体" w:hint="eastAsia"/>
                <w:szCs w:val="21"/>
                <w:lang/>
              </w:rPr>
            </w:pPr>
            <w:r>
              <w:rPr>
                <w:rFonts w:ascii="Times New Roman" w:hAnsi="Times New Roman" w:cs="宋体" w:hint="eastAsia"/>
                <w:szCs w:val="21"/>
                <w:lang/>
              </w:rPr>
              <w:t>东吴添</w:t>
            </w:r>
            <w:r>
              <w:rPr>
                <w:rFonts w:ascii="Times New Roman" w:hAnsi="Times New Roman" w:cs="宋体" w:hint="eastAsia"/>
                <w:szCs w:val="21"/>
                <w:lang/>
              </w:rPr>
              <w:t>瑞</w:t>
            </w:r>
            <w:r>
              <w:rPr>
                <w:rFonts w:ascii="Times New Roman" w:hAnsi="Times New Roman" w:cs="宋体" w:hint="eastAsia"/>
                <w:szCs w:val="21"/>
                <w:lang/>
              </w:rPr>
              <w:t>三个月定期开放债券型证券投资基金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263" w:type="dxa"/>
            <w:vAlign w:val="center"/>
          </w:tcPr>
          <w:p w:rsidR="00000000" w:rsidRDefault="00754248">
            <w:pPr>
              <w:widowControl/>
              <w:textAlignment w:val="center"/>
              <w:rPr>
                <w:rFonts w:ascii="Times New Roman" w:hAnsi="Times New Roman" w:cs="宋体" w:hint="eastAsia"/>
                <w:szCs w:val="21"/>
                <w:lang/>
              </w:rPr>
            </w:pPr>
            <w:r>
              <w:rPr>
                <w:rFonts w:ascii="Times New Roman" w:hAnsi="Times New Roman" w:cs="宋体" w:hint="eastAsia"/>
                <w:szCs w:val="21"/>
                <w:lang/>
              </w:rPr>
              <w:t>018416/018417</w:t>
            </w:r>
          </w:p>
        </w:tc>
      </w:tr>
    </w:tbl>
    <w:p w:rsidR="00000000" w:rsidRDefault="00754248">
      <w:pPr>
        <w:widowControl/>
        <w:spacing w:line="360" w:lineRule="auto"/>
        <w:ind w:firstLineChars="200" w:firstLine="420"/>
        <w:jc w:val="left"/>
        <w:rPr>
          <w:rFonts w:cs="宋体" w:hint="eastAsia"/>
          <w:szCs w:val="21"/>
        </w:rPr>
      </w:pPr>
      <w:r>
        <w:rPr>
          <w:rFonts w:cs="宋体" w:hint="eastAsia"/>
          <w:szCs w:val="21"/>
        </w:rPr>
        <w:t>（备注：定期开放式产品具体开放时间以产品公告为准）</w:t>
      </w:r>
    </w:p>
    <w:p w:rsidR="00000000" w:rsidRDefault="00754248">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w:t>
      </w:r>
      <w:r>
        <w:rPr>
          <w:rFonts w:cs="宋体" w:hint="eastAsia"/>
          <w:szCs w:val="21"/>
        </w:rPr>
        <w:t>相关规定为准。</w:t>
      </w:r>
    </w:p>
    <w:p w:rsidR="00000000" w:rsidRDefault="00754248">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754248">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754248">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12</w:t>
      </w:r>
      <w:r>
        <w:rPr>
          <w:rFonts w:cs="宋体" w:hint="eastAsia"/>
          <w:szCs w:val="21"/>
        </w:rPr>
        <w:t>月</w:t>
      </w:r>
      <w:r>
        <w:rPr>
          <w:rFonts w:cs="宋体" w:hint="eastAsia"/>
          <w:szCs w:val="21"/>
        </w:rPr>
        <w:t>11</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广发证券</w:t>
      </w:r>
      <w:r>
        <w:rPr>
          <w:rFonts w:cs="宋体" w:hint="eastAsia"/>
          <w:szCs w:val="21"/>
        </w:rPr>
        <w:t>的定期定额投资业务</w:t>
      </w:r>
      <w:r>
        <w:rPr>
          <w:rFonts w:ascii="宋体" w:hAnsi="宋体" w:cs="宋体" w:hint="eastAsia"/>
          <w:szCs w:val="21"/>
        </w:rPr>
        <w:t>（</w:t>
      </w:r>
      <w:r>
        <w:rPr>
          <w:rFonts w:ascii="宋体" w:hAnsi="宋体" w:cs="宋体" w:hint="eastAsia"/>
          <w:szCs w:val="21"/>
          <w:lang/>
        </w:rPr>
        <w:t>东吴添</w:t>
      </w:r>
      <w:r>
        <w:rPr>
          <w:rFonts w:ascii="宋体" w:hAnsi="宋体" w:cs="宋体" w:hint="eastAsia"/>
          <w:szCs w:val="21"/>
          <w:lang/>
        </w:rPr>
        <w:t>瑞</w:t>
      </w:r>
      <w:r>
        <w:rPr>
          <w:rFonts w:ascii="宋体" w:hAnsi="宋体" w:cs="宋体" w:hint="eastAsia"/>
          <w:szCs w:val="21"/>
          <w:lang/>
        </w:rPr>
        <w:t>三个月定期开放债券型证券投资基金</w:t>
      </w:r>
      <w:r>
        <w:rPr>
          <w:rFonts w:ascii="宋体" w:hAnsi="宋体" w:cs="宋体" w:hint="eastAsia"/>
          <w:szCs w:val="21"/>
          <w:lang/>
        </w:rPr>
        <w:t>暂不开通</w:t>
      </w:r>
      <w:r>
        <w:rPr>
          <w:rFonts w:ascii="宋体" w:hAnsi="宋体" w:cs="宋体" w:hint="eastAsia"/>
          <w:szCs w:val="21"/>
        </w:rPr>
        <w:t>）</w:t>
      </w:r>
      <w:r>
        <w:rPr>
          <w:rFonts w:cs="宋体" w:hint="eastAsia"/>
          <w:szCs w:val="21"/>
        </w:rPr>
        <w:t>。</w:t>
      </w:r>
    </w:p>
    <w:p w:rsidR="00000000" w:rsidRDefault="00754248">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广发证券</w:t>
      </w:r>
      <w:r>
        <w:rPr>
          <w:rFonts w:cs="宋体" w:hint="eastAsia"/>
          <w:szCs w:val="21"/>
        </w:rPr>
        <w:t>提交申请，约定每期扣款时间、扣款金额及扣款方式，由</w:t>
      </w:r>
      <w:r>
        <w:rPr>
          <w:rFonts w:cs="宋体" w:hint="eastAsia"/>
          <w:szCs w:val="21"/>
        </w:rPr>
        <w:t>广发证券</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及基金申购业务。投资者在办理基金“定期定额投资业务”的同时，仍然可以进行日常申购、赎回业务。</w:t>
      </w:r>
    </w:p>
    <w:p w:rsidR="00000000" w:rsidRDefault="00754248">
      <w:pPr>
        <w:spacing w:line="360" w:lineRule="auto"/>
        <w:ind w:firstLineChars="200" w:firstLine="420"/>
        <w:rPr>
          <w:rFonts w:cs="宋体" w:hint="eastAsia"/>
          <w:szCs w:val="21"/>
        </w:rPr>
      </w:pPr>
      <w:r>
        <w:rPr>
          <w:rFonts w:cs="宋体" w:hint="eastAsia"/>
          <w:szCs w:val="21"/>
        </w:rPr>
        <w:t>（一）适用</w:t>
      </w:r>
      <w:r>
        <w:rPr>
          <w:rFonts w:cs="宋体" w:hint="eastAsia"/>
          <w:szCs w:val="21"/>
        </w:rPr>
        <w:t>投资者</w:t>
      </w:r>
    </w:p>
    <w:p w:rsidR="00000000" w:rsidRDefault="00754248">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w:t>
      </w:r>
      <w:r>
        <w:rPr>
          <w:rFonts w:cs="宋体" w:hint="eastAsia"/>
          <w:szCs w:val="21"/>
        </w:rPr>
        <w:lastRenderedPageBreak/>
        <w:t>资基金的合法投资者。</w:t>
      </w:r>
    </w:p>
    <w:p w:rsidR="00000000" w:rsidRDefault="00754248">
      <w:pPr>
        <w:spacing w:line="360" w:lineRule="auto"/>
        <w:ind w:firstLineChars="200" w:firstLine="420"/>
        <w:rPr>
          <w:rFonts w:cs="宋体" w:hint="eastAsia"/>
          <w:szCs w:val="21"/>
        </w:rPr>
      </w:pPr>
      <w:r>
        <w:rPr>
          <w:rFonts w:cs="宋体" w:hint="eastAsia"/>
          <w:szCs w:val="21"/>
        </w:rPr>
        <w:t>（二）办理场所</w:t>
      </w:r>
    </w:p>
    <w:p w:rsidR="00000000" w:rsidRDefault="00754248">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广发证券</w:t>
      </w:r>
      <w:r>
        <w:rPr>
          <w:rFonts w:cs="宋体" w:hint="eastAsia"/>
          <w:kern w:val="0"/>
          <w:szCs w:val="21"/>
        </w:rPr>
        <w:t>交易系统</w:t>
      </w:r>
      <w:r>
        <w:rPr>
          <w:rFonts w:cs="宋体" w:hint="eastAsia"/>
          <w:szCs w:val="21"/>
        </w:rPr>
        <w:t>，办理“定期定额投资业务”申请。</w:t>
      </w:r>
    </w:p>
    <w:p w:rsidR="00000000" w:rsidRDefault="00754248">
      <w:pPr>
        <w:spacing w:line="360" w:lineRule="auto"/>
        <w:ind w:firstLineChars="200" w:firstLine="420"/>
        <w:rPr>
          <w:rFonts w:cs="宋体" w:hint="eastAsia"/>
          <w:szCs w:val="21"/>
        </w:rPr>
      </w:pPr>
      <w:r>
        <w:rPr>
          <w:rFonts w:cs="宋体" w:hint="eastAsia"/>
          <w:szCs w:val="21"/>
        </w:rPr>
        <w:t>（三）办理方式</w:t>
      </w:r>
    </w:p>
    <w:p w:rsidR="00000000" w:rsidRDefault="00754248">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广发证券</w:t>
      </w:r>
      <w:r>
        <w:rPr>
          <w:rFonts w:cs="宋体" w:hint="eastAsia"/>
          <w:szCs w:val="21"/>
        </w:rPr>
        <w:t>直接开户便可进行东吴基金定期定额投资业务。</w:t>
      </w:r>
    </w:p>
    <w:p w:rsidR="00000000" w:rsidRDefault="00754248">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广发证券</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754248">
      <w:pPr>
        <w:spacing w:line="360" w:lineRule="auto"/>
        <w:ind w:firstLineChars="200" w:firstLine="420"/>
        <w:rPr>
          <w:rFonts w:cs="宋体" w:hint="eastAsia"/>
          <w:szCs w:val="21"/>
        </w:rPr>
      </w:pPr>
      <w:r>
        <w:rPr>
          <w:rFonts w:cs="宋体" w:hint="eastAsia"/>
          <w:szCs w:val="21"/>
        </w:rPr>
        <w:t>（四）办理时间</w:t>
      </w:r>
    </w:p>
    <w:p w:rsidR="00000000" w:rsidRDefault="00754248">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754248">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754248">
      <w:pPr>
        <w:widowControl/>
        <w:spacing w:line="360" w:lineRule="auto"/>
        <w:ind w:firstLineChars="200" w:firstLine="420"/>
        <w:jc w:val="left"/>
        <w:rPr>
          <w:rFonts w:cs="宋体" w:hint="eastAsia"/>
          <w:color w:val="000000"/>
          <w:szCs w:val="21"/>
        </w:rPr>
      </w:pPr>
      <w:r>
        <w:rPr>
          <w:rFonts w:cs="宋体" w:hint="eastAsia"/>
          <w:szCs w:val="21"/>
        </w:rPr>
        <w:t>投资者</w:t>
      </w:r>
      <w:r>
        <w:rPr>
          <w:rFonts w:cs="宋体" w:hint="eastAsia"/>
          <w:szCs w:val="21"/>
        </w:rPr>
        <w:t>应与</w:t>
      </w:r>
      <w:r>
        <w:rPr>
          <w:rFonts w:cs="宋体" w:hint="eastAsia"/>
          <w:kern w:val="0"/>
          <w:szCs w:val="21"/>
        </w:rPr>
        <w:t>广发证券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754248">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754248">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754248">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12</w:t>
      </w:r>
      <w:r>
        <w:rPr>
          <w:rFonts w:cs="宋体" w:hint="eastAsia"/>
          <w:szCs w:val="21"/>
        </w:rPr>
        <w:t>月</w:t>
      </w:r>
      <w:r>
        <w:rPr>
          <w:rFonts w:cs="宋体" w:hint="eastAsia"/>
          <w:szCs w:val="21"/>
        </w:rPr>
        <w:t>11</w:t>
      </w:r>
      <w:r>
        <w:rPr>
          <w:rFonts w:cs="宋体" w:hint="eastAsia"/>
          <w:szCs w:val="21"/>
        </w:rPr>
        <w:t>日</w:t>
      </w:r>
      <w:r>
        <w:rPr>
          <w:rFonts w:cs="宋体" w:hint="eastAsia"/>
          <w:szCs w:val="21"/>
        </w:rPr>
        <w:t>起同时在</w:t>
      </w:r>
      <w:r>
        <w:rPr>
          <w:rFonts w:cs="宋体" w:hint="eastAsia"/>
          <w:szCs w:val="21"/>
        </w:rPr>
        <w:t>广发证券</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754248">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754248">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754248">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754248">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w:t>
      </w:r>
      <w:r>
        <w:rPr>
          <w:rFonts w:cs="宋体" w:hint="eastAsia"/>
          <w:szCs w:val="21"/>
        </w:rPr>
        <w:t>换时除外）。具体业务办理时间与基金日常申购业务时间相同。</w:t>
      </w:r>
    </w:p>
    <w:p w:rsidR="00000000" w:rsidRDefault="00754248">
      <w:pPr>
        <w:spacing w:line="360" w:lineRule="auto"/>
        <w:ind w:firstLineChars="200" w:firstLine="420"/>
        <w:rPr>
          <w:rFonts w:cs="宋体" w:hint="eastAsia"/>
          <w:szCs w:val="21"/>
        </w:rPr>
      </w:pPr>
      <w:r>
        <w:rPr>
          <w:rFonts w:cs="宋体" w:hint="eastAsia"/>
          <w:szCs w:val="21"/>
        </w:rPr>
        <w:t>（三）基金转换业务规则</w:t>
      </w:r>
    </w:p>
    <w:p w:rsidR="00000000" w:rsidRDefault="00754248">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754248">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754248">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754248">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、广发证券股份有限公司</w:t>
      </w:r>
    </w:p>
    <w:p w:rsidR="00000000" w:rsidRDefault="00754248">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95575</w:t>
      </w:r>
    </w:p>
    <w:p w:rsidR="00000000" w:rsidRDefault="00754248">
      <w:pPr>
        <w:spacing w:line="360" w:lineRule="auto"/>
        <w:ind w:firstLineChars="350" w:firstLine="735"/>
        <w:rPr>
          <w:rFonts w:cs="宋体" w:hint="eastAsia"/>
          <w:kern w:val="0"/>
          <w:szCs w:val="21"/>
        </w:rPr>
      </w:pPr>
      <w:r>
        <w:rPr>
          <w:rFonts w:cs="宋体" w:hint="eastAsia"/>
          <w:kern w:val="0"/>
          <w:szCs w:val="21"/>
        </w:rPr>
        <w:t>公司网址：</w:t>
      </w:r>
      <w:r>
        <w:rPr>
          <w:rFonts w:cs="宋体" w:hint="eastAsia"/>
          <w:kern w:val="0"/>
          <w:szCs w:val="21"/>
        </w:rPr>
        <w:t>www.gf.com.cn</w:t>
      </w:r>
      <w:hyperlink r:id="rId5" w:history="1"/>
      <w:hyperlink r:id="rId6" w:tooltip="blocked::http://www.shzq.com/" w:history="1"/>
      <w:hyperlink r:id="rId7" w:history="1"/>
      <w:hyperlink r:id="rId8" w:history="1"/>
    </w:p>
    <w:p w:rsidR="00000000" w:rsidRDefault="00754248">
      <w:pPr>
        <w:spacing w:line="360" w:lineRule="auto"/>
        <w:ind w:firstLineChars="200" w:firstLine="420"/>
        <w:rPr>
          <w:rFonts w:cs="宋体" w:hint="eastAsia"/>
          <w:kern w:val="0"/>
          <w:szCs w:val="21"/>
        </w:rPr>
      </w:pPr>
      <w:r>
        <w:rPr>
          <w:rFonts w:cs="宋体" w:hint="eastAsia"/>
          <w:kern w:val="0"/>
          <w:szCs w:val="21"/>
        </w:rPr>
        <w:lastRenderedPageBreak/>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754248">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754248">
      <w:pPr>
        <w:spacing w:line="360" w:lineRule="auto"/>
        <w:ind w:firstLineChars="350" w:firstLine="735"/>
        <w:rPr>
          <w:rFonts w:cs="宋体" w:hint="eastAsia"/>
          <w:color w:val="000000"/>
          <w:kern w:val="0"/>
          <w:szCs w:val="21"/>
        </w:rPr>
      </w:pPr>
      <w:r>
        <w:rPr>
          <w:rFonts w:cs="宋体" w:hint="eastAsia"/>
          <w:kern w:val="0"/>
          <w:szCs w:val="21"/>
        </w:rPr>
        <w:t>公司网址：</w:t>
      </w:r>
      <w:hyperlink r:id="rId9" w:history="1">
        <w:r>
          <w:rPr>
            <w:rFonts w:cs="宋体" w:hint="eastAsia"/>
            <w:szCs w:val="21"/>
          </w:rPr>
          <w:t>www.scfund.com.cn</w:t>
        </w:r>
      </w:hyperlink>
    </w:p>
    <w:p w:rsidR="00000000" w:rsidRDefault="00754248">
      <w:pPr>
        <w:spacing w:line="360" w:lineRule="auto"/>
        <w:ind w:firstLineChars="200" w:firstLine="420"/>
        <w:rPr>
          <w:rFonts w:cs="宋体" w:hint="eastAsia"/>
          <w:color w:val="000000"/>
          <w:kern w:val="0"/>
          <w:szCs w:val="21"/>
        </w:rPr>
      </w:pPr>
    </w:p>
    <w:p w:rsidR="00000000" w:rsidRDefault="00754248">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754248">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基金管理人承诺以诚实信用、勤勉尽责的原则管理和运用基金资产，但不保证基金一定盈利，也不保证最低收益。基金的过往业绩及其净值</w:t>
      </w:r>
      <w:r>
        <w:rPr>
          <w:rFonts w:cs="宋体" w:hint="eastAsia"/>
          <w:szCs w:val="21"/>
        </w:rPr>
        <w:t>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获得收益，也不是替代储蓄的等效理财方式。投资有风险，敬请投资者在投资基金</w:t>
      </w:r>
      <w:r>
        <w:rPr>
          <w:rFonts w:cs="宋体" w:hint="eastAsia"/>
          <w:szCs w:val="21"/>
        </w:rPr>
        <w:t>前</w:t>
      </w:r>
      <w:r>
        <w:rPr>
          <w:rFonts w:cs="宋体" w:hint="eastAsia"/>
          <w:szCs w:val="21"/>
        </w:rPr>
        <w:t>仔细阅读基金的《基金合同》</w:t>
      </w:r>
      <w:r>
        <w:rPr>
          <w:rFonts w:cs="宋体" w:hint="eastAsia"/>
          <w:szCs w:val="21"/>
        </w:rPr>
        <w:t>、</w:t>
      </w:r>
      <w:r>
        <w:rPr>
          <w:rFonts w:cs="宋体" w:hint="eastAsia"/>
          <w:szCs w:val="21"/>
        </w:rPr>
        <w:t>《招募说明书》</w:t>
      </w:r>
      <w:r>
        <w:rPr>
          <w:rFonts w:cs="宋体" w:hint="eastAsia"/>
          <w:szCs w:val="21"/>
        </w:rPr>
        <w:t>、</w:t>
      </w:r>
      <w:r>
        <w:rPr>
          <w:rFonts w:cs="宋体" w:hint="eastAsia"/>
          <w:szCs w:val="21"/>
        </w:rPr>
        <w:t>《基金产品资料概要》</w:t>
      </w:r>
      <w:r>
        <w:rPr>
          <w:rFonts w:cs="宋体" w:hint="eastAsia"/>
          <w:szCs w:val="21"/>
        </w:rPr>
        <w:t>及其更新</w:t>
      </w:r>
      <w:r>
        <w:rPr>
          <w:rFonts w:cs="宋体" w:hint="eastAsia"/>
          <w:szCs w:val="21"/>
        </w:rPr>
        <w:t>等法律文件，全面认识基金的风险收益特征和产品特性，充分考虑自身的风险承受能力，</w:t>
      </w:r>
      <w:r>
        <w:rPr>
          <w:rFonts w:cs="宋体" w:hint="eastAsia"/>
          <w:szCs w:val="21"/>
        </w:rPr>
        <w:t>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754248">
      <w:pPr>
        <w:spacing w:line="360" w:lineRule="auto"/>
        <w:ind w:firstLineChars="200" w:firstLine="420"/>
        <w:rPr>
          <w:rFonts w:cs="宋体" w:hint="eastAsia"/>
          <w:szCs w:val="21"/>
        </w:rPr>
      </w:pPr>
      <w:r>
        <w:rPr>
          <w:rFonts w:cs="宋体" w:hint="eastAsia"/>
          <w:szCs w:val="21"/>
        </w:rPr>
        <w:t xml:space="preserve"> </w:t>
      </w:r>
    </w:p>
    <w:p w:rsidR="00000000" w:rsidRDefault="00754248">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000000" w:rsidRDefault="00754248">
      <w:pPr>
        <w:spacing w:line="400" w:lineRule="exact"/>
        <w:jc w:val="right"/>
        <w:rPr>
          <w:rFonts w:cs="宋体" w:hint="eastAsia"/>
          <w:szCs w:val="21"/>
        </w:rPr>
      </w:pPr>
      <w:r>
        <w:rPr>
          <w:rFonts w:cs="宋体" w:hint="eastAsia"/>
          <w:szCs w:val="21"/>
        </w:rPr>
        <w:t xml:space="preserve">                                     </w:t>
      </w:r>
    </w:p>
    <w:p w:rsidR="00000000" w:rsidRDefault="00754248">
      <w:pPr>
        <w:spacing w:line="400" w:lineRule="exact"/>
        <w:jc w:val="right"/>
        <w:rPr>
          <w:rFonts w:cs="宋体" w:hint="eastAsia"/>
          <w:szCs w:val="21"/>
        </w:rPr>
      </w:pPr>
    </w:p>
    <w:p w:rsidR="00000000" w:rsidRDefault="00754248">
      <w:pPr>
        <w:spacing w:line="400" w:lineRule="exact"/>
        <w:jc w:val="right"/>
        <w:rPr>
          <w:rFonts w:cs="宋体" w:hint="eastAsia"/>
          <w:szCs w:val="21"/>
        </w:rPr>
      </w:pPr>
      <w:r>
        <w:rPr>
          <w:rFonts w:cs="宋体" w:hint="eastAsia"/>
          <w:szCs w:val="21"/>
        </w:rPr>
        <w:t>东吴基金管理有限公司</w:t>
      </w:r>
    </w:p>
    <w:p w:rsidR="00000000" w:rsidRDefault="00754248">
      <w:pPr>
        <w:spacing w:line="400" w:lineRule="exact"/>
        <w:jc w:val="center"/>
        <w:rPr>
          <w:rFonts w:cs="宋体" w:hint="eastAsia"/>
          <w:szCs w:val="21"/>
        </w:rPr>
      </w:pPr>
      <w:r>
        <w:rPr>
          <w:rFonts w:cs="宋体" w:hint="eastAsia"/>
          <w:szCs w:val="21"/>
        </w:rPr>
        <w:t xml:space="preserve">                                       </w:t>
      </w:r>
      <w:r>
        <w:rPr>
          <w:rFonts w:cs="宋体" w:hint="eastAsia"/>
          <w:szCs w:val="21"/>
        </w:rPr>
        <w:t xml:space="preserve">                     2025</w:t>
      </w:r>
      <w:r>
        <w:rPr>
          <w:rFonts w:cs="宋体" w:hint="eastAsia"/>
          <w:szCs w:val="21"/>
        </w:rPr>
        <w:t>年</w:t>
      </w:r>
      <w:r>
        <w:rPr>
          <w:rFonts w:cs="宋体" w:hint="eastAsia"/>
          <w:szCs w:val="21"/>
        </w:rPr>
        <w:t>12</w:t>
      </w:r>
      <w:r>
        <w:rPr>
          <w:rFonts w:cs="宋体" w:hint="eastAsia"/>
          <w:szCs w:val="21"/>
        </w:rPr>
        <w:t>月</w:t>
      </w:r>
      <w:r>
        <w:rPr>
          <w:rFonts w:cs="宋体" w:hint="eastAsia"/>
          <w:szCs w:val="21"/>
        </w:rPr>
        <w:t>10</w:t>
      </w:r>
      <w:r>
        <w:rPr>
          <w:rFonts w:cs="宋体" w:hint="eastAsia"/>
          <w:szCs w:val="21"/>
        </w:rPr>
        <w:t>日</w:t>
      </w:r>
    </w:p>
    <w:p w:rsidR="00000000" w:rsidRDefault="00754248"/>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4248"/>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2702"/>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633C"/>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9A6913"/>
    <w:rsid w:val="09B3795C"/>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F654E3"/>
    <w:rsid w:val="1808590F"/>
    <w:rsid w:val="183F3F70"/>
    <w:rsid w:val="185A6A58"/>
    <w:rsid w:val="18723695"/>
    <w:rsid w:val="18AC5BF4"/>
    <w:rsid w:val="18AF1506"/>
    <w:rsid w:val="18B358E3"/>
    <w:rsid w:val="18C748B7"/>
    <w:rsid w:val="19502AFF"/>
    <w:rsid w:val="196E49C7"/>
    <w:rsid w:val="19AE35ED"/>
    <w:rsid w:val="1A0B0B52"/>
    <w:rsid w:val="1A4100CF"/>
    <w:rsid w:val="1A9B556D"/>
    <w:rsid w:val="1B7D7FE3"/>
    <w:rsid w:val="1BD41A17"/>
    <w:rsid w:val="1BED5CE0"/>
    <w:rsid w:val="1C3152AF"/>
    <w:rsid w:val="1C320D13"/>
    <w:rsid w:val="1C677BCF"/>
    <w:rsid w:val="1C7301C3"/>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B382728"/>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11867A7"/>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1C46C3"/>
    <w:rsid w:val="412133EB"/>
    <w:rsid w:val="414B2DA0"/>
    <w:rsid w:val="41F017A8"/>
    <w:rsid w:val="423544BC"/>
    <w:rsid w:val="425828A0"/>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C28B2"/>
    <w:rsid w:val="46924683"/>
    <w:rsid w:val="46B05CA5"/>
    <w:rsid w:val="46B90A82"/>
    <w:rsid w:val="473A5625"/>
    <w:rsid w:val="476F114B"/>
    <w:rsid w:val="47850C3A"/>
    <w:rsid w:val="47C02C46"/>
    <w:rsid w:val="47C17D67"/>
    <w:rsid w:val="48463A92"/>
    <w:rsid w:val="488515F1"/>
    <w:rsid w:val="489354A0"/>
    <w:rsid w:val="49083735"/>
    <w:rsid w:val="490F7BDD"/>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BD677F"/>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6C4405"/>
    <w:rsid w:val="5B850857"/>
    <w:rsid w:val="5B9E2DB8"/>
    <w:rsid w:val="5BA33C64"/>
    <w:rsid w:val="5BE71D34"/>
    <w:rsid w:val="5BED401D"/>
    <w:rsid w:val="5BF159D4"/>
    <w:rsid w:val="5C0E2860"/>
    <w:rsid w:val="5C712910"/>
    <w:rsid w:val="5C992924"/>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504A17"/>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BD0CC6"/>
    <w:rsid w:val="79C91A00"/>
    <w:rsid w:val="79DB41C3"/>
    <w:rsid w:val="79EE3760"/>
    <w:rsid w:val="7A3D23EC"/>
    <w:rsid w:val="7A5709DC"/>
    <w:rsid w:val="7A8F4748"/>
    <w:rsid w:val="7A9629B0"/>
    <w:rsid w:val="7ACB744D"/>
    <w:rsid w:val="7AD832E2"/>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gccpb.com" TargetMode="External"/><Relationship Id="rId3" Type="http://schemas.openxmlformats.org/officeDocument/2006/relationships/settings" Target="settings.xml"/><Relationship Id="rId7" Type="http://schemas.openxmlformats.org/officeDocument/2006/relationships/hyperlink" Target="https://www.licaimofan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zq.com" TargetMode="External"/><Relationship Id="rId11" Type="http://schemas.openxmlformats.org/officeDocument/2006/relationships/theme" Target="theme/theme1.xml"/><Relationship Id="rId5" Type="http://schemas.openxmlformats.org/officeDocument/2006/relationships/hyperlink" Target="http://www.66lianta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1990</Characters>
  <Application>Microsoft Office Word</Application>
  <DocSecurity>4</DocSecurity>
  <PresentationFormat/>
  <Lines>16</Lines>
  <Paragraphs>4</Paragraphs>
  <Slides>0</Slides>
  <Notes>0</Notes>
  <HiddenSlides>0</HiddenSlides>
  <MMClips>0</MMClips>
  <ScaleCrop>false</ScaleCrop>
  <Manager/>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东吴基金管理有限公司关于旗下部分基金新增国泰广发证券股份有限公司为代销机构、开通定期定额投资及转换业务的公告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2025-12-09T16:01:00Z</dcterms:created>
  <dcterms:modified xsi:type="dcterms:W3CDTF">2025-12-09T16:01:00Z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CEF607B78D6644C39DC0C2DB89A87845_13</vt:lpwstr>
  </property>
</Properties>
</file>