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60" w:rsidRPr="006677D1" w:rsidRDefault="00A56360" w:rsidP="00960096">
      <w:pPr>
        <w:widowControl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OLE_LINK5"/>
      <w:r w:rsidRPr="006677D1">
        <w:rPr>
          <w:rFonts w:ascii="Times New Roman" w:eastAsia="宋体" w:hAnsi="Times New Roman" w:cs="Times New Roman"/>
          <w:b/>
          <w:sz w:val="24"/>
          <w:szCs w:val="24"/>
        </w:rPr>
        <w:t>华夏</w:t>
      </w:r>
      <w:r w:rsidR="00566EBB" w:rsidRPr="00566EBB">
        <w:rPr>
          <w:rFonts w:ascii="Times New Roman" w:eastAsia="宋体" w:hAnsi="Times New Roman" w:cs="Times New Roman" w:hint="eastAsia"/>
          <w:b/>
          <w:sz w:val="24"/>
          <w:szCs w:val="24"/>
        </w:rPr>
        <w:t>华电清洁能源</w:t>
      </w:r>
      <w:r w:rsidRPr="006677D1">
        <w:rPr>
          <w:rFonts w:ascii="Times New Roman" w:eastAsia="宋体" w:hAnsi="Times New Roman" w:cs="Times New Roman"/>
          <w:b/>
          <w:sz w:val="24"/>
          <w:szCs w:val="24"/>
        </w:rPr>
        <w:t>封闭式基础设施证券投资基金</w:t>
      </w:r>
    </w:p>
    <w:p w:rsidR="00A56360" w:rsidRPr="006677D1" w:rsidRDefault="00960096" w:rsidP="006677D1">
      <w:pPr>
        <w:widowControl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1" w:name="OLE_LINK3"/>
      <w:bookmarkStart w:id="2" w:name="OLE_LINK4"/>
      <w:bookmarkEnd w:id="0"/>
      <w:r w:rsidRPr="00960096">
        <w:rPr>
          <w:rFonts w:ascii="Times New Roman" w:eastAsia="宋体" w:hAnsi="Times New Roman" w:cs="Times New Roman"/>
          <w:b/>
          <w:sz w:val="24"/>
          <w:szCs w:val="24"/>
        </w:rPr>
        <w:t>改聘会计师事务所</w:t>
      </w:r>
      <w:r w:rsidR="00A56360" w:rsidRPr="006677D1">
        <w:rPr>
          <w:rFonts w:ascii="Times New Roman" w:eastAsia="宋体" w:hAnsi="Times New Roman" w:cs="Times New Roman"/>
          <w:b/>
          <w:sz w:val="24"/>
          <w:szCs w:val="24"/>
        </w:rPr>
        <w:t>公告</w:t>
      </w:r>
    </w:p>
    <w:bookmarkEnd w:id="1"/>
    <w:bookmarkEnd w:id="2"/>
    <w:p w:rsidR="00A56360" w:rsidRPr="006677D1" w:rsidRDefault="00643B9F" w:rsidP="006677D1">
      <w:pPr>
        <w:widowControl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6677D1">
        <w:rPr>
          <w:rFonts w:ascii="Times New Roman" w:eastAsia="宋体" w:hAnsi="Times New Roman" w:cs="Times New Roman"/>
          <w:b/>
          <w:sz w:val="24"/>
          <w:szCs w:val="24"/>
        </w:rPr>
        <w:t>公告送出日期：</w:t>
      </w:r>
      <w:r w:rsidR="009A47D4" w:rsidRPr="006677D1">
        <w:rPr>
          <w:rFonts w:ascii="Times New Roman" w:eastAsia="宋体" w:hAnsi="Times New Roman" w:cs="Times New Roman"/>
          <w:b/>
          <w:sz w:val="24"/>
          <w:szCs w:val="24"/>
        </w:rPr>
        <w:t>202</w:t>
      </w:r>
      <w:r w:rsidR="00C10B7C"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  <w:r w:rsidR="009A47D4" w:rsidRPr="006677D1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9E6C42">
        <w:rPr>
          <w:rFonts w:ascii="Times New Roman" w:eastAsia="宋体" w:hAnsi="Times New Roman" w:cs="Times New Roman"/>
          <w:b/>
          <w:sz w:val="24"/>
          <w:szCs w:val="24"/>
        </w:rPr>
        <w:t>12</w:t>
      </w:r>
      <w:r w:rsidRPr="006677D1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2C4D70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D7259F">
        <w:rPr>
          <w:rFonts w:ascii="Times New Roman" w:eastAsia="宋体" w:hAnsi="Times New Roman" w:cs="Times New Roman"/>
          <w:b/>
          <w:sz w:val="24"/>
          <w:szCs w:val="24"/>
        </w:rPr>
        <w:t>0</w:t>
      </w:r>
      <w:r w:rsidRPr="006677D1">
        <w:rPr>
          <w:rFonts w:ascii="Times New Roman" w:eastAsia="宋体" w:hAnsi="Times New Roman" w:cs="Times New Roman"/>
          <w:b/>
          <w:sz w:val="24"/>
          <w:szCs w:val="24"/>
        </w:rPr>
        <w:t>日</w:t>
      </w:r>
    </w:p>
    <w:p w:rsidR="00643B9F" w:rsidRPr="006677D1" w:rsidRDefault="00643B9F" w:rsidP="006677D1">
      <w:pPr>
        <w:widowControl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960096" w:rsidRPr="00960096" w:rsidRDefault="00960096" w:rsidP="00960096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bookmarkStart w:id="3" w:name="_Toc275961438"/>
      <w:r w:rsidRPr="00960096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1 </w:t>
      </w:r>
      <w:r w:rsidRPr="00960096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公告基本信息</w:t>
      </w:r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2264"/>
        <w:gridCol w:w="4828"/>
      </w:tblGrid>
      <w:tr w:rsidR="00960096" w:rsidRPr="00960096" w:rsidTr="00B90BF1">
        <w:trPr>
          <w:jc w:val="center"/>
        </w:trPr>
        <w:tc>
          <w:tcPr>
            <w:tcW w:w="4811" w:type="dxa"/>
            <w:gridSpan w:val="2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基金管理人名称</w:t>
            </w:r>
          </w:p>
        </w:tc>
        <w:tc>
          <w:tcPr>
            <w:tcW w:w="4828" w:type="dxa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华夏基金管理有限公司</w:t>
            </w:r>
          </w:p>
        </w:tc>
      </w:tr>
      <w:tr w:rsidR="00960096" w:rsidRPr="00960096" w:rsidTr="00B90BF1">
        <w:trPr>
          <w:jc w:val="center"/>
        </w:trPr>
        <w:tc>
          <w:tcPr>
            <w:tcW w:w="4811" w:type="dxa"/>
            <w:gridSpan w:val="2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公告依据</w:t>
            </w:r>
          </w:p>
        </w:tc>
        <w:tc>
          <w:tcPr>
            <w:tcW w:w="4828" w:type="dxa"/>
            <w:vAlign w:val="center"/>
          </w:tcPr>
          <w:p w:rsidR="00960096" w:rsidRPr="00960096" w:rsidRDefault="00405AC5" w:rsidP="00DC7E2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D2A27">
              <w:rPr>
                <w:rFonts w:ascii="Times New Roman" w:eastAsia="宋体" w:hAnsi="Times New Roman" w:cs="Times New Roman" w:hint="eastAsia"/>
                <w:szCs w:val="21"/>
              </w:rPr>
              <w:t>《中华人民共和国证券投资基金法》及其配套法规、《公开募集基础设施证券投资基金指引（试行）》</w:t>
            </w:r>
            <w:r w:rsidR="0071715C" w:rsidRPr="00BD2A27"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 w:rsidR="0071715C" w:rsidRPr="001B329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上海证券交易所公开募集基础设施证券投资基金（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REITs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）业务办法（试行）</w:t>
            </w:r>
            <w:r w:rsidR="0071715C" w:rsidRPr="00BD2A27">
              <w:rPr>
                <w:rFonts w:ascii="Times New Roman" w:eastAsia="宋体" w:hAnsi="Times New Roman" w:cs="Times New Roman" w:hint="eastAsia"/>
                <w:szCs w:val="21"/>
              </w:rPr>
              <w:t>》《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上海证券交易所公开募集基础设施证券投资基金（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REITs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）规则适用指引第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="0071715C" w:rsidRPr="001B329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临时报告（试行）</w:t>
            </w:r>
            <w:r w:rsidR="0071715C" w:rsidRPr="00BD2A27">
              <w:rPr>
                <w:rFonts w:ascii="Times New Roman" w:eastAsia="宋体" w:hAnsi="Times New Roman" w:cs="Times New Roman" w:hint="eastAsia"/>
                <w:szCs w:val="21"/>
              </w:rPr>
              <w:t>》</w:t>
            </w:r>
            <w:r w:rsidRPr="00BD2A27">
              <w:rPr>
                <w:rFonts w:ascii="Times New Roman" w:eastAsia="宋体" w:hAnsi="Times New Roman" w:cs="Times New Roman" w:hint="eastAsia"/>
                <w:szCs w:val="21"/>
              </w:rPr>
              <w:t>等有关规定以及《</w:t>
            </w:r>
            <w:r w:rsidR="00C10B7C" w:rsidRPr="00C10B7C">
              <w:rPr>
                <w:rFonts w:ascii="Times New Roman" w:eastAsia="宋体" w:hAnsi="Times New Roman" w:cs="Times New Roman" w:hint="eastAsia"/>
                <w:szCs w:val="21"/>
              </w:rPr>
              <w:t>华夏华电清洁能源封闭式基础设施证券投资基金</w:t>
            </w:r>
            <w:r w:rsidRPr="00BD2A27">
              <w:rPr>
                <w:rFonts w:ascii="Times New Roman" w:eastAsia="宋体" w:hAnsi="Times New Roman" w:cs="Times New Roman" w:hint="eastAsia"/>
                <w:szCs w:val="21"/>
              </w:rPr>
              <w:t>基金合同》《</w:t>
            </w:r>
            <w:r w:rsidR="00C10B7C" w:rsidRPr="00C10B7C">
              <w:rPr>
                <w:rFonts w:ascii="Times New Roman" w:eastAsia="宋体" w:hAnsi="Times New Roman" w:cs="Times New Roman" w:hint="eastAsia"/>
                <w:szCs w:val="21"/>
              </w:rPr>
              <w:t>华夏华电清洁能源封闭式基础设施证券投资基金</w:t>
            </w:r>
            <w:r w:rsidRPr="00BD2A27">
              <w:rPr>
                <w:rFonts w:ascii="Times New Roman" w:eastAsia="宋体" w:hAnsi="Times New Roman" w:cs="Times New Roman" w:hint="eastAsia"/>
                <w:szCs w:val="21"/>
              </w:rPr>
              <w:t>招募说明书》及其更新</w:t>
            </w:r>
          </w:p>
        </w:tc>
      </w:tr>
      <w:tr w:rsidR="00960096" w:rsidRPr="00960096" w:rsidTr="00B90BF1">
        <w:trPr>
          <w:jc w:val="center"/>
        </w:trPr>
        <w:tc>
          <w:tcPr>
            <w:tcW w:w="4811" w:type="dxa"/>
            <w:gridSpan w:val="2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改聘日期</w:t>
            </w:r>
          </w:p>
        </w:tc>
        <w:tc>
          <w:tcPr>
            <w:tcW w:w="4828" w:type="dxa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</w:t>
            </w:r>
            <w:r w:rsid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="009E6C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="002C4D7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:rsidR="00960096" w:rsidRPr="00960096" w:rsidTr="00B90BF1">
        <w:trPr>
          <w:jc w:val="center"/>
        </w:trPr>
        <w:tc>
          <w:tcPr>
            <w:tcW w:w="4811" w:type="dxa"/>
            <w:gridSpan w:val="2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改聘前会计师事务所名称</w:t>
            </w:r>
          </w:p>
        </w:tc>
        <w:tc>
          <w:tcPr>
            <w:tcW w:w="4828" w:type="dxa"/>
          </w:tcPr>
          <w:p w:rsidR="00960096" w:rsidRPr="00960096" w:rsidRDefault="00C10B7C" w:rsidP="00960096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立信</w:t>
            </w:r>
            <w:r w:rsidR="00B71F33" w:rsidRPr="00B71F3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会计师事务所</w:t>
            </w:r>
            <w:r w:rsidR="00960096" w:rsidRPr="0096009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（特殊普通合伙）</w:t>
            </w:r>
          </w:p>
        </w:tc>
      </w:tr>
      <w:tr w:rsidR="00960096" w:rsidRPr="00960096" w:rsidTr="00B90BF1">
        <w:trPr>
          <w:jc w:val="center"/>
        </w:trPr>
        <w:tc>
          <w:tcPr>
            <w:tcW w:w="4811" w:type="dxa"/>
            <w:gridSpan w:val="2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改聘后会计师事务所名称</w:t>
            </w:r>
            <w:r w:rsidR="00D20FF8" w:rsidRPr="00D20FF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及基本情况</w:t>
            </w:r>
          </w:p>
        </w:tc>
        <w:tc>
          <w:tcPr>
            <w:tcW w:w="4828" w:type="dxa"/>
          </w:tcPr>
          <w:p w:rsidR="00D20FF8" w:rsidRPr="002F2075" w:rsidRDefault="00D20FF8" w:rsidP="00D20FF8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207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名称：</w:t>
            </w:r>
            <w:r w:rsid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天职国际</w:t>
            </w:r>
            <w:r w:rsidRPr="002F207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会计师事务所（特殊普通合伙）</w:t>
            </w:r>
          </w:p>
          <w:p w:rsidR="00D20FF8" w:rsidRPr="002F2075" w:rsidRDefault="00D20FF8" w:rsidP="00C10B7C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207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地址：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北京市海淀区车公庄西路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号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国际传播科技文化园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号楼</w:t>
            </w:r>
          </w:p>
          <w:p w:rsidR="007513F8" w:rsidRPr="005642DD" w:rsidRDefault="00D20FF8" w:rsidP="00C10B7C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207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执行事务合伙人</w:t>
            </w:r>
            <w:r w:rsid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="00C10B7C"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邱靖之</w:t>
            </w:r>
          </w:p>
        </w:tc>
      </w:tr>
      <w:tr w:rsidR="00960096" w:rsidRPr="00960096" w:rsidTr="007513F8">
        <w:trPr>
          <w:jc w:val="center"/>
        </w:trPr>
        <w:tc>
          <w:tcPr>
            <w:tcW w:w="2547" w:type="dxa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基金名称</w:t>
            </w:r>
          </w:p>
        </w:tc>
        <w:tc>
          <w:tcPr>
            <w:tcW w:w="2264" w:type="dxa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基金简称</w:t>
            </w:r>
          </w:p>
        </w:tc>
        <w:tc>
          <w:tcPr>
            <w:tcW w:w="4828" w:type="dxa"/>
          </w:tcPr>
          <w:p w:rsidR="00960096" w:rsidRPr="00960096" w:rsidRDefault="00960096" w:rsidP="00960096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0096">
              <w:rPr>
                <w:rFonts w:ascii="Times New Roman" w:eastAsia="宋体" w:hAnsi="Times New Roman" w:cs="Times New Roman"/>
                <w:color w:val="000000"/>
                <w:szCs w:val="21"/>
              </w:rPr>
              <w:t>基金主代码</w:t>
            </w:r>
          </w:p>
        </w:tc>
      </w:tr>
      <w:tr w:rsidR="00960096" w:rsidRPr="00960096" w:rsidTr="007513F8">
        <w:trPr>
          <w:jc w:val="center"/>
        </w:trPr>
        <w:tc>
          <w:tcPr>
            <w:tcW w:w="2547" w:type="dxa"/>
            <w:vAlign w:val="center"/>
          </w:tcPr>
          <w:p w:rsidR="00960096" w:rsidRPr="00960096" w:rsidRDefault="00C10B7C" w:rsidP="002F2075">
            <w:pPr>
              <w:jc w:val="left"/>
              <w:rPr>
                <w:rFonts w:ascii="Times New Roman" w:eastAsia="宋体" w:hAnsi="Times New Roman" w:cs="Times New Roman"/>
                <w:sz w:val="32"/>
                <w:szCs w:val="20"/>
              </w:rPr>
            </w:pP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华夏华电清洁能源封闭式基础设施证券投资基金</w:t>
            </w:r>
          </w:p>
        </w:tc>
        <w:tc>
          <w:tcPr>
            <w:tcW w:w="2264" w:type="dxa"/>
            <w:vAlign w:val="center"/>
          </w:tcPr>
          <w:p w:rsidR="00960096" w:rsidRPr="000B0832" w:rsidRDefault="00C10B7C" w:rsidP="00DC7E2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华夏华电清洁能源</w:t>
            </w: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REIT</w:t>
            </w:r>
            <w:r w:rsidR="00D20FF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="00F76FC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扩位</w:t>
            </w:r>
            <w:r w:rsidR="00D20FF8" w:rsidRPr="00B71F3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简称：</w:t>
            </w: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华夏华电清洁能源</w:t>
            </w: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REIT</w:t>
            </w:r>
            <w:r w:rsidR="00D20FF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28" w:type="dxa"/>
            <w:vAlign w:val="center"/>
          </w:tcPr>
          <w:p w:rsidR="00960096" w:rsidRPr="00960096" w:rsidRDefault="00C10B7C" w:rsidP="00960096">
            <w:pPr>
              <w:jc w:val="left"/>
              <w:rPr>
                <w:rFonts w:ascii="Times New Roman" w:eastAsia="宋体" w:hAnsi="Times New Roman" w:cs="Times New Roman"/>
                <w:sz w:val="32"/>
                <w:szCs w:val="20"/>
              </w:rPr>
            </w:pPr>
            <w:r w:rsidRPr="00C10B7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508016</w:t>
            </w:r>
          </w:p>
        </w:tc>
      </w:tr>
    </w:tbl>
    <w:p w:rsidR="005642DD" w:rsidRPr="002D6B77" w:rsidRDefault="005642DD" w:rsidP="002D6B77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bookmarkStart w:id="4" w:name="_Toc275961439"/>
      <w:r w:rsidRPr="00960096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2 </w:t>
      </w:r>
      <w:r w:rsidRPr="00960096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其他需要提示的事项</w:t>
      </w:r>
      <w:bookmarkEnd w:id="4"/>
    </w:p>
    <w:p w:rsidR="005642DD" w:rsidRDefault="007513F8" w:rsidP="005642DD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5" w:name="_GoBack"/>
      <w:r w:rsidRPr="007513F8">
        <w:rPr>
          <w:rFonts w:ascii="Times New Roman" w:eastAsia="宋体" w:hAnsi="Times New Roman" w:cs="Times New Roman" w:hint="eastAsia"/>
          <w:sz w:val="24"/>
          <w:szCs w:val="24"/>
        </w:rPr>
        <w:t>本次变更系基于</w:t>
      </w:r>
      <w:r w:rsidR="00943B78">
        <w:rPr>
          <w:rFonts w:ascii="Times New Roman" w:eastAsia="宋体" w:hAnsi="Times New Roman" w:cs="Times New Roman" w:hint="eastAsia"/>
          <w:sz w:val="24"/>
          <w:szCs w:val="24"/>
        </w:rPr>
        <w:t>实际业务</w:t>
      </w:r>
      <w:r w:rsidR="000B6743">
        <w:rPr>
          <w:rFonts w:ascii="Times New Roman" w:eastAsia="宋体" w:hAnsi="Times New Roman" w:cs="Times New Roman" w:hint="eastAsia"/>
          <w:sz w:val="24"/>
          <w:szCs w:val="24"/>
        </w:rPr>
        <w:t>并</w:t>
      </w:r>
      <w:r w:rsidR="000B6743" w:rsidRPr="00BF24CB">
        <w:rPr>
          <w:rFonts w:ascii="Times New Roman" w:eastAsia="宋体" w:hAnsi="Times New Roman" w:cs="Times New Roman"/>
          <w:sz w:val="24"/>
          <w:szCs w:val="24"/>
        </w:rPr>
        <w:t>综合考虑公司对审计服务的需求</w:t>
      </w:r>
      <w:r w:rsidRPr="007513F8">
        <w:rPr>
          <w:rFonts w:ascii="Times New Roman" w:eastAsia="宋体" w:hAnsi="Times New Roman" w:cs="Times New Roman" w:hint="eastAsia"/>
          <w:sz w:val="24"/>
          <w:szCs w:val="24"/>
        </w:rPr>
        <w:t>，新任</w:t>
      </w:r>
      <w:r w:rsidR="00C06841">
        <w:rPr>
          <w:rFonts w:ascii="Times New Roman" w:eastAsia="宋体" w:hAnsi="Times New Roman" w:cs="Times New Roman" w:hint="eastAsia"/>
          <w:sz w:val="24"/>
          <w:szCs w:val="24"/>
        </w:rPr>
        <w:t>会计师事务所</w:t>
      </w:r>
      <w:r w:rsidRPr="007513F8">
        <w:rPr>
          <w:rFonts w:ascii="Times New Roman" w:eastAsia="宋体" w:hAnsi="Times New Roman" w:cs="Times New Roman" w:hint="eastAsia"/>
          <w:sz w:val="24"/>
          <w:szCs w:val="24"/>
        </w:rPr>
        <w:t>具备基础设施基金审计业务相关资质，</w:t>
      </w:r>
      <w:r w:rsidR="00C06841">
        <w:rPr>
          <w:rFonts w:ascii="Times New Roman" w:eastAsia="宋体" w:hAnsi="Times New Roman" w:cs="Times New Roman" w:hint="eastAsia"/>
          <w:sz w:val="24"/>
          <w:szCs w:val="24"/>
        </w:rPr>
        <w:t>本次变更</w:t>
      </w:r>
      <w:r w:rsidRPr="007513F8">
        <w:rPr>
          <w:rFonts w:ascii="Times New Roman" w:eastAsia="宋体" w:hAnsi="Times New Roman" w:cs="Times New Roman" w:hint="eastAsia"/>
          <w:sz w:val="24"/>
          <w:szCs w:val="24"/>
        </w:rPr>
        <w:t>对基础设施项目运营和基金份额持有人权益无不利影响。本次变更</w:t>
      </w:r>
      <w:r w:rsidRPr="007513F8">
        <w:rPr>
          <w:rFonts w:ascii="Times New Roman" w:eastAsia="宋体" w:hAnsi="Times New Roman" w:cs="Times New Roman"/>
          <w:sz w:val="24"/>
          <w:szCs w:val="24"/>
        </w:rPr>
        <w:t>已经华夏基金管理有限公司董事会审议通过，并已按照相关规定及基金合同约定通报基金托管人。</w:t>
      </w:r>
    </w:p>
    <w:p w:rsidR="00960096" w:rsidRPr="00960096" w:rsidRDefault="00960096" w:rsidP="00B71F3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0096">
        <w:rPr>
          <w:rFonts w:ascii="Times New Roman" w:eastAsia="宋体" w:hAnsi="Times New Roman" w:cs="Times New Roman"/>
          <w:sz w:val="24"/>
          <w:szCs w:val="24"/>
        </w:rPr>
        <w:t>特此公告</w:t>
      </w:r>
    </w:p>
    <w:p w:rsidR="00A56360" w:rsidRPr="006677D1" w:rsidRDefault="00A56360" w:rsidP="007513F8">
      <w:pPr>
        <w:pStyle w:val="a5"/>
        <w:spacing w:line="360" w:lineRule="auto"/>
        <w:ind w:right="192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A56360" w:rsidRPr="006677D1" w:rsidRDefault="00A56360" w:rsidP="00421CF3">
      <w:pPr>
        <w:spacing w:afterLines="50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6677D1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A56360" w:rsidRPr="006677D1" w:rsidRDefault="00A56360" w:rsidP="00F75664">
      <w:pPr>
        <w:spacing w:afterLines="50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6677D1">
        <w:rPr>
          <w:rFonts w:ascii="Times New Roman" w:eastAsia="宋体" w:hAnsi="Times New Roman" w:cs="Times New Roman"/>
          <w:sz w:val="24"/>
          <w:szCs w:val="24"/>
        </w:rPr>
        <w:t>二〇二</w:t>
      </w:r>
      <w:r w:rsidR="00C10B7C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Pr="006677D1">
        <w:rPr>
          <w:rFonts w:ascii="Times New Roman" w:eastAsia="宋体" w:hAnsi="Times New Roman" w:cs="Times New Roman"/>
          <w:sz w:val="24"/>
          <w:szCs w:val="24"/>
        </w:rPr>
        <w:t>年</w:t>
      </w:r>
      <w:r w:rsidR="009E6C42">
        <w:rPr>
          <w:rFonts w:ascii="Times New Roman" w:eastAsia="宋体" w:hAnsi="Times New Roman" w:cs="Times New Roman" w:hint="eastAsia"/>
          <w:sz w:val="24"/>
          <w:szCs w:val="24"/>
        </w:rPr>
        <w:t>十二</w:t>
      </w:r>
      <w:r w:rsidR="002C4D70">
        <w:rPr>
          <w:rFonts w:ascii="Times New Roman" w:eastAsia="宋体" w:hAnsi="Times New Roman" w:cs="Times New Roman" w:hint="eastAsia"/>
          <w:sz w:val="24"/>
          <w:szCs w:val="24"/>
        </w:rPr>
        <w:t>月十</w:t>
      </w:r>
      <w:r w:rsidRPr="006677D1">
        <w:rPr>
          <w:rFonts w:ascii="Times New Roman" w:eastAsia="宋体" w:hAnsi="Times New Roman" w:cs="Times New Roman"/>
          <w:sz w:val="24"/>
          <w:szCs w:val="24"/>
        </w:rPr>
        <w:t>日</w:t>
      </w:r>
      <w:bookmarkEnd w:id="5"/>
    </w:p>
    <w:sectPr w:rsidR="00A56360" w:rsidRPr="006677D1" w:rsidSect="00F756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65" w:rsidRDefault="00703965" w:rsidP="00A56360">
      <w:r>
        <w:separator/>
      </w:r>
    </w:p>
  </w:endnote>
  <w:endnote w:type="continuationSeparator" w:id="0">
    <w:p w:rsidR="00703965" w:rsidRDefault="00703965" w:rsidP="00A5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89952"/>
      <w:docPartObj>
        <w:docPartGallery w:val="Page Numbers (Bottom of Page)"/>
        <w:docPartUnique/>
      </w:docPartObj>
    </w:sdtPr>
    <w:sdtContent>
      <w:p w:rsidR="00643B9F" w:rsidRDefault="00F75664">
        <w:pPr>
          <w:pStyle w:val="a4"/>
          <w:jc w:val="center"/>
        </w:pPr>
        <w:r>
          <w:fldChar w:fldCharType="begin"/>
        </w:r>
        <w:r w:rsidR="00643B9F">
          <w:instrText>PAGE   \* MERGEFORMAT</w:instrText>
        </w:r>
        <w:r>
          <w:fldChar w:fldCharType="separate"/>
        </w:r>
        <w:r w:rsidR="00421CF3" w:rsidRPr="00421CF3">
          <w:rPr>
            <w:noProof/>
            <w:lang w:val="zh-CN"/>
          </w:rPr>
          <w:t>1</w:t>
        </w:r>
        <w:r>
          <w:fldChar w:fldCharType="end"/>
        </w:r>
      </w:p>
    </w:sdtContent>
  </w:sdt>
  <w:p w:rsidR="00643B9F" w:rsidRDefault="00643B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65" w:rsidRDefault="00703965" w:rsidP="00A56360">
      <w:r>
        <w:separator/>
      </w:r>
    </w:p>
  </w:footnote>
  <w:footnote w:type="continuationSeparator" w:id="0">
    <w:p w:rsidR="00703965" w:rsidRDefault="00703965" w:rsidP="00A56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561"/>
    <w:multiLevelType w:val="hybridMultilevel"/>
    <w:tmpl w:val="01AA5966"/>
    <w:lvl w:ilvl="0" w:tplc="F086EC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33301D"/>
    <w:multiLevelType w:val="hybridMultilevel"/>
    <w:tmpl w:val="DE2E1D9A"/>
    <w:lvl w:ilvl="0" w:tplc="942022DC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6D62659"/>
    <w:multiLevelType w:val="hybridMultilevel"/>
    <w:tmpl w:val="ECDC4C78"/>
    <w:lvl w:ilvl="0" w:tplc="489C1F6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D8650AA"/>
    <w:multiLevelType w:val="hybridMultilevel"/>
    <w:tmpl w:val="E5663F34"/>
    <w:lvl w:ilvl="0" w:tplc="EDF2FD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360"/>
    <w:rsid w:val="000019C9"/>
    <w:rsid w:val="0003191E"/>
    <w:rsid w:val="00051D70"/>
    <w:rsid w:val="0005233D"/>
    <w:rsid w:val="00091709"/>
    <w:rsid w:val="000A063F"/>
    <w:rsid w:val="000B0832"/>
    <w:rsid w:val="000B6743"/>
    <w:rsid w:val="000C553E"/>
    <w:rsid w:val="000C6566"/>
    <w:rsid w:val="000D440C"/>
    <w:rsid w:val="000E5DE9"/>
    <w:rsid w:val="00147D9F"/>
    <w:rsid w:val="001670BA"/>
    <w:rsid w:val="00167FE0"/>
    <w:rsid w:val="001929B7"/>
    <w:rsid w:val="00194042"/>
    <w:rsid w:val="001950C6"/>
    <w:rsid w:val="001A5997"/>
    <w:rsid w:val="001B100D"/>
    <w:rsid w:val="001F0F6A"/>
    <w:rsid w:val="001F3C17"/>
    <w:rsid w:val="0020050C"/>
    <w:rsid w:val="0020113F"/>
    <w:rsid w:val="00213332"/>
    <w:rsid w:val="00253E08"/>
    <w:rsid w:val="00255D66"/>
    <w:rsid w:val="002B5E34"/>
    <w:rsid w:val="002C4D70"/>
    <w:rsid w:val="002D6B77"/>
    <w:rsid w:val="002F2075"/>
    <w:rsid w:val="0030078A"/>
    <w:rsid w:val="00300BE0"/>
    <w:rsid w:val="00304E4B"/>
    <w:rsid w:val="00322C72"/>
    <w:rsid w:val="00323EE2"/>
    <w:rsid w:val="00325A2E"/>
    <w:rsid w:val="00353A73"/>
    <w:rsid w:val="003628DB"/>
    <w:rsid w:val="00370DDF"/>
    <w:rsid w:val="00393B76"/>
    <w:rsid w:val="00397886"/>
    <w:rsid w:val="004026C3"/>
    <w:rsid w:val="00405AC5"/>
    <w:rsid w:val="004170EE"/>
    <w:rsid w:val="00421CF3"/>
    <w:rsid w:val="00431B74"/>
    <w:rsid w:val="00450C9C"/>
    <w:rsid w:val="004656F7"/>
    <w:rsid w:val="00473C6B"/>
    <w:rsid w:val="004A2846"/>
    <w:rsid w:val="004A7813"/>
    <w:rsid w:val="004C27E8"/>
    <w:rsid w:val="00504804"/>
    <w:rsid w:val="00514E99"/>
    <w:rsid w:val="005642DD"/>
    <w:rsid w:val="00566EBB"/>
    <w:rsid w:val="005803B7"/>
    <w:rsid w:val="00590269"/>
    <w:rsid w:val="005C2080"/>
    <w:rsid w:val="005D0284"/>
    <w:rsid w:val="005E7C82"/>
    <w:rsid w:val="006243FF"/>
    <w:rsid w:val="00643B9F"/>
    <w:rsid w:val="00644CE4"/>
    <w:rsid w:val="00647C13"/>
    <w:rsid w:val="006643EF"/>
    <w:rsid w:val="006677D1"/>
    <w:rsid w:val="00672AE2"/>
    <w:rsid w:val="00691FE6"/>
    <w:rsid w:val="006B6A7E"/>
    <w:rsid w:val="006C51BC"/>
    <w:rsid w:val="006D756B"/>
    <w:rsid w:val="006E2C37"/>
    <w:rsid w:val="006F100A"/>
    <w:rsid w:val="006F2CFA"/>
    <w:rsid w:val="00703965"/>
    <w:rsid w:val="0071715C"/>
    <w:rsid w:val="007513F8"/>
    <w:rsid w:val="00875412"/>
    <w:rsid w:val="008A20FE"/>
    <w:rsid w:val="008B4325"/>
    <w:rsid w:val="008B6F0C"/>
    <w:rsid w:val="008D1B87"/>
    <w:rsid w:val="008E09D6"/>
    <w:rsid w:val="008F520A"/>
    <w:rsid w:val="008F5AED"/>
    <w:rsid w:val="00902B51"/>
    <w:rsid w:val="0091788A"/>
    <w:rsid w:val="00923068"/>
    <w:rsid w:val="00940554"/>
    <w:rsid w:val="00943B78"/>
    <w:rsid w:val="00944D45"/>
    <w:rsid w:val="009475BF"/>
    <w:rsid w:val="0095477E"/>
    <w:rsid w:val="00956E7D"/>
    <w:rsid w:val="00960096"/>
    <w:rsid w:val="009763C5"/>
    <w:rsid w:val="009A47D4"/>
    <w:rsid w:val="009B1E05"/>
    <w:rsid w:val="009B5CDF"/>
    <w:rsid w:val="009E6C42"/>
    <w:rsid w:val="00A2744A"/>
    <w:rsid w:val="00A365FB"/>
    <w:rsid w:val="00A43FC3"/>
    <w:rsid w:val="00A56360"/>
    <w:rsid w:val="00A762D3"/>
    <w:rsid w:val="00AA7B6D"/>
    <w:rsid w:val="00AC3635"/>
    <w:rsid w:val="00AC4620"/>
    <w:rsid w:val="00AE7C51"/>
    <w:rsid w:val="00AF4429"/>
    <w:rsid w:val="00B16EEB"/>
    <w:rsid w:val="00B21CC1"/>
    <w:rsid w:val="00B2573B"/>
    <w:rsid w:val="00B27A25"/>
    <w:rsid w:val="00B43AF0"/>
    <w:rsid w:val="00B71F33"/>
    <w:rsid w:val="00B7704B"/>
    <w:rsid w:val="00BA4337"/>
    <w:rsid w:val="00BA471D"/>
    <w:rsid w:val="00BB054A"/>
    <w:rsid w:val="00BC1A43"/>
    <w:rsid w:val="00BC56B7"/>
    <w:rsid w:val="00BD167C"/>
    <w:rsid w:val="00BE240C"/>
    <w:rsid w:val="00BF24CB"/>
    <w:rsid w:val="00BF5485"/>
    <w:rsid w:val="00C06841"/>
    <w:rsid w:val="00C10B7C"/>
    <w:rsid w:val="00C357D0"/>
    <w:rsid w:val="00C4022E"/>
    <w:rsid w:val="00CC68C9"/>
    <w:rsid w:val="00CC6F0B"/>
    <w:rsid w:val="00CF5DDD"/>
    <w:rsid w:val="00D20FF8"/>
    <w:rsid w:val="00D21516"/>
    <w:rsid w:val="00D24B34"/>
    <w:rsid w:val="00D31EFC"/>
    <w:rsid w:val="00D32A35"/>
    <w:rsid w:val="00D7259F"/>
    <w:rsid w:val="00D92582"/>
    <w:rsid w:val="00D96B03"/>
    <w:rsid w:val="00DA54C3"/>
    <w:rsid w:val="00DA7942"/>
    <w:rsid w:val="00DC7E29"/>
    <w:rsid w:val="00DD089B"/>
    <w:rsid w:val="00DE2DD0"/>
    <w:rsid w:val="00E073C1"/>
    <w:rsid w:val="00E23EE0"/>
    <w:rsid w:val="00E30204"/>
    <w:rsid w:val="00E354C3"/>
    <w:rsid w:val="00E35682"/>
    <w:rsid w:val="00E43A84"/>
    <w:rsid w:val="00E61AC9"/>
    <w:rsid w:val="00E63694"/>
    <w:rsid w:val="00E707AF"/>
    <w:rsid w:val="00E7312E"/>
    <w:rsid w:val="00E7495F"/>
    <w:rsid w:val="00E858E2"/>
    <w:rsid w:val="00EC79C6"/>
    <w:rsid w:val="00EC7BBF"/>
    <w:rsid w:val="00F15AEE"/>
    <w:rsid w:val="00F316D9"/>
    <w:rsid w:val="00F75664"/>
    <w:rsid w:val="00F76FCC"/>
    <w:rsid w:val="00F83102"/>
    <w:rsid w:val="00F85215"/>
    <w:rsid w:val="00FB00C7"/>
    <w:rsid w:val="00FF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360"/>
    <w:rPr>
      <w:sz w:val="18"/>
      <w:szCs w:val="18"/>
    </w:rPr>
  </w:style>
  <w:style w:type="paragraph" w:styleId="a5">
    <w:name w:val="List Paragraph"/>
    <w:basedOn w:val="a"/>
    <w:uiPriority w:val="34"/>
    <w:qFormat/>
    <w:rsid w:val="00A56360"/>
    <w:pPr>
      <w:ind w:firstLineChars="200" w:firstLine="420"/>
    </w:pPr>
  </w:style>
  <w:style w:type="table" w:styleId="a6">
    <w:name w:val="Table Grid"/>
    <w:basedOn w:val="a1"/>
    <w:rsid w:val="00A5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1333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1333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1333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1333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1333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43B9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43B9F"/>
    <w:rPr>
      <w:sz w:val="18"/>
      <w:szCs w:val="18"/>
    </w:rPr>
  </w:style>
  <w:style w:type="table" w:customStyle="1" w:styleId="1">
    <w:name w:val="网格型1"/>
    <w:basedOn w:val="a1"/>
    <w:next w:val="a6"/>
    <w:uiPriority w:val="59"/>
    <w:rsid w:val="0064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D92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2025-12-09T16:02:00Z</dcterms:created>
  <dcterms:modified xsi:type="dcterms:W3CDTF">2025-12-09T16:02:00Z</dcterms:modified>
</cp:coreProperties>
</file>