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20" w:rsidRDefault="00652D20">
      <w:pPr>
        <w:spacing w:line="360" w:lineRule="auto"/>
        <w:rPr>
          <w:rFonts w:ascii="宋体" w:eastAsia="宋体" w:hAnsi="Calibri"/>
          <w:i/>
          <w:sz w:val="32"/>
        </w:rPr>
      </w:pPr>
    </w:p>
    <w:p w:rsidR="00652D20" w:rsidRDefault="00652D20">
      <w:pPr>
        <w:spacing w:line="360" w:lineRule="auto"/>
        <w:jc w:val="center"/>
        <w:rPr>
          <w:rFonts w:ascii="宋体" w:eastAsia="宋体" w:hAnsi="Calibri"/>
          <w:sz w:val="44"/>
        </w:rPr>
      </w:pPr>
    </w:p>
    <w:p w:rsidR="00652D20" w:rsidRDefault="00652D20">
      <w:pPr>
        <w:spacing w:line="360" w:lineRule="auto"/>
        <w:jc w:val="center"/>
        <w:rPr>
          <w:rFonts w:ascii="宋体" w:eastAsia="宋体" w:hAnsi="Calibri"/>
          <w:sz w:val="44"/>
        </w:rPr>
      </w:pPr>
    </w:p>
    <w:p w:rsidR="00652D20" w:rsidRDefault="00652D20">
      <w:pPr>
        <w:spacing w:line="360" w:lineRule="auto"/>
        <w:jc w:val="center"/>
        <w:rPr>
          <w:rFonts w:ascii="宋体" w:eastAsia="宋体" w:hAnsi="Calibri"/>
          <w:sz w:val="44"/>
        </w:rPr>
      </w:pPr>
    </w:p>
    <w:p w:rsidR="00652D20" w:rsidRDefault="00652D20">
      <w:pPr>
        <w:spacing w:line="360" w:lineRule="auto"/>
        <w:jc w:val="center"/>
        <w:rPr>
          <w:rFonts w:ascii="宋体" w:eastAsia="宋体" w:hAnsi="Calibri"/>
          <w:sz w:val="44"/>
        </w:rPr>
      </w:pPr>
    </w:p>
    <w:p w:rsidR="00652D20" w:rsidRDefault="00652D20">
      <w:pPr>
        <w:spacing w:line="360" w:lineRule="auto"/>
        <w:jc w:val="center"/>
        <w:rPr>
          <w:rFonts w:ascii="宋体" w:eastAsia="宋体" w:hAnsi="Calibri"/>
          <w:sz w:val="44"/>
        </w:rPr>
      </w:pPr>
    </w:p>
    <w:p w:rsidR="00652D20" w:rsidRDefault="00652D20">
      <w:pPr>
        <w:spacing w:line="360" w:lineRule="auto"/>
        <w:jc w:val="center"/>
        <w:rPr>
          <w:rFonts w:ascii="宋体" w:eastAsia="宋体" w:hAnsi="Calibri"/>
          <w:sz w:val="44"/>
        </w:rPr>
      </w:pPr>
    </w:p>
    <w:p w:rsidR="00652D20" w:rsidRDefault="00916DC1">
      <w:pPr>
        <w:jc w:val="center"/>
        <w:rPr>
          <w:rFonts w:ascii="宋体" w:eastAsia="宋体" w:hAnsi="Calibri" w:cs="宋体"/>
          <w:b/>
          <w:sz w:val="36"/>
          <w:szCs w:val="36"/>
          <w:lang w:eastAsia="zh-CN"/>
        </w:rPr>
      </w:pPr>
      <w:r>
        <w:rPr>
          <w:rFonts w:ascii="宋体" w:eastAsia="宋体" w:hAnsi="Calibri" w:cs="宋体"/>
          <w:b/>
          <w:sz w:val="36"/>
          <w:szCs w:val="36"/>
          <w:lang w:eastAsia="zh-CN"/>
        </w:rPr>
        <w:t>易方达中证港股通医疗主题交易型开放式指数证券投资基金</w:t>
      </w:r>
      <w:r>
        <w:rPr>
          <w:rFonts w:ascii="宋体" w:eastAsia="宋体" w:hAnsi="Calibri" w:cs="宋体" w:hint="eastAsia"/>
          <w:b/>
          <w:sz w:val="36"/>
          <w:szCs w:val="36"/>
          <w:lang w:eastAsia="zh-CN"/>
        </w:rPr>
        <w:t>基金份额发售公告</w:t>
      </w:r>
    </w:p>
    <w:p w:rsidR="00652D20" w:rsidRDefault="00652D20">
      <w:pPr>
        <w:spacing w:line="360" w:lineRule="auto"/>
        <w:rPr>
          <w:rFonts w:ascii="宋体" w:eastAsia="宋体" w:hAnsi="Calibri"/>
          <w:i/>
          <w:sz w:val="32"/>
          <w:lang w:eastAsia="zh-CN"/>
        </w:rPr>
      </w:pPr>
    </w:p>
    <w:p w:rsidR="00652D20" w:rsidRDefault="00652D20">
      <w:pPr>
        <w:spacing w:line="360" w:lineRule="auto"/>
        <w:rPr>
          <w:rFonts w:ascii="宋体" w:eastAsia="宋体" w:hAnsi="Calibri"/>
          <w:i/>
          <w:sz w:val="32"/>
          <w:lang w:eastAsia="zh-CN"/>
        </w:rPr>
      </w:pPr>
    </w:p>
    <w:p w:rsidR="00652D20" w:rsidRDefault="00652D20">
      <w:pPr>
        <w:spacing w:line="360" w:lineRule="auto"/>
        <w:rPr>
          <w:rFonts w:ascii="宋体" w:eastAsia="宋体" w:hAnsi="Calibri"/>
          <w:i/>
          <w:sz w:val="32"/>
          <w:lang w:eastAsia="zh-CN"/>
        </w:rPr>
      </w:pPr>
    </w:p>
    <w:p w:rsidR="00652D20" w:rsidRDefault="00652D20">
      <w:pPr>
        <w:spacing w:line="360" w:lineRule="auto"/>
        <w:rPr>
          <w:rFonts w:ascii="宋体" w:eastAsia="宋体" w:hAnsi="Calibri"/>
          <w:i/>
          <w:sz w:val="32"/>
          <w:lang w:eastAsia="zh-CN"/>
        </w:rPr>
      </w:pPr>
    </w:p>
    <w:p w:rsidR="00652D20" w:rsidRDefault="00652D20">
      <w:pPr>
        <w:spacing w:line="360" w:lineRule="auto"/>
        <w:rPr>
          <w:rFonts w:ascii="宋体" w:eastAsia="宋体" w:hAnsi="Calibri"/>
          <w:i/>
          <w:sz w:val="32"/>
          <w:lang w:eastAsia="zh-CN"/>
        </w:rPr>
      </w:pPr>
    </w:p>
    <w:p w:rsidR="00652D20" w:rsidRDefault="00652D20">
      <w:pPr>
        <w:rPr>
          <w:rFonts w:ascii="宋体" w:eastAsia="宋体" w:hAnsi="Calibri"/>
          <w:sz w:val="30"/>
          <w:szCs w:val="30"/>
          <w:lang w:eastAsia="zh-CN"/>
        </w:rPr>
      </w:pPr>
    </w:p>
    <w:p w:rsidR="00652D20" w:rsidRDefault="00916DC1">
      <w:pPr>
        <w:ind w:left="1680"/>
        <w:rPr>
          <w:rFonts w:ascii="宋体" w:eastAsia="宋体" w:hAnsi="Calibri"/>
          <w:sz w:val="30"/>
          <w:szCs w:val="30"/>
          <w:lang w:eastAsia="zh-CN"/>
        </w:rPr>
      </w:pPr>
      <w:r>
        <w:rPr>
          <w:rFonts w:ascii="宋体" w:eastAsia="宋体" w:hAnsi="Calibri" w:hint="eastAsia"/>
          <w:sz w:val="30"/>
          <w:szCs w:val="30"/>
          <w:lang w:eastAsia="zh-CN"/>
        </w:rPr>
        <w:t>基金管理人：易方达基金管理有限公司</w:t>
      </w:r>
    </w:p>
    <w:p w:rsidR="00652D20" w:rsidRDefault="00916DC1">
      <w:pPr>
        <w:ind w:left="1680"/>
        <w:rPr>
          <w:rFonts w:ascii="宋体" w:eastAsia="宋体" w:hAnsi="Calibri"/>
          <w:sz w:val="30"/>
          <w:szCs w:val="30"/>
          <w:lang w:eastAsia="zh-CN"/>
        </w:rPr>
      </w:pPr>
      <w:r>
        <w:rPr>
          <w:rFonts w:ascii="宋体" w:eastAsia="宋体" w:hAnsi="Calibri" w:hint="eastAsia"/>
          <w:sz w:val="30"/>
          <w:szCs w:val="30"/>
          <w:lang w:eastAsia="zh-CN"/>
        </w:rPr>
        <w:t>基金托管人：</w:t>
      </w:r>
      <w:r>
        <w:rPr>
          <w:rFonts w:ascii="宋体" w:eastAsia="宋体" w:hAnsi="Calibri"/>
          <w:sz w:val="30"/>
          <w:szCs w:val="30"/>
          <w:lang w:eastAsia="zh-CN"/>
        </w:rPr>
        <w:t>中泰证券股份有限公司</w:t>
      </w:r>
      <w:r>
        <w:rPr>
          <w:rFonts w:ascii="宋体" w:eastAsia="宋体" w:hAnsi="Calibri" w:hint="eastAsia"/>
          <w:sz w:val="30"/>
          <w:szCs w:val="30"/>
          <w:lang w:eastAsia="zh-CN"/>
        </w:rPr>
        <w:t xml:space="preserve"> </w:t>
      </w:r>
    </w:p>
    <w:p w:rsidR="00652D20" w:rsidRDefault="00652D20">
      <w:pPr>
        <w:ind w:left="1680"/>
        <w:rPr>
          <w:rFonts w:ascii="宋体" w:eastAsia="宋体" w:hAnsi="Calibri"/>
          <w:sz w:val="30"/>
          <w:szCs w:val="30"/>
          <w:lang w:eastAsia="zh-CN"/>
        </w:rPr>
      </w:pPr>
    </w:p>
    <w:p w:rsidR="00652D20" w:rsidRDefault="00916DC1">
      <w:pPr>
        <w:spacing w:line="360" w:lineRule="auto"/>
        <w:jc w:val="center"/>
        <w:rPr>
          <w:rFonts w:ascii="宋体" w:eastAsia="宋体" w:hAnsi="Calibri"/>
          <w:sz w:val="28"/>
          <w:szCs w:val="30"/>
          <w:lang w:eastAsia="zh-CN"/>
        </w:rPr>
        <w:sectPr w:rsidR="00652D20">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Pr>
          <w:rFonts w:ascii="宋体" w:eastAsia="宋体" w:hAnsi="Calibri" w:hint="eastAsia"/>
          <w:bCs/>
          <w:sz w:val="28"/>
          <w:lang w:eastAsia="zh-CN"/>
        </w:rPr>
        <w:t>二零二</w:t>
      </w:r>
      <w:r w:rsidR="00822751">
        <w:rPr>
          <w:rFonts w:ascii="宋体" w:eastAsia="宋体" w:hAnsi="Calibri" w:hint="eastAsia"/>
          <w:bCs/>
          <w:sz w:val="28"/>
          <w:lang w:eastAsia="zh-CN"/>
        </w:rPr>
        <w:t>五</w:t>
      </w:r>
      <w:r>
        <w:rPr>
          <w:rFonts w:ascii="宋体" w:eastAsia="宋体" w:hAnsi="Calibri" w:hint="eastAsia"/>
          <w:bCs/>
          <w:sz w:val="28"/>
          <w:lang w:eastAsia="zh-CN"/>
        </w:rPr>
        <w:t>年</w:t>
      </w:r>
      <w:r w:rsidR="006673C4">
        <w:rPr>
          <w:rFonts w:ascii="宋体" w:eastAsia="宋体" w:hAnsi="Calibri" w:hint="eastAsia"/>
          <w:bCs/>
          <w:sz w:val="28"/>
          <w:lang w:eastAsia="zh-CN"/>
        </w:rPr>
        <w:t>十</w:t>
      </w:r>
      <w:r w:rsidR="0012544D">
        <w:rPr>
          <w:rFonts w:ascii="宋体" w:eastAsia="宋体" w:hAnsi="Calibri" w:hint="eastAsia"/>
          <w:bCs/>
          <w:sz w:val="28"/>
          <w:lang w:eastAsia="zh-CN"/>
        </w:rPr>
        <w:t>二</w:t>
      </w:r>
      <w:r>
        <w:rPr>
          <w:rFonts w:ascii="宋体" w:eastAsia="宋体" w:hAnsi="Calibri" w:hint="eastAsia"/>
          <w:bCs/>
          <w:sz w:val="28"/>
          <w:lang w:eastAsia="zh-CN"/>
        </w:rPr>
        <w:t>月</w:t>
      </w:r>
    </w:p>
    <w:p w:rsidR="00652D20" w:rsidRDefault="00916DC1">
      <w:pPr>
        <w:spacing w:line="360" w:lineRule="auto"/>
        <w:jc w:val="center"/>
        <w:rPr>
          <w:rFonts w:ascii="宋体" w:eastAsia="宋体" w:hAnsi="Calibri"/>
          <w:sz w:val="32"/>
          <w:lang w:eastAsia="zh-CN"/>
        </w:rPr>
      </w:pPr>
      <w:r>
        <w:rPr>
          <w:rFonts w:ascii="宋体" w:eastAsia="宋体" w:hAnsi="Calibri"/>
          <w:sz w:val="32"/>
          <w:lang w:eastAsia="zh-CN"/>
        </w:rPr>
        <w:lastRenderedPageBreak/>
        <w:t>易方达中证港股通医疗主题交易型开放式指数证券投资基金</w:t>
      </w:r>
      <w:r>
        <w:rPr>
          <w:rFonts w:ascii="宋体" w:eastAsia="宋体" w:hAnsi="Calibri" w:hint="eastAsia"/>
          <w:sz w:val="32"/>
          <w:lang w:eastAsia="zh-CN"/>
        </w:rPr>
        <w:t>基金份额发售公告</w:t>
      </w:r>
    </w:p>
    <w:p w:rsidR="00652D20" w:rsidRDefault="00652D20">
      <w:pPr>
        <w:spacing w:line="360" w:lineRule="auto"/>
        <w:jc w:val="center"/>
        <w:rPr>
          <w:rFonts w:ascii="宋体" w:eastAsia="宋体" w:hAnsi="Calibri"/>
          <w:sz w:val="32"/>
          <w:lang w:eastAsia="zh-CN"/>
        </w:rPr>
      </w:pPr>
    </w:p>
    <w:p w:rsidR="00652D20" w:rsidRDefault="00916DC1">
      <w:pPr>
        <w:spacing w:line="360" w:lineRule="auto"/>
        <w:jc w:val="center"/>
        <w:outlineLvl w:val="0"/>
        <w:rPr>
          <w:rFonts w:ascii="宋体" w:eastAsia="宋体" w:hAnsi="Calibri"/>
          <w:bCs/>
          <w:sz w:val="24"/>
        </w:rPr>
      </w:pPr>
      <w:r>
        <w:rPr>
          <w:rFonts w:ascii="宋体" w:eastAsia="宋体" w:hAnsi="Calibri" w:hint="eastAsia"/>
          <w:bCs/>
          <w:sz w:val="24"/>
        </w:rPr>
        <w:t>重要提示</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易方达中证港股通医疗主题交易型开放式指数证券投资基金（以下简称</w:t>
      </w:r>
      <w:r>
        <w:rPr>
          <w:rFonts w:ascii="宋体" w:eastAsia="宋体" w:hAnsi="Calibri" w:hint="eastAsia"/>
          <w:szCs w:val="21"/>
          <w:lang w:eastAsia="zh-CN"/>
        </w:rPr>
        <w:t>“</w:t>
      </w:r>
      <w:r>
        <w:rPr>
          <w:rFonts w:ascii="宋体" w:eastAsia="宋体" w:hAnsi="Calibri"/>
          <w:szCs w:val="21"/>
          <w:lang w:eastAsia="zh-CN"/>
        </w:rPr>
        <w:t>本基金</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根据中国证券监督管理委员会《关于准予</w:t>
      </w:r>
      <w:r>
        <w:rPr>
          <w:rFonts w:ascii="宋体" w:eastAsia="宋体" w:hAnsi="Calibri"/>
          <w:szCs w:val="21"/>
          <w:lang w:eastAsia="zh-CN"/>
        </w:rPr>
        <w:t>易方达中证港股通医疗主题交易型开放式指数证券投资基金注册的批复》（证监许可</w:t>
      </w:r>
      <w:r>
        <w:rPr>
          <w:rFonts w:ascii="宋体" w:eastAsia="宋体" w:hAnsi="Calibri"/>
          <w:szCs w:val="21"/>
          <w:lang w:eastAsia="zh-CN"/>
        </w:rPr>
        <w:t>[202</w:t>
      </w:r>
      <w:r w:rsidR="00822751">
        <w:rPr>
          <w:rFonts w:ascii="宋体" w:eastAsia="宋体" w:hAnsi="Calibri"/>
          <w:szCs w:val="21"/>
          <w:lang w:eastAsia="zh-CN"/>
        </w:rPr>
        <w:t>5</w:t>
      </w:r>
      <w:r>
        <w:rPr>
          <w:rFonts w:ascii="宋体" w:eastAsia="宋体" w:hAnsi="Calibri"/>
          <w:szCs w:val="21"/>
          <w:lang w:eastAsia="zh-CN"/>
        </w:rPr>
        <w:t>]</w:t>
      </w:r>
      <w:r w:rsidR="00822751">
        <w:rPr>
          <w:rFonts w:ascii="宋体" w:eastAsia="宋体" w:hAnsi="Calibri"/>
          <w:szCs w:val="21"/>
          <w:lang w:eastAsia="zh-CN"/>
        </w:rPr>
        <w:t>1948</w:t>
      </w:r>
      <w:r>
        <w:rPr>
          <w:rFonts w:ascii="宋体" w:eastAsia="宋体" w:hAnsi="Calibri"/>
          <w:szCs w:val="21"/>
          <w:lang w:eastAsia="zh-CN"/>
        </w:rPr>
        <w:t>号）</w:t>
      </w:r>
      <w:r>
        <w:rPr>
          <w:rFonts w:ascii="宋体" w:eastAsia="宋体" w:hAnsi="Calibri" w:hint="eastAsia"/>
          <w:szCs w:val="21"/>
          <w:lang w:eastAsia="zh-CN"/>
        </w:rPr>
        <w:t>进行募集。</w:t>
      </w:r>
    </w:p>
    <w:p w:rsidR="00652D20" w:rsidRDefault="00916DC1">
      <w:pPr>
        <w:numPr>
          <w:ilvl w:val="0"/>
          <w:numId w:val="2"/>
        </w:numPr>
        <w:tabs>
          <w:tab w:val="clear" w:pos="900"/>
          <w:tab w:val="num" w:pos="709"/>
        </w:tabs>
        <w:spacing w:line="360" w:lineRule="auto"/>
        <w:ind w:left="-28" w:firstLine="454"/>
        <w:rPr>
          <w:rStyle w:val="da"/>
          <w:rFonts w:ascii="宋体" w:eastAsia="宋体" w:hAnsi="Calibri"/>
          <w:lang w:eastAsia="zh-CN"/>
        </w:rPr>
      </w:pPr>
      <w:r>
        <w:rPr>
          <w:rFonts w:ascii="宋体" w:eastAsia="宋体" w:hAnsi="Calibri" w:hint="eastAsia"/>
          <w:szCs w:val="21"/>
          <w:lang w:eastAsia="zh-CN"/>
        </w:rPr>
        <w:t>本基金为</w:t>
      </w:r>
      <w:r>
        <w:rPr>
          <w:rFonts w:ascii="宋体" w:eastAsia="宋体" w:hAnsi="Calibri"/>
          <w:szCs w:val="21"/>
          <w:lang w:eastAsia="zh-CN"/>
        </w:rPr>
        <w:t>交易型开放式、股票型证券投资基金、指数基金。</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本基金的管理人为易方达基金管理有限公司</w:t>
      </w:r>
      <w:r>
        <w:rPr>
          <w:rFonts w:ascii="宋体" w:eastAsia="宋体" w:hAnsi="Calibri"/>
          <w:szCs w:val="21"/>
          <w:lang w:eastAsia="zh-CN"/>
        </w:rPr>
        <w:t>（以下简称</w:t>
      </w:r>
      <w:r>
        <w:rPr>
          <w:rFonts w:ascii="宋体" w:eastAsia="宋体" w:hAnsi="Calibri" w:hint="eastAsia"/>
          <w:szCs w:val="21"/>
          <w:lang w:eastAsia="zh-CN"/>
        </w:rPr>
        <w:t>“</w:t>
      </w:r>
      <w:r>
        <w:rPr>
          <w:rFonts w:ascii="宋体" w:eastAsia="宋体" w:hAnsi="Calibri"/>
          <w:szCs w:val="21"/>
          <w:lang w:eastAsia="zh-CN"/>
        </w:rPr>
        <w:t>本公司</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，托管人为</w:t>
      </w:r>
      <w:r>
        <w:rPr>
          <w:rFonts w:ascii="宋体" w:eastAsia="宋体" w:hAnsi="Calibri"/>
          <w:szCs w:val="21"/>
          <w:lang w:eastAsia="zh-CN"/>
        </w:rPr>
        <w:t>中泰证券股份有限公司</w:t>
      </w:r>
      <w:r>
        <w:rPr>
          <w:rFonts w:ascii="宋体" w:eastAsia="宋体" w:hAnsi="Calibri" w:hint="eastAsia"/>
          <w:szCs w:val="21"/>
          <w:lang w:eastAsia="zh-CN"/>
        </w:rPr>
        <w:t>，本基金登记结算机构为中国证券登记结算有限责任公司。</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本基金将自</w:t>
      </w:r>
      <w:r w:rsidR="001406F4">
        <w:rPr>
          <w:rFonts w:ascii="宋体" w:eastAsia="宋体" w:hAnsi="Calibri"/>
          <w:szCs w:val="21"/>
          <w:lang w:eastAsia="zh-CN"/>
        </w:rPr>
        <w:t>2025</w:t>
      </w:r>
      <w:r>
        <w:rPr>
          <w:rFonts w:ascii="宋体" w:eastAsia="宋体" w:hAnsi="Calibri" w:hint="eastAsia"/>
          <w:szCs w:val="21"/>
          <w:lang w:eastAsia="zh-CN"/>
        </w:rPr>
        <w:t>年</w:t>
      </w:r>
      <w:r w:rsidR="00215202">
        <w:rPr>
          <w:rFonts w:ascii="宋体" w:eastAsia="宋体" w:hAnsi="Calibri"/>
          <w:szCs w:val="21"/>
          <w:lang w:eastAsia="zh-CN"/>
        </w:rPr>
        <w:t>12</w:t>
      </w:r>
      <w:r>
        <w:rPr>
          <w:rFonts w:ascii="宋体" w:eastAsia="宋体" w:hAnsi="Calibri" w:hint="eastAsia"/>
          <w:szCs w:val="21"/>
          <w:lang w:eastAsia="zh-CN"/>
        </w:rPr>
        <w:t>月</w:t>
      </w:r>
      <w:r w:rsidR="00215202">
        <w:rPr>
          <w:rFonts w:ascii="宋体" w:eastAsia="宋体" w:hAnsi="Calibri"/>
          <w:szCs w:val="21"/>
          <w:lang w:eastAsia="zh-CN"/>
        </w:rPr>
        <w:t>17</w:t>
      </w:r>
      <w:r>
        <w:rPr>
          <w:rFonts w:ascii="宋体" w:eastAsia="宋体" w:hAnsi="Calibri" w:hint="eastAsia"/>
          <w:szCs w:val="21"/>
          <w:lang w:eastAsia="zh-CN"/>
        </w:rPr>
        <w:t>日至</w:t>
      </w:r>
      <w:r w:rsidR="001406F4">
        <w:rPr>
          <w:rFonts w:ascii="宋体" w:eastAsia="宋体" w:hAnsi="Calibri"/>
          <w:szCs w:val="21"/>
          <w:lang w:eastAsia="zh-CN"/>
        </w:rPr>
        <w:t>2025</w:t>
      </w:r>
      <w:r>
        <w:rPr>
          <w:rFonts w:ascii="宋体" w:eastAsia="宋体" w:hAnsi="Calibri" w:hint="eastAsia"/>
          <w:szCs w:val="21"/>
          <w:lang w:eastAsia="zh-CN"/>
        </w:rPr>
        <w:t>年</w:t>
      </w:r>
      <w:r w:rsidR="001406F4">
        <w:rPr>
          <w:rFonts w:ascii="宋体" w:eastAsia="宋体" w:hAnsi="Calibri"/>
          <w:szCs w:val="21"/>
          <w:lang w:eastAsia="zh-CN"/>
        </w:rPr>
        <w:t>12</w:t>
      </w:r>
      <w:r>
        <w:rPr>
          <w:rFonts w:ascii="宋体" w:eastAsia="宋体" w:hAnsi="Calibri" w:hint="eastAsia"/>
          <w:szCs w:val="21"/>
          <w:lang w:eastAsia="zh-CN"/>
        </w:rPr>
        <w:t>月</w:t>
      </w:r>
      <w:r w:rsidR="00215202">
        <w:rPr>
          <w:rFonts w:ascii="宋体" w:eastAsia="宋体" w:hAnsi="Calibri"/>
          <w:szCs w:val="21"/>
          <w:lang w:eastAsia="zh-CN"/>
        </w:rPr>
        <w:t>23</w:t>
      </w:r>
      <w:r>
        <w:rPr>
          <w:rFonts w:ascii="宋体" w:eastAsia="宋体" w:hAnsi="Calibri" w:hint="eastAsia"/>
          <w:szCs w:val="21"/>
          <w:lang w:eastAsia="zh-CN"/>
        </w:rPr>
        <w:t>日进行</w:t>
      </w:r>
      <w:r>
        <w:rPr>
          <w:rFonts w:ascii="宋体" w:eastAsia="宋体" w:hAnsi="Calibri"/>
          <w:szCs w:val="21"/>
          <w:lang w:eastAsia="zh-CN"/>
        </w:rPr>
        <w:t>发售。</w:t>
      </w:r>
      <w:r>
        <w:rPr>
          <w:rFonts w:ascii="宋体" w:eastAsia="宋体" w:hAnsi="Calibri" w:hint="eastAsia"/>
          <w:szCs w:val="21"/>
          <w:lang w:eastAsia="zh-CN"/>
        </w:rPr>
        <w:t>本基金的投资人可选择网上现金认购和网下现金认购</w:t>
      </w:r>
      <w:r>
        <w:rPr>
          <w:rFonts w:ascii="宋体" w:eastAsia="宋体" w:hAnsi="Calibri" w:hint="eastAsia"/>
          <w:szCs w:val="21"/>
          <w:lang w:eastAsia="zh-CN"/>
        </w:rPr>
        <w:t>2</w:t>
      </w:r>
      <w:r>
        <w:rPr>
          <w:rFonts w:ascii="宋体" w:eastAsia="宋体" w:hAnsi="Calibri" w:hint="eastAsia"/>
          <w:szCs w:val="21"/>
          <w:lang w:eastAsia="zh-CN"/>
        </w:rPr>
        <w:t>种方式，其中网下现金认购的日期为</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17</w:t>
      </w:r>
      <w:r w:rsidR="00215202">
        <w:rPr>
          <w:rFonts w:ascii="宋体" w:eastAsia="宋体" w:hAnsi="Calibri" w:hint="eastAsia"/>
          <w:szCs w:val="21"/>
          <w:lang w:eastAsia="zh-CN"/>
        </w:rPr>
        <w:t>日至</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23</w:t>
      </w:r>
      <w:r w:rsidR="00215202">
        <w:rPr>
          <w:rFonts w:ascii="宋体" w:eastAsia="宋体" w:hAnsi="Calibri" w:hint="eastAsia"/>
          <w:szCs w:val="21"/>
          <w:lang w:eastAsia="zh-CN"/>
        </w:rPr>
        <w:t>日</w:t>
      </w:r>
      <w:r>
        <w:rPr>
          <w:rFonts w:ascii="宋体" w:eastAsia="宋体" w:hAnsi="Calibri" w:hint="eastAsia"/>
          <w:szCs w:val="21"/>
          <w:lang w:eastAsia="zh-CN"/>
        </w:rPr>
        <w:t>，网上现金认购的日期为</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17</w:t>
      </w:r>
      <w:r w:rsidR="00215202">
        <w:rPr>
          <w:rFonts w:ascii="宋体" w:eastAsia="宋体" w:hAnsi="Calibri" w:hint="eastAsia"/>
          <w:szCs w:val="21"/>
          <w:lang w:eastAsia="zh-CN"/>
        </w:rPr>
        <w:t>日至</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23</w:t>
      </w:r>
      <w:r w:rsidR="00215202">
        <w:rPr>
          <w:rFonts w:ascii="宋体" w:eastAsia="宋体" w:hAnsi="Calibri" w:hint="eastAsia"/>
          <w:szCs w:val="21"/>
          <w:lang w:eastAsia="zh-CN"/>
        </w:rPr>
        <w:t>日</w:t>
      </w:r>
      <w:r>
        <w:rPr>
          <w:rFonts w:ascii="宋体" w:eastAsia="宋体" w:hAnsi="Calibri" w:hint="eastAsia"/>
          <w:szCs w:val="21"/>
          <w:lang w:eastAsia="zh-CN"/>
        </w:rPr>
        <w:t>。如上海证券交易所对网上现金认购时间作出调整，本公司将作出相应调整并及时公告。基金管理人根据认购的情况可适当调整募集时间，并及时公告，但最长不超过法定募集期限。</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bCs/>
          <w:szCs w:val="21"/>
          <w:highlight w:val="white"/>
          <w:lang w:eastAsia="zh-CN"/>
        </w:rPr>
        <w:t>网上现金认购是指投资人通过具有基金销售业务资格的上海证券交易所会员用上海证券交易所网上系统以现金进行的认购；网下现金认购是指投资人通过基金管理人及其指定的发售代理机构以现金进行的认购。</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投资人认购本基金时需具有上海证券交易所</w:t>
      </w:r>
      <w:r>
        <w:rPr>
          <w:rFonts w:ascii="宋体" w:eastAsia="宋体" w:hAnsi="Calibri"/>
          <w:szCs w:val="21"/>
          <w:lang w:eastAsia="zh-CN"/>
        </w:rPr>
        <w:t>A</w:t>
      </w:r>
      <w:r>
        <w:rPr>
          <w:rFonts w:ascii="宋体" w:eastAsia="宋体" w:hAnsi="Calibri" w:hint="eastAsia"/>
          <w:szCs w:val="21"/>
          <w:lang w:eastAsia="zh-CN"/>
        </w:rPr>
        <w:t>股账户或上海证券交易所证券投资基金账户。如投资者需要参与网下现金或网上现金认购，应使用上海证券交易所</w:t>
      </w:r>
      <w:r>
        <w:rPr>
          <w:rFonts w:ascii="宋体" w:eastAsia="宋体" w:hAnsi="Calibri" w:hint="eastAsia"/>
          <w:szCs w:val="21"/>
          <w:lang w:eastAsia="zh-CN"/>
        </w:rPr>
        <w:t>A</w:t>
      </w:r>
      <w:r>
        <w:rPr>
          <w:rFonts w:ascii="宋体" w:eastAsia="宋体" w:hAnsi="Calibri" w:hint="eastAsia"/>
          <w:szCs w:val="21"/>
          <w:lang w:eastAsia="zh-CN"/>
        </w:rPr>
        <w:t>股账户或上海证券交易所证券投资基金账户。</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投资者应保证用于认购的资金来源合法，投资者应有权自行支配，不存在任何法律上、合约上或其他方面的障碍。投资者已提交的身份证件或身份证明文件如已过</w:t>
      </w:r>
      <w:r>
        <w:rPr>
          <w:rFonts w:ascii="宋体" w:eastAsia="宋体" w:hAnsi="Calibri" w:hint="eastAsia"/>
          <w:lang w:eastAsia="zh-CN"/>
        </w:rPr>
        <w:t>有效期，请及时办理相关更新手续，以免影响认购。投资者在认购时还应遵守销售机构有关反洗钱的相关要求，配合提供必要的客户身份信息与资料。</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本基金的认购费用或认购佣金不超过认购份额的</w:t>
      </w:r>
      <w:r>
        <w:rPr>
          <w:rFonts w:ascii="宋体" w:eastAsia="宋体" w:hAnsi="Calibri"/>
          <w:szCs w:val="21"/>
          <w:lang w:eastAsia="zh-CN"/>
        </w:rPr>
        <w:t>0.80%</w:t>
      </w:r>
      <w:r>
        <w:rPr>
          <w:rFonts w:ascii="宋体" w:eastAsia="宋体" w:hAnsi="Calibri" w:hint="eastAsia"/>
          <w:szCs w:val="21"/>
          <w:lang w:eastAsia="zh-CN"/>
        </w:rPr>
        <w:t>。</w:t>
      </w:r>
    </w:p>
    <w:p w:rsidR="00652D20" w:rsidRDefault="00916DC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募集规模上限</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本基金首次募集规模上限为</w:t>
      </w:r>
      <w:r>
        <w:rPr>
          <w:rFonts w:ascii="宋体" w:eastAsia="宋体" w:hAnsi="Calibri"/>
          <w:szCs w:val="21"/>
          <w:lang w:eastAsia="zh-CN"/>
        </w:rPr>
        <w:t>20</w:t>
      </w:r>
      <w:r>
        <w:rPr>
          <w:rFonts w:ascii="宋体" w:eastAsia="宋体" w:hAnsi="Calibri" w:hint="eastAsia"/>
          <w:lang w:eastAsia="zh-CN"/>
        </w:rPr>
        <w:t>亿元人民币（不包括募集期利息和认购费用，下同）。</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在募集期内任何一天（含第一天）当日募集截止时间后累计有效认购申请份额总额超</w:t>
      </w:r>
      <w:r>
        <w:rPr>
          <w:rFonts w:ascii="宋体" w:eastAsia="宋体" w:hAnsi="Calibri" w:hint="eastAsia"/>
          <w:lang w:eastAsia="zh-CN"/>
        </w:rPr>
        <w:lastRenderedPageBreak/>
        <w:t>过</w:t>
      </w:r>
      <w:r>
        <w:rPr>
          <w:rFonts w:ascii="宋体" w:eastAsia="宋体" w:hAnsi="Calibri"/>
          <w:szCs w:val="21"/>
          <w:lang w:eastAsia="zh-CN"/>
        </w:rPr>
        <w:t>20</w:t>
      </w:r>
      <w:r>
        <w:rPr>
          <w:rFonts w:ascii="宋体" w:eastAsia="宋体" w:hAnsi="Calibri" w:hint="eastAsia"/>
          <w:lang w:eastAsia="zh-CN"/>
        </w:rPr>
        <w:t>亿份（折合为金额</w:t>
      </w:r>
      <w:r>
        <w:rPr>
          <w:rFonts w:ascii="宋体" w:eastAsia="宋体" w:hAnsi="Calibri"/>
          <w:szCs w:val="21"/>
          <w:lang w:eastAsia="zh-CN"/>
        </w:rPr>
        <w:t>20</w:t>
      </w:r>
      <w:r>
        <w:rPr>
          <w:rFonts w:ascii="宋体" w:eastAsia="宋体" w:hAnsi="Calibri" w:hint="eastAsia"/>
          <w:lang w:eastAsia="zh-CN"/>
        </w:rPr>
        <w:t>亿元人民币），基金管理人将采取末日比例确认的方式实现规模的有效控制。当发生末日比例确认时，基金管理人将及时公告比例确认情况与结果。</w:t>
      </w:r>
      <w:r>
        <w:rPr>
          <w:rFonts w:ascii="宋体" w:eastAsia="宋体" w:hAnsi="Calibri" w:hint="eastAsia"/>
          <w:lang w:eastAsia="zh-CN"/>
        </w:rPr>
        <w:t>未确认部分的认购款项将在募集期结束后退还给投资者。</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末日认购申请确认比例的计算方法如下：</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w:t>
      </w:r>
      <w:r>
        <w:rPr>
          <w:rFonts w:ascii="宋体" w:eastAsia="宋体" w:hAnsi="Calibri"/>
          <w:szCs w:val="21"/>
          <w:lang w:eastAsia="zh-CN"/>
        </w:rPr>
        <w:t>20</w:t>
      </w:r>
      <w:r>
        <w:rPr>
          <w:rFonts w:ascii="宋体" w:eastAsia="宋体" w:hAnsi="Calibri" w:hint="eastAsia"/>
          <w:lang w:eastAsia="zh-CN"/>
        </w:rPr>
        <w:t>亿份－末日之前有效认购申请份额总额）</w:t>
      </w:r>
      <w:r>
        <w:rPr>
          <w:rFonts w:ascii="宋体" w:eastAsia="宋体" w:hAnsi="Calibri" w:hint="eastAsia"/>
          <w:lang w:eastAsia="zh-CN"/>
        </w:rPr>
        <w:t>/</w:t>
      </w:r>
      <w:r>
        <w:rPr>
          <w:rFonts w:ascii="宋体" w:eastAsia="宋体" w:hAnsi="Calibri" w:hint="eastAsia"/>
          <w:lang w:eastAsia="zh-CN"/>
        </w:rPr>
        <w:t>末日有效认购申请份额总额</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末日投资者认购申请确认份额</w:t>
      </w:r>
      <w:r>
        <w:rPr>
          <w:rFonts w:ascii="宋体" w:eastAsia="宋体" w:hAnsi="Calibri" w:hint="eastAsia"/>
          <w:lang w:eastAsia="zh-CN"/>
        </w:rPr>
        <w:t>=</w:t>
      </w:r>
      <w:r>
        <w:rPr>
          <w:rFonts w:ascii="宋体" w:eastAsia="宋体" w:hAnsi="Calibri" w:hint="eastAsia"/>
          <w:lang w:eastAsia="zh-CN"/>
        </w:rPr>
        <w:t>末日提交的有效认购申请份额×末日认购申请确认比例</w:t>
      </w:r>
    </w:p>
    <w:p w:rsidR="00652D20" w:rsidRDefault="00916DC1">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“末日之前有效认购申请份额总额”和“末日有效认购申请份额总额”都不包括募集期利息和认购费用。</w:t>
      </w:r>
    </w:p>
    <w:p w:rsidR="00652D20" w:rsidRDefault="00916DC1">
      <w:pPr>
        <w:pBdr>
          <w:top w:val="nil"/>
          <w:left w:val="nil"/>
          <w:bottom w:val="nil"/>
          <w:right w:val="nil"/>
        </w:pBdr>
        <w:spacing w:line="360" w:lineRule="auto"/>
        <w:ind w:firstLine="420"/>
        <w:rPr>
          <w:rFonts w:ascii="宋体" w:eastAsia="宋体" w:hAnsi="Calibri"/>
          <w:szCs w:val="21"/>
          <w:lang w:eastAsia="zh-CN"/>
        </w:rPr>
      </w:pPr>
      <w:r>
        <w:rPr>
          <w:rFonts w:ascii="宋体" w:eastAsia="宋体" w:hAnsi="Calibri" w:hint="eastAsia"/>
          <w:lang w:eastAsia="zh-CN"/>
        </w:rPr>
        <w:t>当发生部分确认时，将按照末日认购申请确认比例对末日每笔有效认购申请份额进行部分确认处理，因对每笔认购明细处理的精度等原因，最终确认的本基金累计有效认购份额（不包括募集期利息和认购费用）可能会略微超过</w:t>
      </w:r>
      <w:r>
        <w:rPr>
          <w:rFonts w:ascii="宋体" w:eastAsia="宋体" w:hAnsi="Calibri"/>
          <w:szCs w:val="21"/>
          <w:lang w:eastAsia="zh-CN"/>
        </w:rPr>
        <w:t>20</w:t>
      </w:r>
      <w:r>
        <w:rPr>
          <w:rFonts w:ascii="宋体" w:eastAsia="宋体" w:hAnsi="Calibri" w:hint="eastAsia"/>
          <w:lang w:eastAsia="zh-CN"/>
        </w:rPr>
        <w:t>亿份。末日认购申请确认份额不受认购最低限额的限制。最终认购申请确认结果以本基金登记结算机构的记录为准。</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本基金募集对象</w:t>
      </w:r>
      <w:r>
        <w:rPr>
          <w:rFonts w:ascii="宋体" w:eastAsia="宋体" w:hAnsi="Calibri" w:hint="eastAsia"/>
          <w:szCs w:val="21"/>
          <w:lang w:eastAsia="zh-CN"/>
        </w:rPr>
        <w:t>为</w:t>
      </w:r>
      <w:r>
        <w:rPr>
          <w:rFonts w:ascii="宋体" w:eastAsia="宋体" w:hAnsi="Calibri" w:hint="eastAsia"/>
          <w:szCs w:val="21"/>
          <w:highlight w:val="white"/>
          <w:lang w:eastAsia="zh-CN"/>
        </w:rPr>
        <w:t>符合法律法规规定的可投资于证券投资基金的个人投资者、机构投资者、合格境外投资者以及法律法规或中国证监会允许购买证券投资基金的其他投资人。</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网上现金认购</w:t>
      </w:r>
      <w:r>
        <w:rPr>
          <w:rFonts w:ascii="宋体" w:eastAsia="宋体" w:hAnsi="Calibri" w:hint="eastAsia"/>
          <w:szCs w:val="21"/>
          <w:highlight w:val="white"/>
          <w:lang w:eastAsia="zh-CN"/>
        </w:rPr>
        <w:t>单一账户每笔认购份额需为</w:t>
      </w:r>
      <w:r>
        <w:rPr>
          <w:rFonts w:ascii="宋体" w:eastAsia="宋体" w:hAnsi="Calibri" w:hint="eastAsia"/>
          <w:szCs w:val="21"/>
          <w:highlight w:val="white"/>
          <w:lang w:eastAsia="zh-CN"/>
        </w:rPr>
        <w:t>1,000</w:t>
      </w:r>
      <w:r>
        <w:rPr>
          <w:rFonts w:ascii="宋体" w:eastAsia="宋体" w:hAnsi="Calibri" w:hint="eastAsia"/>
          <w:szCs w:val="21"/>
          <w:highlight w:val="white"/>
          <w:lang w:eastAsia="zh-CN"/>
        </w:rPr>
        <w:t>份或其整数倍，最高不得超过</w:t>
      </w:r>
      <w:r>
        <w:rPr>
          <w:rFonts w:ascii="宋体" w:eastAsia="宋体" w:hAnsi="Calibri" w:hint="eastAsia"/>
          <w:szCs w:val="21"/>
          <w:highlight w:val="white"/>
          <w:lang w:eastAsia="zh-CN"/>
        </w:rPr>
        <w:t>99,999,000</w:t>
      </w:r>
      <w:r>
        <w:rPr>
          <w:rFonts w:ascii="宋体" w:eastAsia="宋体" w:hAnsi="Calibri" w:hint="eastAsia"/>
          <w:szCs w:val="21"/>
          <w:highlight w:val="white"/>
          <w:lang w:eastAsia="zh-CN"/>
        </w:rPr>
        <w:t>份</w:t>
      </w:r>
      <w:r>
        <w:rPr>
          <w:rFonts w:ascii="宋体" w:eastAsia="宋体" w:hAnsi="Calibri" w:hint="eastAsia"/>
          <w:szCs w:val="21"/>
          <w:lang w:eastAsia="zh-CN"/>
        </w:rPr>
        <w:t>。</w:t>
      </w:r>
      <w:r>
        <w:rPr>
          <w:rFonts w:ascii="宋体" w:eastAsia="宋体" w:hAnsi="Calibri" w:hint="eastAsia"/>
          <w:szCs w:val="21"/>
          <w:highlight w:val="white"/>
          <w:lang w:eastAsia="zh-CN"/>
        </w:rPr>
        <w:t>投资人通过发售代理机构办理网下现金认购的，每笔认购份额须为</w:t>
      </w:r>
      <w:r>
        <w:rPr>
          <w:rFonts w:ascii="宋体" w:eastAsia="宋体" w:hAnsi="Calibri" w:hint="eastAsia"/>
          <w:szCs w:val="21"/>
          <w:highlight w:val="white"/>
          <w:lang w:eastAsia="zh-CN"/>
        </w:rPr>
        <w:t>1,000</w:t>
      </w:r>
      <w:r>
        <w:rPr>
          <w:rFonts w:ascii="宋体" w:eastAsia="宋体" w:hAnsi="Calibri" w:hint="eastAsia"/>
          <w:szCs w:val="21"/>
          <w:highlight w:val="white"/>
          <w:lang w:eastAsia="zh-CN"/>
        </w:rPr>
        <w:t>份或其整数倍；投资人通过基金管理人办理网下现金认购的，每笔认购份额须在</w:t>
      </w:r>
      <w:r>
        <w:rPr>
          <w:rFonts w:ascii="宋体" w:eastAsia="宋体" w:hAnsi="Calibri" w:hint="eastAsia"/>
          <w:szCs w:val="21"/>
          <w:highlight w:val="white"/>
          <w:lang w:eastAsia="zh-CN"/>
        </w:rPr>
        <w:t>10</w:t>
      </w:r>
      <w:r>
        <w:rPr>
          <w:rFonts w:ascii="宋体" w:eastAsia="宋体" w:hAnsi="Calibri" w:hint="eastAsia"/>
          <w:szCs w:val="21"/>
          <w:highlight w:val="white"/>
          <w:lang w:eastAsia="zh-CN"/>
        </w:rPr>
        <w:t>万份以上（含</w:t>
      </w:r>
      <w:r>
        <w:rPr>
          <w:rFonts w:ascii="宋体" w:eastAsia="宋体" w:hAnsi="Calibri" w:hint="eastAsia"/>
          <w:szCs w:val="21"/>
          <w:highlight w:val="white"/>
          <w:lang w:eastAsia="zh-CN"/>
        </w:rPr>
        <w:t>10</w:t>
      </w:r>
      <w:r>
        <w:rPr>
          <w:rFonts w:ascii="宋体" w:eastAsia="宋体" w:hAnsi="Calibri" w:hint="eastAsia"/>
          <w:szCs w:val="21"/>
          <w:highlight w:val="white"/>
          <w:lang w:eastAsia="zh-CN"/>
        </w:rPr>
        <w:t>万份）。</w:t>
      </w:r>
      <w:r>
        <w:rPr>
          <w:rFonts w:ascii="宋体" w:eastAsia="宋体" w:hAnsi="Calibri" w:hint="eastAsia"/>
          <w:szCs w:val="21"/>
          <w:lang w:eastAsia="zh-CN"/>
        </w:rPr>
        <w:t>在本基金首次募集规模上限内，投资人可以多次认购，单个投资人的累计认购不设上限，但需符合相关法律法规、业务规则以及本基金发售规模控制方案的规定。</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网上现金认购申请提交后，投资人可以在当日交易时间内撤销指定的认购申请。网下现金认购申请提交后如需撤销以销售机构的规定为</w:t>
      </w:r>
      <w:r>
        <w:rPr>
          <w:rFonts w:ascii="宋体" w:eastAsia="宋体" w:hAnsi="Calibri" w:hint="eastAsia"/>
          <w:szCs w:val="21"/>
          <w:lang w:eastAsia="zh-CN"/>
        </w:rPr>
        <w:t>准。</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销售</w:t>
      </w:r>
      <w:r>
        <w:rPr>
          <w:rFonts w:ascii="宋体" w:eastAsia="宋体" w:hAnsi="Calibri" w:hint="eastAsia"/>
          <w:szCs w:val="21"/>
          <w:lang w:eastAsia="zh-CN"/>
        </w:rPr>
        <w:t>机构对认购申请的受理并不表示对该申请的成功确认，而仅代表销售机构确实接受了认购申请，申请的成功确认应以登记结算机构的确认登记为准。投资人可以在基金合同生效后到各销售机构查询最终成交确认情况和认购的份额。</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本基金《基金合同》生效后，符合基金上市交易条件的，本基金基金份额可申请在上海证券交易所上市交易。上市交易的有关事项将另行公告。</w:t>
      </w:r>
    </w:p>
    <w:p w:rsidR="00652D20" w:rsidRDefault="00916DC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szCs w:val="21"/>
        </w:rPr>
        <w:t>本公告仅对易方达中证港股通医疗主题交易型开放式指数证券投资基金发售的有关事项和规定予以说明</w:t>
      </w:r>
      <w:r>
        <w:rPr>
          <w:rFonts w:ascii="宋体" w:eastAsia="宋体" w:hAnsi="Calibri" w:hint="eastAsia"/>
          <w:szCs w:val="21"/>
        </w:rPr>
        <w:t>，</w:t>
      </w:r>
      <w:r>
        <w:rPr>
          <w:rFonts w:ascii="宋体" w:eastAsia="宋体" w:hAnsi="Calibri"/>
          <w:szCs w:val="21"/>
        </w:rPr>
        <w:t>投资者欲了解</w:t>
      </w:r>
      <w:r>
        <w:rPr>
          <w:rFonts w:ascii="宋体" w:eastAsia="宋体" w:hAnsi="Calibri" w:hint="eastAsia"/>
          <w:szCs w:val="21"/>
        </w:rPr>
        <w:t>本基金</w:t>
      </w:r>
      <w:r>
        <w:rPr>
          <w:rFonts w:ascii="宋体" w:eastAsia="宋体" w:hAnsi="Calibri"/>
          <w:szCs w:val="21"/>
        </w:rPr>
        <w:t>的详细情况，请详细阅读刊登</w:t>
      </w:r>
      <w:r>
        <w:rPr>
          <w:rFonts w:ascii="宋体" w:eastAsia="宋体" w:hAnsi="Calibri" w:hint="eastAsia"/>
          <w:szCs w:val="21"/>
        </w:rPr>
        <w:t>在本公司网站（</w:t>
      </w:r>
      <w:r>
        <w:rPr>
          <w:rFonts w:ascii="宋体" w:eastAsia="宋体" w:hAnsi="Calibri"/>
          <w:szCs w:val="21"/>
        </w:rPr>
        <w:t>www.efunds</w:t>
      </w:r>
      <w:r>
        <w:rPr>
          <w:rFonts w:ascii="宋体" w:eastAsia="宋体" w:hAnsi="Calibri"/>
          <w:szCs w:val="21"/>
        </w:rPr>
        <w:t>.com.cn</w:t>
      </w:r>
      <w:r>
        <w:rPr>
          <w:rFonts w:ascii="宋体" w:eastAsia="宋体" w:hAnsi="Calibri" w:hint="eastAsia"/>
          <w:szCs w:val="21"/>
        </w:rPr>
        <w:t>）和中国证监会基金电子披露网站（</w:t>
      </w:r>
      <w:r>
        <w:rPr>
          <w:rFonts w:ascii="宋体" w:eastAsia="宋体" w:hAnsi="Calibri"/>
          <w:szCs w:val="21"/>
        </w:rPr>
        <w:t>http://eid.csrc.gov.cn/fund</w:t>
      </w:r>
      <w:r>
        <w:rPr>
          <w:rFonts w:ascii="宋体" w:eastAsia="宋体" w:hAnsi="Calibri" w:hint="eastAsia"/>
          <w:szCs w:val="21"/>
        </w:rPr>
        <w:t>）上</w:t>
      </w:r>
      <w:r>
        <w:rPr>
          <w:rFonts w:ascii="宋体" w:eastAsia="宋体" w:hAnsi="Calibri"/>
          <w:szCs w:val="21"/>
        </w:rPr>
        <w:t>的《</w:t>
      </w:r>
      <w:r>
        <w:rPr>
          <w:rFonts w:ascii="宋体" w:eastAsia="宋体" w:hAnsi="Calibri" w:hint="eastAsia"/>
          <w:szCs w:val="21"/>
        </w:rPr>
        <w:t>易方达中证港股通医疗主题交易型开放式指数证券投资基金</w:t>
      </w:r>
      <w:r>
        <w:rPr>
          <w:rFonts w:ascii="宋体" w:eastAsia="宋体" w:hAnsi="Calibri"/>
          <w:szCs w:val="21"/>
        </w:rPr>
        <w:t>招募说明书》</w:t>
      </w:r>
      <w:r>
        <w:rPr>
          <w:rFonts w:ascii="宋体" w:eastAsia="宋体" w:hAnsi="Calibri" w:hint="eastAsia"/>
          <w:szCs w:val="21"/>
        </w:rPr>
        <w:t>。</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rPr>
        <w:t>本基金的招募说明书及本公告将同时发布在本公司网站（</w:t>
      </w:r>
      <w:r>
        <w:rPr>
          <w:rFonts w:ascii="宋体" w:eastAsia="宋体" w:hAnsi="Calibri"/>
          <w:szCs w:val="21"/>
        </w:rPr>
        <w:t>www.efund</w:t>
      </w:r>
      <w:r>
        <w:rPr>
          <w:rFonts w:ascii="宋体" w:eastAsia="宋体" w:hAnsi="Calibri" w:hint="eastAsia"/>
          <w:szCs w:val="21"/>
        </w:rPr>
        <w:t>s</w:t>
      </w:r>
      <w:r>
        <w:rPr>
          <w:rFonts w:ascii="宋体" w:eastAsia="宋体" w:hAnsi="Calibri"/>
          <w:szCs w:val="21"/>
        </w:rPr>
        <w:t>.co</w:t>
      </w:r>
      <w:r>
        <w:rPr>
          <w:rFonts w:ascii="宋体" w:eastAsia="宋体" w:hAnsi="Calibri" w:hint="eastAsia"/>
          <w:szCs w:val="21"/>
        </w:rPr>
        <w:t>m.cn</w:t>
      </w:r>
      <w:r>
        <w:rPr>
          <w:rFonts w:ascii="宋体" w:eastAsia="宋体" w:hAnsi="Calibri"/>
          <w:szCs w:val="21"/>
        </w:rPr>
        <w:t>）</w:t>
      </w:r>
      <w:r>
        <w:rPr>
          <w:rFonts w:ascii="宋体" w:eastAsia="宋体" w:hAnsi="Calibri" w:hint="eastAsia"/>
          <w:szCs w:val="21"/>
        </w:rPr>
        <w:t>。</w:t>
      </w:r>
      <w:r>
        <w:rPr>
          <w:rFonts w:ascii="宋体" w:eastAsia="宋体" w:hAnsi="Calibri" w:hint="eastAsia"/>
          <w:szCs w:val="21"/>
          <w:lang w:eastAsia="zh-CN"/>
        </w:rPr>
        <w:t>投资者亦可通过本公司网站下载基金申请表格和了解基金募集相关事宜。</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各发售代理机构办理认购业务的办理网点、办理日期和时间等事项参照各发售代理机构的具体规定。</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在发售期间，除本公告所列的发售代理机构外，如增加其他网下发售代理机构，将在基金管理人网站公示</w:t>
      </w:r>
      <w:r>
        <w:rPr>
          <w:rFonts w:ascii="宋体" w:eastAsia="宋体" w:hAnsi="Calibri" w:hint="eastAsia"/>
          <w:szCs w:val="21"/>
          <w:lang w:eastAsia="zh-CN"/>
        </w:rPr>
        <w:t>。</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对未开设销售网点的地方的投资者，请拨打本公司的客户服务电话（</w:t>
      </w:r>
      <w:r>
        <w:rPr>
          <w:rFonts w:ascii="宋体" w:eastAsia="宋体" w:hAnsi="Calibri" w:hint="eastAsia"/>
          <w:szCs w:val="21"/>
          <w:lang w:eastAsia="zh-CN"/>
        </w:rPr>
        <w:t>4008818088</w:t>
      </w:r>
      <w:r>
        <w:rPr>
          <w:rFonts w:ascii="宋体" w:eastAsia="宋体" w:hAnsi="Calibri" w:hint="eastAsia"/>
          <w:szCs w:val="21"/>
          <w:lang w:eastAsia="zh-CN"/>
        </w:rPr>
        <w:t>）及直销中心专线电话（</w:t>
      </w:r>
      <w:r>
        <w:rPr>
          <w:rFonts w:ascii="宋体" w:eastAsia="宋体" w:hAnsi="Calibri" w:hint="eastAsia"/>
          <w:szCs w:val="21"/>
          <w:lang w:eastAsia="zh-CN"/>
        </w:rPr>
        <w:t>020-85102506</w:t>
      </w:r>
      <w:r>
        <w:rPr>
          <w:rFonts w:ascii="宋体" w:eastAsia="宋体" w:hAnsi="Calibri" w:hint="eastAsia"/>
          <w:szCs w:val="21"/>
          <w:lang w:eastAsia="zh-CN"/>
        </w:rPr>
        <w:t>）咨询购买事宜。</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基金管理人可综合各种情况对发售安排做适当调整。</w:t>
      </w:r>
    </w:p>
    <w:p w:rsidR="00652D20" w:rsidRDefault="00916DC1">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基金募集期结束后，基金管理人确定本基金的申购赎回代理券商名单，报上海证券交易所，经上海证券交易所有关部门认可后，在基金管理人网站公示。基金上市后，指定交易未在申购赎回代理券商的投资人只能进行本基金的二级市场买卖，如投资人需进行本基金申购赎回交易，须指定交易或转指定交易到申购赎回代理券商。</w:t>
      </w:r>
    </w:p>
    <w:p w:rsidR="00652D20" w:rsidRDefault="00916DC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指数编制方案</w:t>
      </w:r>
    </w:p>
    <w:p w:rsidR="00652D20" w:rsidRDefault="00916DC1">
      <w:pPr>
        <w:spacing w:line="360" w:lineRule="auto"/>
        <w:ind w:left="426"/>
        <w:rPr>
          <w:rFonts w:ascii="宋体" w:eastAsia="宋体" w:hAnsi="Calibri"/>
          <w:szCs w:val="21"/>
          <w:lang w:eastAsia="zh-CN"/>
        </w:rPr>
      </w:pPr>
      <w:r>
        <w:rPr>
          <w:rFonts w:ascii="宋体" w:eastAsia="宋体" w:hAnsi="Calibri" w:hint="eastAsia"/>
          <w:szCs w:val="21"/>
          <w:highlight w:val="white"/>
          <w:lang w:eastAsia="zh-CN"/>
        </w:rPr>
        <w:t>本基金标的指</w:t>
      </w:r>
      <w:r>
        <w:rPr>
          <w:rFonts w:ascii="宋体" w:eastAsia="宋体" w:hAnsi="Calibri" w:hint="eastAsia"/>
          <w:szCs w:val="21"/>
          <w:highlight w:val="white"/>
          <w:lang w:eastAsia="zh-CN"/>
        </w:rPr>
        <w:t>数为中证港股通医疗主题指数。</w:t>
      </w:r>
    </w:p>
    <w:p w:rsidR="00BB751C" w:rsidRPr="00BB751C" w:rsidRDefault="00916DC1">
      <w:pPr>
        <w:pBdr>
          <w:top w:val="nil"/>
          <w:left w:val="nil"/>
          <w:bottom w:val="nil"/>
          <w:right w:val="nil"/>
        </w:pBdr>
        <w:spacing w:line="360" w:lineRule="auto"/>
        <w:ind w:firstLine="420"/>
        <w:rPr>
          <w:rFonts w:ascii="宋体" w:eastAsia="宋体" w:hAnsi="Calibri"/>
          <w:lang w:eastAsia="zh-CN"/>
        </w:rPr>
      </w:pPr>
      <w:r w:rsidRPr="00BB751C">
        <w:rPr>
          <w:rFonts w:ascii="宋体" w:eastAsia="宋体" w:hAnsi="Calibri" w:hint="eastAsia"/>
          <w:szCs w:val="21"/>
          <w:lang w:eastAsia="zh-CN"/>
        </w:rPr>
        <w:t>（</w:t>
      </w:r>
      <w:r w:rsidRPr="00BB751C">
        <w:rPr>
          <w:rFonts w:ascii="宋体" w:eastAsia="宋体" w:hAnsi="Calibri" w:hint="eastAsia"/>
          <w:szCs w:val="21"/>
          <w:lang w:eastAsia="zh-CN"/>
        </w:rPr>
        <w:t>1</w:t>
      </w:r>
      <w:r w:rsidRPr="00BB751C">
        <w:rPr>
          <w:rFonts w:ascii="宋体" w:eastAsia="宋体" w:hAnsi="Calibri" w:hint="eastAsia"/>
          <w:szCs w:val="21"/>
          <w:lang w:eastAsia="zh-CN"/>
        </w:rPr>
        <w:t>）样本</w:t>
      </w:r>
      <w:r w:rsidRPr="00BB751C">
        <w:rPr>
          <w:rFonts w:ascii="宋体" w:eastAsia="宋体" w:hAnsi="Calibri" w:hint="eastAsia"/>
          <w:lang w:eastAsia="zh-CN"/>
        </w:rPr>
        <w:t>空间</w:t>
      </w:r>
    </w:p>
    <w:p w:rsidR="00BB751C" w:rsidRPr="00AF50C7" w:rsidRDefault="00916DC1">
      <w:pPr>
        <w:pBdr>
          <w:top w:val="nil"/>
          <w:left w:val="nil"/>
          <w:bottom w:val="nil"/>
          <w:right w:val="nil"/>
        </w:pBdr>
        <w:spacing w:line="360" w:lineRule="auto"/>
        <w:ind w:firstLine="420"/>
        <w:rPr>
          <w:rFonts w:ascii="宋体" w:eastAsia="宋体" w:hAnsi="Calibri"/>
          <w:lang w:eastAsia="zh-CN"/>
        </w:rPr>
      </w:pPr>
      <w:r w:rsidRPr="00AF50C7">
        <w:rPr>
          <w:rFonts w:ascii="宋体" w:eastAsia="宋体" w:hAnsi="Calibri" w:hint="eastAsia"/>
          <w:lang w:eastAsia="zh-CN"/>
        </w:rPr>
        <w:t>中证港股通综合指数样本</w:t>
      </w:r>
    </w:p>
    <w:p w:rsidR="00BB751C" w:rsidRPr="00AF50C7" w:rsidRDefault="00916DC1">
      <w:pPr>
        <w:pBdr>
          <w:top w:val="nil"/>
          <w:left w:val="nil"/>
          <w:bottom w:val="nil"/>
          <w:right w:val="nil"/>
        </w:pBdr>
        <w:spacing w:line="360" w:lineRule="auto"/>
        <w:ind w:firstLine="420"/>
        <w:rPr>
          <w:rFonts w:ascii="宋体" w:eastAsia="宋体" w:hAnsi="Calibri"/>
          <w:lang w:eastAsia="zh-CN"/>
        </w:rPr>
      </w:pPr>
      <w:r w:rsidRPr="00AF50C7">
        <w:rPr>
          <w:rFonts w:ascii="宋体" w:eastAsia="宋体" w:hAnsi="Calibri" w:hint="eastAsia"/>
          <w:lang w:eastAsia="zh-CN"/>
        </w:rPr>
        <w:t>（</w:t>
      </w:r>
      <w:r w:rsidRPr="00AF50C7">
        <w:rPr>
          <w:rFonts w:ascii="宋体" w:eastAsia="宋体" w:hAnsi="Calibri" w:hint="eastAsia"/>
          <w:lang w:eastAsia="zh-CN"/>
        </w:rPr>
        <w:t>2</w:t>
      </w:r>
      <w:r w:rsidRPr="00AF50C7">
        <w:rPr>
          <w:rFonts w:ascii="宋体" w:eastAsia="宋体" w:hAnsi="Calibri" w:hint="eastAsia"/>
          <w:lang w:eastAsia="zh-CN"/>
        </w:rPr>
        <w:t>）可投资性筛选</w:t>
      </w:r>
    </w:p>
    <w:p w:rsidR="00BB751C" w:rsidRPr="00EB4E82" w:rsidRDefault="00916DC1">
      <w:pPr>
        <w:pBdr>
          <w:top w:val="nil"/>
          <w:left w:val="nil"/>
          <w:bottom w:val="nil"/>
          <w:right w:val="nil"/>
        </w:pBdr>
        <w:spacing w:line="360" w:lineRule="auto"/>
        <w:ind w:firstLine="420"/>
        <w:rPr>
          <w:rFonts w:ascii="宋体" w:eastAsia="宋体" w:hAnsi="Calibri"/>
          <w:lang w:eastAsia="zh-CN"/>
        </w:rPr>
      </w:pPr>
      <w:r w:rsidRPr="00EB4E82">
        <w:rPr>
          <w:rFonts w:ascii="宋体" w:eastAsia="宋体" w:hAnsi="Calibri" w:hint="eastAsia"/>
          <w:lang w:eastAsia="zh-CN"/>
        </w:rPr>
        <w:t>对样本空间内证券，计算每月的日换手率中位数作为月换手率，剔除过去</w:t>
      </w:r>
      <w:r w:rsidRPr="00EB4E82">
        <w:rPr>
          <w:rFonts w:ascii="宋体" w:eastAsia="宋体" w:hAnsi="Calibri" w:hint="eastAsia"/>
          <w:lang w:eastAsia="zh-CN"/>
        </w:rPr>
        <w:t>12</w:t>
      </w:r>
      <w:r w:rsidRPr="00EB4E82">
        <w:rPr>
          <w:rFonts w:ascii="宋体" w:eastAsia="宋体" w:hAnsi="Calibri" w:hint="eastAsia"/>
          <w:lang w:eastAsia="zh-CN"/>
        </w:rPr>
        <w:t>个月或过去</w:t>
      </w:r>
      <w:r w:rsidRPr="00EB4E82">
        <w:rPr>
          <w:rFonts w:ascii="宋体" w:eastAsia="宋体" w:hAnsi="Calibri" w:hint="eastAsia"/>
          <w:lang w:eastAsia="zh-CN"/>
        </w:rPr>
        <w:t>3</w:t>
      </w:r>
      <w:r w:rsidRPr="00EB4E82">
        <w:rPr>
          <w:rFonts w:ascii="宋体" w:eastAsia="宋体" w:hAnsi="Calibri" w:hint="eastAsia"/>
          <w:lang w:eastAsia="zh-CN"/>
        </w:rPr>
        <w:t>个月平均月换手率不足</w:t>
      </w:r>
      <w:r w:rsidRPr="00EB4E82">
        <w:rPr>
          <w:rFonts w:ascii="宋体" w:eastAsia="宋体" w:hAnsi="Calibri"/>
          <w:lang w:eastAsia="zh-CN"/>
        </w:rPr>
        <w:t xml:space="preserve"> </w:t>
      </w:r>
      <w:r w:rsidRPr="00EB4E82">
        <w:rPr>
          <w:rFonts w:ascii="宋体" w:eastAsia="宋体" w:hAnsi="Calibri" w:hint="eastAsia"/>
          <w:lang w:eastAsia="zh-CN"/>
        </w:rPr>
        <w:t>0.1%</w:t>
      </w:r>
      <w:r w:rsidRPr="00EB4E82">
        <w:rPr>
          <w:rFonts w:ascii="宋体" w:eastAsia="宋体" w:hAnsi="Calibri" w:hint="eastAsia"/>
          <w:lang w:eastAsia="zh-CN"/>
        </w:rPr>
        <w:t>的证券，除非该证券过去一年日均成交金额大于</w:t>
      </w:r>
      <w:r w:rsidRPr="00EB4E82">
        <w:rPr>
          <w:rFonts w:ascii="宋体" w:eastAsia="宋体" w:hAnsi="Calibri" w:hint="eastAsia"/>
          <w:lang w:eastAsia="zh-CN"/>
        </w:rPr>
        <w:t>5000</w:t>
      </w:r>
      <w:r w:rsidRPr="00EB4E82">
        <w:rPr>
          <w:rFonts w:ascii="宋体" w:eastAsia="宋体" w:hAnsi="Calibri" w:hint="eastAsia"/>
          <w:lang w:eastAsia="zh-CN"/>
        </w:rPr>
        <w:t>万港元。</w:t>
      </w:r>
    </w:p>
    <w:p w:rsidR="00BB751C" w:rsidRPr="00067474" w:rsidRDefault="00916DC1">
      <w:pPr>
        <w:pBdr>
          <w:top w:val="nil"/>
          <w:left w:val="nil"/>
          <w:bottom w:val="nil"/>
          <w:right w:val="nil"/>
        </w:pBdr>
        <w:spacing w:line="360" w:lineRule="auto"/>
        <w:ind w:firstLine="420"/>
        <w:rPr>
          <w:rFonts w:ascii="宋体" w:eastAsia="宋体" w:hAnsi="Calibri"/>
          <w:lang w:eastAsia="zh-CN"/>
        </w:rPr>
      </w:pPr>
      <w:r w:rsidRPr="00067474">
        <w:rPr>
          <w:rFonts w:ascii="宋体" w:eastAsia="宋体" w:hAnsi="Calibri" w:hint="eastAsia"/>
          <w:lang w:eastAsia="zh-CN"/>
        </w:rPr>
        <w:t>（</w:t>
      </w:r>
      <w:r w:rsidRPr="00067474">
        <w:rPr>
          <w:rFonts w:ascii="宋体" w:eastAsia="宋体" w:hAnsi="Calibri"/>
          <w:lang w:eastAsia="zh-CN"/>
        </w:rPr>
        <w:t>3</w:t>
      </w:r>
      <w:r w:rsidRPr="00067474">
        <w:rPr>
          <w:rFonts w:ascii="宋体" w:eastAsia="宋体" w:hAnsi="Calibri" w:hint="eastAsia"/>
          <w:lang w:eastAsia="zh-CN"/>
        </w:rPr>
        <w:t>）选样方法</w:t>
      </w:r>
    </w:p>
    <w:p w:rsidR="00BB751C" w:rsidRPr="00500991" w:rsidRDefault="00916DC1">
      <w:pPr>
        <w:pBdr>
          <w:top w:val="nil"/>
          <w:left w:val="nil"/>
          <w:bottom w:val="nil"/>
          <w:right w:val="nil"/>
        </w:pBdr>
        <w:spacing w:line="360" w:lineRule="auto"/>
        <w:ind w:firstLine="420"/>
        <w:rPr>
          <w:rFonts w:ascii="宋体" w:eastAsia="宋体" w:hAnsi="Calibri"/>
          <w:lang w:eastAsia="zh-CN"/>
        </w:rPr>
      </w:pPr>
      <w:r w:rsidRPr="00500991">
        <w:rPr>
          <w:rFonts w:ascii="宋体" w:eastAsia="宋体" w:hAnsi="Calibri"/>
          <w:lang w:eastAsia="zh-CN"/>
        </w:rPr>
        <w:t xml:space="preserve">1) </w:t>
      </w:r>
      <w:r w:rsidRPr="00500991">
        <w:rPr>
          <w:rFonts w:ascii="宋体" w:eastAsia="宋体" w:hAnsi="Calibri" w:hint="eastAsia"/>
          <w:lang w:eastAsia="zh-CN"/>
        </w:rPr>
        <w:t>对于样本空间内符合可投资性筛选条件的证券，选取业务涉及医疗器械、医疗商业与服务、制药与生物科技服务、生物药品及制药等医疗主题的上市公司证券作为待选样本；</w:t>
      </w:r>
    </w:p>
    <w:p w:rsidR="00BB751C" w:rsidRPr="00BB53C4" w:rsidRDefault="00916DC1">
      <w:pPr>
        <w:pBdr>
          <w:top w:val="nil"/>
          <w:left w:val="nil"/>
          <w:bottom w:val="nil"/>
          <w:right w:val="nil"/>
        </w:pBdr>
        <w:spacing w:line="360" w:lineRule="auto"/>
        <w:ind w:firstLine="420"/>
        <w:rPr>
          <w:rFonts w:ascii="宋体" w:eastAsia="宋体" w:hAnsi="Calibri"/>
          <w:lang w:eastAsia="zh-CN"/>
        </w:rPr>
      </w:pPr>
      <w:r w:rsidRPr="00500991">
        <w:rPr>
          <w:rFonts w:ascii="宋体" w:eastAsia="宋体" w:hAnsi="Calibri"/>
          <w:lang w:eastAsia="zh-CN"/>
        </w:rPr>
        <w:t xml:space="preserve">2) </w:t>
      </w:r>
      <w:r w:rsidRPr="00500991">
        <w:rPr>
          <w:rFonts w:ascii="宋体" w:eastAsia="宋体" w:hAnsi="Calibri" w:hint="eastAsia"/>
          <w:lang w:eastAsia="zh-CN"/>
        </w:rPr>
        <w:t>在上述待选样本中，优先选取业务涉及医疗器械、医疗商业与服务、制药与生物科技服务等上市公司证券作为指数样本，再按照过去一年日均总市值由高到低依次纳入剩余证券，使得样本数量达到</w:t>
      </w:r>
      <w:r w:rsidRPr="00BB53C4">
        <w:rPr>
          <w:rFonts w:ascii="宋体" w:eastAsia="宋体" w:hAnsi="Calibri"/>
          <w:lang w:eastAsia="zh-CN"/>
        </w:rPr>
        <w:t>50</w:t>
      </w:r>
      <w:r w:rsidRPr="00BB53C4">
        <w:rPr>
          <w:rFonts w:ascii="宋体" w:eastAsia="宋体" w:hAnsi="Calibri" w:hint="eastAsia"/>
          <w:lang w:eastAsia="zh-CN"/>
        </w:rPr>
        <w:t>只。</w:t>
      </w:r>
    </w:p>
    <w:p w:rsidR="00BB751C" w:rsidRPr="00BB53C4" w:rsidRDefault="00916DC1">
      <w:pPr>
        <w:pBdr>
          <w:top w:val="nil"/>
          <w:left w:val="nil"/>
          <w:bottom w:val="nil"/>
          <w:right w:val="nil"/>
        </w:pBdr>
        <w:spacing w:line="360" w:lineRule="auto"/>
        <w:ind w:firstLine="420"/>
        <w:rPr>
          <w:rFonts w:ascii="宋体" w:eastAsia="宋体" w:hAnsi="Calibri"/>
          <w:lang w:eastAsia="zh-CN"/>
        </w:rPr>
      </w:pPr>
      <w:r w:rsidRPr="00BB53C4">
        <w:rPr>
          <w:rFonts w:ascii="宋体" w:eastAsia="宋体" w:hAnsi="Calibri" w:hint="eastAsia"/>
          <w:lang w:eastAsia="zh-CN"/>
        </w:rPr>
        <w:t>（</w:t>
      </w:r>
      <w:r w:rsidRPr="00BB53C4">
        <w:rPr>
          <w:rFonts w:ascii="宋体" w:eastAsia="宋体" w:hAnsi="Calibri"/>
          <w:lang w:eastAsia="zh-CN"/>
        </w:rPr>
        <w:t>4</w:t>
      </w:r>
      <w:r w:rsidRPr="00BB53C4">
        <w:rPr>
          <w:rFonts w:ascii="宋体" w:eastAsia="宋体" w:hAnsi="Calibri" w:hint="eastAsia"/>
          <w:lang w:eastAsia="zh-CN"/>
        </w:rPr>
        <w:t>）指数计算</w:t>
      </w:r>
    </w:p>
    <w:p w:rsidR="00BB751C" w:rsidRPr="00BB53C4" w:rsidRDefault="00916DC1">
      <w:pPr>
        <w:pBdr>
          <w:top w:val="nil"/>
          <w:left w:val="nil"/>
          <w:bottom w:val="nil"/>
          <w:right w:val="nil"/>
        </w:pBdr>
        <w:spacing w:line="360" w:lineRule="auto"/>
        <w:ind w:firstLine="420"/>
        <w:rPr>
          <w:rFonts w:ascii="宋体" w:eastAsia="宋体" w:hAnsi="Calibri"/>
          <w:lang w:eastAsia="zh-CN"/>
        </w:rPr>
      </w:pPr>
      <w:r w:rsidRPr="00BB53C4">
        <w:rPr>
          <w:rFonts w:ascii="宋体" w:eastAsia="宋体" w:hAnsi="Calibri" w:hint="eastAsia"/>
          <w:lang w:eastAsia="zh-CN"/>
        </w:rPr>
        <w:t>指数计算公式为：报告期指数</w:t>
      </w:r>
      <w:r w:rsidRPr="00BB53C4">
        <w:rPr>
          <w:rFonts w:ascii="宋体" w:eastAsia="宋体" w:hAnsi="Calibri"/>
          <w:lang w:eastAsia="zh-CN"/>
        </w:rPr>
        <w:t>=</w:t>
      </w:r>
      <w:r w:rsidRPr="001406F4">
        <w:rPr>
          <w:rFonts w:ascii="宋体" w:eastAsia="宋体" w:hAnsi="Calibri" w:hint="eastAsia"/>
          <w:lang w:eastAsia="zh-CN"/>
        </w:rPr>
        <w:t>报告期样本的调整市值</w:t>
      </w:r>
      <w:r w:rsidRPr="001406F4">
        <w:rPr>
          <w:rFonts w:ascii="宋体" w:eastAsia="宋体" w:hAnsi="Calibri"/>
          <w:lang w:eastAsia="zh-CN"/>
        </w:rPr>
        <w:t>/</w:t>
      </w:r>
      <w:r w:rsidRPr="001406F4">
        <w:rPr>
          <w:rFonts w:ascii="宋体" w:eastAsia="宋体" w:hAnsi="Calibri" w:hint="eastAsia"/>
          <w:lang w:eastAsia="zh-CN"/>
        </w:rPr>
        <w:t>除数×</w:t>
      </w:r>
      <w:r w:rsidR="00067474">
        <w:rPr>
          <w:rFonts w:ascii="宋体" w:eastAsia="宋体" w:hAnsi="Calibri"/>
          <w:lang w:eastAsia="zh-CN"/>
        </w:rPr>
        <w:t>1</w:t>
      </w:r>
      <w:r w:rsidRPr="00067474">
        <w:rPr>
          <w:rFonts w:ascii="宋体" w:eastAsia="宋体" w:hAnsi="Calibri"/>
          <w:lang w:eastAsia="zh-CN"/>
        </w:rPr>
        <w:t>000</w:t>
      </w:r>
      <w:r w:rsidRPr="00067474">
        <w:rPr>
          <w:rFonts w:ascii="宋体" w:eastAsia="宋体" w:hAnsi="Calibri" w:hint="eastAsia"/>
          <w:lang w:eastAsia="zh-CN"/>
        </w:rPr>
        <w:t>。其中，调整市值</w:t>
      </w:r>
      <w:r w:rsidRPr="00067474">
        <w:rPr>
          <w:rFonts w:ascii="宋体" w:eastAsia="宋体" w:hAnsi="Calibri"/>
          <w:lang w:eastAsia="zh-CN"/>
        </w:rPr>
        <w:t>=</w:t>
      </w:r>
      <w:r w:rsidRPr="00500991">
        <w:rPr>
          <w:rFonts w:ascii="宋体" w:eastAsia="宋体" w:hAnsi="Calibri" w:hint="eastAsia"/>
          <w:lang w:eastAsia="zh-CN"/>
        </w:rPr>
        <w:t>Σ（证券价格×调整股本数×权重因子×汇率）。汇率、调整股本数的计算方法、除数修正方法参见</w:t>
      </w:r>
      <w:r w:rsidR="00500991" w:rsidRPr="00500991">
        <w:rPr>
          <w:rFonts w:ascii="宋体" w:eastAsia="宋体" w:hAnsi="Calibri" w:hint="eastAsia"/>
          <w:lang w:eastAsia="zh-CN"/>
        </w:rPr>
        <w:t>中证指数有限公司</w:t>
      </w:r>
      <w:r w:rsidR="00BB53C4" w:rsidRPr="00BB53C4">
        <w:rPr>
          <w:rFonts w:ascii="宋体" w:eastAsia="宋体" w:hAnsi="Calibri" w:hint="eastAsia"/>
          <w:lang w:eastAsia="zh-CN"/>
        </w:rPr>
        <w:t>网站</w:t>
      </w:r>
      <w:r w:rsidR="00500991" w:rsidRPr="00500991">
        <w:rPr>
          <w:rFonts w:ascii="宋体" w:eastAsia="宋体" w:hAnsi="Calibri" w:hint="eastAsia"/>
          <w:lang w:eastAsia="zh-CN"/>
        </w:rPr>
        <w:t>发布的</w:t>
      </w:r>
      <w:r w:rsidRPr="00500991">
        <w:rPr>
          <w:rFonts w:ascii="宋体" w:eastAsia="宋体" w:hAnsi="Calibri" w:hint="eastAsia"/>
          <w:lang w:eastAsia="zh-CN"/>
        </w:rPr>
        <w:t>计算与维护细则。权重因子介于</w:t>
      </w:r>
      <w:r w:rsidRPr="00500991">
        <w:rPr>
          <w:rFonts w:ascii="宋体" w:eastAsia="宋体" w:hAnsi="Calibri"/>
          <w:lang w:eastAsia="zh-CN"/>
        </w:rPr>
        <w:t>0</w:t>
      </w:r>
      <w:r w:rsidRPr="00500991">
        <w:rPr>
          <w:rFonts w:ascii="宋体" w:eastAsia="宋体" w:hAnsi="Calibri" w:hint="eastAsia"/>
          <w:lang w:eastAsia="zh-CN"/>
        </w:rPr>
        <w:t>和</w:t>
      </w:r>
      <w:r w:rsidRPr="00500991">
        <w:rPr>
          <w:rFonts w:ascii="宋体" w:eastAsia="宋体" w:hAnsi="Calibri"/>
          <w:lang w:eastAsia="zh-CN"/>
        </w:rPr>
        <w:t>1</w:t>
      </w:r>
      <w:r w:rsidRPr="00500991">
        <w:rPr>
          <w:rFonts w:ascii="宋体" w:eastAsia="宋体" w:hAnsi="Calibri" w:hint="eastAsia"/>
          <w:lang w:eastAsia="zh-CN"/>
        </w:rPr>
        <w:t>之间，以使医疗器械、医疗商业与服务、制药与生物科技服务等证券的单个样本权重不超过</w:t>
      </w:r>
      <w:r w:rsidRPr="00500991">
        <w:rPr>
          <w:rFonts w:ascii="宋体" w:eastAsia="宋体" w:hAnsi="Calibri"/>
          <w:lang w:eastAsia="zh-CN"/>
        </w:rPr>
        <w:t>15%</w:t>
      </w:r>
      <w:r w:rsidRPr="00500991">
        <w:rPr>
          <w:rFonts w:ascii="宋体" w:eastAsia="宋体" w:hAnsi="Calibri" w:hint="eastAsia"/>
          <w:lang w:eastAsia="zh-CN"/>
        </w:rPr>
        <w:t>，其余单个样本权重不超过</w:t>
      </w:r>
      <w:r w:rsidRPr="00500991">
        <w:rPr>
          <w:rFonts w:ascii="宋体" w:eastAsia="宋体" w:hAnsi="Calibri"/>
          <w:lang w:eastAsia="zh-CN"/>
        </w:rPr>
        <w:t>2%</w:t>
      </w:r>
      <w:r w:rsidRPr="00BB53C4">
        <w:rPr>
          <w:rFonts w:ascii="宋体" w:eastAsia="宋体" w:hAnsi="Calibri" w:hint="eastAsia"/>
          <w:lang w:eastAsia="zh-CN"/>
        </w:rPr>
        <w:t>且权重合计不超过</w:t>
      </w:r>
      <w:r w:rsidRPr="00BB53C4">
        <w:rPr>
          <w:rFonts w:ascii="宋体" w:eastAsia="宋体" w:hAnsi="Calibri"/>
          <w:lang w:eastAsia="zh-CN"/>
        </w:rPr>
        <w:t>20%</w:t>
      </w:r>
      <w:r w:rsidRPr="00BB53C4">
        <w:rPr>
          <w:rFonts w:ascii="宋体" w:eastAsia="宋体" w:hAnsi="Calibri" w:hint="eastAsia"/>
          <w:lang w:eastAsia="zh-CN"/>
        </w:rPr>
        <w:t>，指数前五大样本合计权重不超过</w:t>
      </w:r>
      <w:r w:rsidRPr="00BB53C4">
        <w:rPr>
          <w:rFonts w:ascii="宋体" w:eastAsia="宋体" w:hAnsi="Calibri"/>
          <w:lang w:eastAsia="zh-CN"/>
        </w:rPr>
        <w:t>60%</w:t>
      </w:r>
      <w:r w:rsidRPr="00BB53C4">
        <w:rPr>
          <w:rFonts w:ascii="宋体" w:eastAsia="宋体" w:hAnsi="Calibri" w:hint="eastAsia"/>
          <w:lang w:eastAsia="zh-CN"/>
        </w:rPr>
        <w:t>。</w:t>
      </w:r>
    </w:p>
    <w:p w:rsidR="00652D20" w:rsidRDefault="00916DC1" w:rsidP="00BB751C">
      <w:pPr>
        <w:spacing w:line="360" w:lineRule="auto"/>
        <w:ind w:left="426"/>
        <w:rPr>
          <w:rFonts w:ascii="宋体" w:eastAsia="宋体" w:hAnsi="Calibri"/>
          <w:szCs w:val="21"/>
        </w:rPr>
      </w:pPr>
      <w:r w:rsidRPr="00BB53C4">
        <w:rPr>
          <w:rFonts w:ascii="宋体" w:eastAsia="宋体" w:hAnsi="Calibri" w:hint="eastAsia"/>
          <w:lang w:eastAsia="zh-CN"/>
        </w:rPr>
        <w:t>有关标的指数具体编制方案等指数信息详见中证指数有限公司网站，网址：</w:t>
      </w:r>
      <w:r w:rsidRPr="00BB53C4">
        <w:rPr>
          <w:rFonts w:ascii="宋体" w:eastAsia="宋体" w:hAnsi="Calibri"/>
          <w:lang w:eastAsia="zh-CN"/>
        </w:rPr>
        <w:t>www.csindex</w:t>
      </w:r>
      <w:r w:rsidRPr="00BB751C">
        <w:rPr>
          <w:rFonts w:ascii="宋体" w:eastAsia="宋体" w:hAnsi="Calibri" w:hint="eastAsia"/>
          <w:szCs w:val="21"/>
          <w:lang w:eastAsia="zh-CN"/>
        </w:rPr>
        <w:t>.com.cn</w:t>
      </w:r>
      <w:r w:rsidRPr="00BB751C">
        <w:rPr>
          <w:rFonts w:ascii="宋体" w:eastAsia="宋体" w:hAnsi="Calibri" w:hint="eastAsia"/>
          <w:szCs w:val="21"/>
          <w:lang w:eastAsia="zh-CN"/>
        </w:rPr>
        <w:t>。</w:t>
      </w:r>
    </w:p>
    <w:p w:rsidR="00652D20" w:rsidRDefault="00916DC1">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风险提示</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本基金投资于中证港股通医疗主题指数成份股及备选成份股的资产不低于非现金基金资产的</w:t>
      </w:r>
      <w:r w:rsidRPr="00AF50C7">
        <w:rPr>
          <w:rFonts w:ascii="宋体" w:eastAsia="宋体" w:hAnsi="Calibri" w:hint="eastAsia"/>
          <w:szCs w:val="21"/>
          <w:lang w:eastAsia="zh-CN"/>
        </w:rPr>
        <w:t>80%</w:t>
      </w:r>
      <w:r w:rsidRPr="00AF50C7">
        <w:rPr>
          <w:rFonts w:ascii="宋体" w:eastAsia="宋体" w:hAnsi="Calibri" w:hint="eastAsia"/>
          <w:szCs w:val="21"/>
          <w:lang w:eastAsia="zh-CN"/>
        </w:rPr>
        <w:t>且不低于基金资产净值的</w:t>
      </w:r>
      <w:r w:rsidRPr="00AF50C7">
        <w:rPr>
          <w:rFonts w:ascii="宋体" w:eastAsia="宋体" w:hAnsi="Calibri" w:hint="eastAsia"/>
          <w:szCs w:val="21"/>
          <w:lang w:eastAsia="zh-CN"/>
        </w:rPr>
        <w:t>90%</w:t>
      </w:r>
      <w:r w:rsidRPr="00AF50C7">
        <w:rPr>
          <w:rFonts w:ascii="宋体" w:eastAsia="宋体" w:hAnsi="Calibri" w:hint="eastAsia"/>
          <w:szCs w:val="21"/>
          <w:lang w:eastAsia="zh-CN"/>
        </w:rPr>
        <w:t>，其投资目标是紧密跟踪标的指数，追求跟踪偏离度和跟踪误差的最小化。本基金投资于证券期货市场，基金净值会因为证券期货市场波动等因素产生波动，投资有风险，投资者在投资本基金前，请认真阅读本基金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w:t>
      </w:r>
      <w:r w:rsidRPr="00AF50C7">
        <w:rPr>
          <w:rFonts w:ascii="宋体" w:eastAsia="宋体" w:hAnsi="Calibri" w:hint="eastAsia"/>
          <w:szCs w:val="21"/>
          <w:lang w:eastAsia="zh-CN"/>
        </w:rPr>
        <w:t>决策，承担基金投资中可能出现的各类风险。</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投资本基金可能遇到的主要风险包括：本基金特有风险、市场风险、管理风险、流动性风险、本基金法律文件中涉及基金风险特征的表述与销售机构对基金的风险评级可能不一致的风险、税收风险及其他风险等。本基金特有风险包括：（</w:t>
      </w:r>
      <w:r w:rsidRPr="00AF50C7">
        <w:rPr>
          <w:rFonts w:ascii="宋体" w:eastAsia="宋体" w:hAnsi="Calibri" w:hint="eastAsia"/>
          <w:szCs w:val="21"/>
          <w:lang w:eastAsia="zh-CN"/>
        </w:rPr>
        <w:t>1</w:t>
      </w:r>
      <w:r w:rsidRPr="00AF50C7">
        <w:rPr>
          <w:rFonts w:ascii="宋体" w:eastAsia="宋体" w:hAnsi="Calibri" w:hint="eastAsia"/>
          <w:szCs w:val="21"/>
          <w:lang w:eastAsia="zh-CN"/>
        </w:rPr>
        <w:t>）指数化投资的风险，包括标的指数回报与股票市场平均回报偏离的风险、标的指数成份股主要集中于医疗主题公司的集中风险、标的指数波动的风险、部分成份股权重较大的风险、标的指数发布时间较短的风险、标的指数编制方案带来的风险、基金投资组合回报与标的指数回报偏离的风险、跟</w:t>
      </w:r>
      <w:r w:rsidRPr="00AF50C7">
        <w:rPr>
          <w:rFonts w:ascii="宋体" w:eastAsia="宋体" w:hAnsi="Calibri" w:hint="eastAsia"/>
          <w:szCs w:val="21"/>
          <w:lang w:eastAsia="zh-CN"/>
        </w:rPr>
        <w:t>踪误差控制未达约定目标的风险、标的指数值计算出错的风险、指数编制机构停止服务的风险等；（</w:t>
      </w:r>
      <w:r w:rsidRPr="00AF50C7">
        <w:rPr>
          <w:rFonts w:ascii="宋体" w:eastAsia="宋体" w:hAnsi="Calibri" w:hint="eastAsia"/>
          <w:szCs w:val="21"/>
          <w:lang w:eastAsia="zh-CN"/>
        </w:rPr>
        <w:t>2</w:t>
      </w:r>
      <w:r w:rsidRPr="00AF50C7">
        <w:rPr>
          <w:rFonts w:ascii="宋体" w:eastAsia="宋体" w:hAnsi="Calibri" w:hint="eastAsia"/>
          <w:szCs w:val="21"/>
          <w:lang w:eastAsia="zh-CN"/>
        </w:rPr>
        <w:t>）</w:t>
      </w:r>
      <w:r w:rsidRPr="00AF50C7">
        <w:rPr>
          <w:rFonts w:ascii="宋体" w:eastAsia="宋体" w:hAnsi="Calibri" w:hint="eastAsia"/>
          <w:szCs w:val="21"/>
          <w:lang w:eastAsia="zh-CN"/>
        </w:rPr>
        <w:t>ETF</w:t>
      </w:r>
      <w:r w:rsidRPr="00AF50C7">
        <w:rPr>
          <w:rFonts w:ascii="宋体" w:eastAsia="宋体" w:hAnsi="Calibri" w:hint="eastAsia"/>
          <w:szCs w:val="21"/>
          <w:lang w:eastAsia="zh-CN"/>
        </w:rPr>
        <w:t>运作的风险，包括参考</w:t>
      </w:r>
      <w:r w:rsidRPr="00AF50C7">
        <w:rPr>
          <w:rFonts w:ascii="宋体" w:eastAsia="宋体" w:hAnsi="Calibri" w:hint="eastAsia"/>
          <w:szCs w:val="21"/>
          <w:lang w:eastAsia="zh-CN"/>
        </w:rPr>
        <w:t>IOPV</w:t>
      </w:r>
      <w:r w:rsidRPr="00AF50C7">
        <w:rPr>
          <w:rFonts w:ascii="宋体" w:eastAsia="宋体" w:hAnsi="Calibri" w:hint="eastAsia"/>
          <w:szCs w:val="21"/>
          <w:lang w:eastAsia="zh-CN"/>
        </w:rPr>
        <w:t>决策和</w:t>
      </w:r>
      <w:r w:rsidRPr="00AF50C7">
        <w:rPr>
          <w:rFonts w:ascii="宋体" w:eastAsia="宋体" w:hAnsi="Calibri" w:hint="eastAsia"/>
          <w:szCs w:val="21"/>
          <w:lang w:eastAsia="zh-CN"/>
        </w:rPr>
        <w:t>IOPV</w:t>
      </w:r>
      <w:r w:rsidRPr="00AF50C7">
        <w:rPr>
          <w:rFonts w:ascii="宋体" w:eastAsia="宋体" w:hAnsi="Calibri" w:hint="eastAsia"/>
          <w:szCs w:val="21"/>
          <w:lang w:eastAsia="zh-CN"/>
        </w:rPr>
        <w:t>计算错误的风险、基金交易价格与份额净值发生偏离的风险、成份股停牌的风险、投资人申购失败的风险、投资人赎回失败的风险、申购赎回清单中设置较低的申购</w:t>
      </w:r>
      <w:r w:rsidRPr="00AF50C7">
        <w:rPr>
          <w:rFonts w:ascii="宋体" w:eastAsia="宋体" w:hAnsi="Calibri" w:hint="eastAsia"/>
          <w:szCs w:val="21"/>
          <w:lang w:eastAsia="zh-CN"/>
        </w:rPr>
        <w:t>/</w:t>
      </w:r>
      <w:r w:rsidRPr="00AF50C7">
        <w:rPr>
          <w:rFonts w:ascii="宋体" w:eastAsia="宋体" w:hAnsi="Calibri" w:hint="eastAsia"/>
          <w:szCs w:val="21"/>
          <w:lang w:eastAsia="zh-CN"/>
        </w:rPr>
        <w:t>赎回份额上限的风险、基金管理人代理申赎投资者买券卖券的风险、申购赎回清单差错风险、申购赎回清单标识设置不合理的风险、基金分红特殊安排的风险、第三方机构服务的风险、退市风险等；（</w:t>
      </w:r>
      <w:r w:rsidRPr="00AF50C7">
        <w:rPr>
          <w:rFonts w:ascii="宋体" w:eastAsia="宋体" w:hAnsi="Calibri" w:hint="eastAsia"/>
          <w:szCs w:val="21"/>
          <w:lang w:eastAsia="zh-CN"/>
        </w:rPr>
        <w:t>3</w:t>
      </w:r>
      <w:r w:rsidRPr="00AF50C7">
        <w:rPr>
          <w:rFonts w:ascii="宋体" w:eastAsia="宋体" w:hAnsi="Calibri" w:hint="eastAsia"/>
          <w:szCs w:val="21"/>
          <w:lang w:eastAsia="zh-CN"/>
        </w:rPr>
        <w:t>）通过内地与香港股票市场交易互联互通机制投资于港</w:t>
      </w:r>
      <w:r w:rsidRPr="00AF50C7">
        <w:rPr>
          <w:rFonts w:ascii="宋体" w:eastAsia="宋体" w:hAnsi="Calibri" w:hint="eastAsia"/>
          <w:szCs w:val="21"/>
          <w:lang w:eastAsia="zh-CN"/>
        </w:rPr>
        <w:t>股通股票的风险；（</w:t>
      </w:r>
      <w:r w:rsidRPr="00AF50C7">
        <w:rPr>
          <w:rFonts w:ascii="宋体" w:eastAsia="宋体" w:hAnsi="Calibri" w:hint="eastAsia"/>
          <w:szCs w:val="21"/>
          <w:lang w:eastAsia="zh-CN"/>
        </w:rPr>
        <w:t>4</w:t>
      </w:r>
      <w:r w:rsidRPr="00AF50C7">
        <w:rPr>
          <w:rFonts w:ascii="宋体" w:eastAsia="宋体" w:hAnsi="Calibri" w:hint="eastAsia"/>
          <w:szCs w:val="21"/>
          <w:lang w:eastAsia="zh-CN"/>
        </w:rPr>
        <w:t>）投资特定品种（包括股指期货、国债期货、股票期权等金融衍生品、资产支持证券、存托凭证等）的特有风险；（</w:t>
      </w:r>
      <w:r w:rsidRPr="00AF50C7">
        <w:rPr>
          <w:rFonts w:ascii="宋体" w:eastAsia="宋体" w:hAnsi="Calibri" w:hint="eastAsia"/>
          <w:szCs w:val="21"/>
          <w:lang w:eastAsia="zh-CN"/>
        </w:rPr>
        <w:t>5</w:t>
      </w:r>
      <w:r w:rsidRPr="00AF50C7">
        <w:rPr>
          <w:rFonts w:ascii="宋体" w:eastAsia="宋体" w:hAnsi="Calibri" w:hint="eastAsia"/>
          <w:szCs w:val="21"/>
          <w:lang w:eastAsia="zh-CN"/>
        </w:rPr>
        <w:t>）参与转融通证券出借业务的风险等。</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本基金的具体运作特点详见基金合同和招募说明书的约定。投资本基金可能面临的一般风险及特有风险详见招募说明书的“风险揭示”部分。</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本基金投资内地与香港股票市场交易互联互通机制允许买卖的香港证券市场股票，会面临港股通机制下因投资环境、投资标的、市场制度以及交易规则等差异带来的特有风险，包括但不限于港股通股票价格波动较大的风险（港股市场实行</w:t>
      </w:r>
      <w:r w:rsidRPr="00AF50C7">
        <w:rPr>
          <w:rFonts w:ascii="宋体" w:eastAsia="宋体" w:hAnsi="Calibri" w:hint="eastAsia"/>
          <w:szCs w:val="21"/>
          <w:lang w:eastAsia="zh-CN"/>
        </w:rPr>
        <w:t xml:space="preserve">T+0 </w:t>
      </w:r>
      <w:r w:rsidRPr="00AF50C7">
        <w:rPr>
          <w:rFonts w:ascii="宋体" w:eastAsia="宋体" w:hAnsi="Calibri" w:hint="eastAsia"/>
          <w:szCs w:val="21"/>
          <w:lang w:eastAsia="zh-CN"/>
        </w:rPr>
        <w:t>回转交易，</w:t>
      </w:r>
      <w:r w:rsidRPr="00AF50C7">
        <w:rPr>
          <w:rFonts w:ascii="宋体" w:eastAsia="宋体" w:hAnsi="Calibri" w:hint="eastAsia"/>
          <w:szCs w:val="21"/>
          <w:lang w:eastAsia="zh-CN"/>
        </w:rPr>
        <w:t>且对股票交易不设涨跌幅限制，港股通股票价格可能表现出比</w:t>
      </w:r>
      <w:r w:rsidRPr="00AF50C7">
        <w:rPr>
          <w:rFonts w:ascii="宋体" w:eastAsia="宋体" w:hAnsi="Calibri" w:hint="eastAsia"/>
          <w:szCs w:val="21"/>
          <w:lang w:eastAsia="zh-CN"/>
        </w:rPr>
        <w:t>A</w:t>
      </w:r>
      <w:r w:rsidRPr="00AF50C7">
        <w:rPr>
          <w:rFonts w:ascii="宋体" w:eastAsia="宋体" w:hAnsi="Calibri" w:hint="eastAsia"/>
          <w:szCs w:val="21"/>
          <w:lang w:eastAsia="zh-CN"/>
        </w:rPr>
        <w:t>股更为剧烈的股价波动）、汇率风险（汇率波动可能对基金的投资收益造成损失）、港股通机制下交易日不连贯可能带来的风险（在内地开市香港休市的情形下，港股通不能正常交易，港股通股票不能及时卖出，可能带来一定的流动性风险）等。</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本基金通过内地与香港股票市场交易互联互通机制投资于香港证券市</w:t>
      </w:r>
      <w:r w:rsidRPr="00AF50C7">
        <w:rPr>
          <w:rFonts w:ascii="宋体" w:eastAsia="宋体" w:hAnsi="Calibri" w:hint="eastAsia"/>
          <w:szCs w:val="21"/>
          <w:lang w:eastAsia="zh-CN"/>
        </w:rPr>
        <w:t>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w:t>
      </w:r>
      <w:r w:rsidRPr="00AF50C7">
        <w:rPr>
          <w:rFonts w:ascii="宋体" w:eastAsia="宋体" w:hAnsi="Calibri" w:hint="eastAsia"/>
          <w:szCs w:val="21"/>
          <w:lang w:eastAsia="zh-CN"/>
        </w:rPr>
        <w:t>风险、无法完成当日估值的风险、交易结算风险、基金投资非公开信息泄露的风险等。</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根据本基金现行适用的清算交收和申赎处理规则，投资者当日申购的基金份额，清算交收完成后方可卖出和赎回，即</w:t>
      </w:r>
      <w:r w:rsidRPr="00AF50C7">
        <w:rPr>
          <w:rFonts w:ascii="宋体" w:eastAsia="宋体" w:hAnsi="Calibri" w:hint="eastAsia"/>
          <w:szCs w:val="21"/>
          <w:lang w:eastAsia="zh-CN"/>
        </w:rPr>
        <w:t>T</w:t>
      </w:r>
      <w:r w:rsidRPr="00AF50C7">
        <w:rPr>
          <w:rFonts w:ascii="宋体" w:eastAsia="宋体" w:hAnsi="Calibri" w:hint="eastAsia"/>
          <w:szCs w:val="21"/>
          <w:lang w:eastAsia="zh-CN"/>
        </w:rPr>
        <w:t>日申购的基金份额且日间完成</w:t>
      </w:r>
      <w:r w:rsidRPr="00AF50C7">
        <w:rPr>
          <w:rFonts w:ascii="宋体" w:eastAsia="宋体" w:hAnsi="Calibri" w:hint="eastAsia"/>
          <w:szCs w:val="21"/>
          <w:lang w:eastAsia="zh-CN"/>
        </w:rPr>
        <w:t>RTGS</w:t>
      </w:r>
      <w:r w:rsidRPr="00AF50C7">
        <w:rPr>
          <w:rFonts w:ascii="宋体" w:eastAsia="宋体" w:hAnsi="Calibri" w:hint="eastAsia"/>
          <w:szCs w:val="21"/>
          <w:lang w:eastAsia="zh-CN"/>
        </w:rPr>
        <w:t>（实时逐笔全额结算）交收，</w:t>
      </w:r>
      <w:r w:rsidRPr="00AF50C7">
        <w:rPr>
          <w:rFonts w:ascii="宋体" w:eastAsia="宋体" w:hAnsi="Calibri" w:hint="eastAsia"/>
          <w:szCs w:val="21"/>
          <w:lang w:eastAsia="zh-CN"/>
        </w:rPr>
        <w:t>T</w:t>
      </w:r>
      <w:r w:rsidRPr="00AF50C7">
        <w:rPr>
          <w:rFonts w:ascii="宋体" w:eastAsia="宋体" w:hAnsi="Calibri" w:hint="eastAsia"/>
          <w:szCs w:val="21"/>
          <w:lang w:eastAsia="zh-CN"/>
        </w:rPr>
        <w:t>日可卖出和赎回，而</w:t>
      </w:r>
      <w:r w:rsidRPr="00AF50C7">
        <w:rPr>
          <w:rFonts w:ascii="宋体" w:eastAsia="宋体" w:hAnsi="Calibri" w:hint="eastAsia"/>
          <w:szCs w:val="21"/>
          <w:lang w:eastAsia="zh-CN"/>
        </w:rPr>
        <w:t>T</w:t>
      </w:r>
      <w:r w:rsidRPr="00AF50C7">
        <w:rPr>
          <w:rFonts w:ascii="宋体" w:eastAsia="宋体" w:hAnsi="Calibri" w:hint="eastAsia"/>
          <w:szCs w:val="21"/>
          <w:lang w:eastAsia="zh-CN"/>
        </w:rPr>
        <w:t>日申购的基金份额且日终完成逐笔全额非担保交收，</w:t>
      </w:r>
      <w:r w:rsidRPr="00AF50C7">
        <w:rPr>
          <w:rFonts w:ascii="宋体" w:eastAsia="宋体" w:hAnsi="Calibri" w:hint="eastAsia"/>
          <w:szCs w:val="21"/>
          <w:lang w:eastAsia="zh-CN"/>
        </w:rPr>
        <w:t>T+1</w:t>
      </w:r>
      <w:r w:rsidRPr="00AF50C7">
        <w:rPr>
          <w:rFonts w:ascii="宋体" w:eastAsia="宋体" w:hAnsi="Calibri" w:hint="eastAsia"/>
          <w:szCs w:val="21"/>
          <w:lang w:eastAsia="zh-CN"/>
        </w:rPr>
        <w:t>日方可卖出和赎回；</w:t>
      </w:r>
      <w:r w:rsidRPr="00AF50C7">
        <w:rPr>
          <w:rFonts w:ascii="宋体" w:eastAsia="宋体" w:hAnsi="Calibri" w:hint="eastAsia"/>
          <w:szCs w:val="21"/>
          <w:lang w:eastAsia="zh-CN"/>
        </w:rPr>
        <w:t>T</w:t>
      </w:r>
      <w:r w:rsidRPr="00AF50C7">
        <w:rPr>
          <w:rFonts w:ascii="宋体" w:eastAsia="宋体" w:hAnsi="Calibri" w:hint="eastAsia"/>
          <w:szCs w:val="21"/>
          <w:lang w:eastAsia="zh-CN"/>
        </w:rPr>
        <w:t>日买入的基金份额，</w:t>
      </w:r>
      <w:r w:rsidRPr="00AF50C7">
        <w:rPr>
          <w:rFonts w:ascii="宋体" w:eastAsia="宋体" w:hAnsi="Calibri" w:hint="eastAsia"/>
          <w:szCs w:val="21"/>
          <w:lang w:eastAsia="zh-CN"/>
        </w:rPr>
        <w:t>T</w:t>
      </w:r>
      <w:r w:rsidRPr="00AF50C7">
        <w:rPr>
          <w:rFonts w:ascii="宋体" w:eastAsia="宋体" w:hAnsi="Calibri" w:hint="eastAsia"/>
          <w:szCs w:val="21"/>
          <w:lang w:eastAsia="zh-CN"/>
        </w:rPr>
        <w:t>日可以赎回或卖出。</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投资者投资于本基金前请认真阅读证券交易所和登记结算机构关于</w:t>
      </w:r>
      <w:r w:rsidRPr="00AF50C7">
        <w:rPr>
          <w:rFonts w:ascii="宋体" w:eastAsia="宋体" w:hAnsi="Calibri" w:hint="eastAsia"/>
          <w:szCs w:val="21"/>
          <w:lang w:eastAsia="zh-CN"/>
        </w:rPr>
        <w:t>ETF</w:t>
      </w:r>
      <w:r w:rsidRPr="00AF50C7">
        <w:rPr>
          <w:rFonts w:ascii="宋体" w:eastAsia="宋体" w:hAnsi="Calibri" w:hint="eastAsia"/>
          <w:szCs w:val="21"/>
          <w:lang w:eastAsia="zh-CN"/>
        </w:rPr>
        <w:t>的相关业务规则及其不时的更新，确保具备相关专业知识、清楚了解相关规则流程</w:t>
      </w:r>
      <w:r w:rsidRPr="00AF50C7">
        <w:rPr>
          <w:rFonts w:ascii="宋体" w:eastAsia="宋体" w:hAnsi="Calibri" w:hint="eastAsia"/>
          <w:szCs w:val="21"/>
          <w:lang w:eastAsia="zh-CN"/>
        </w:rPr>
        <w:t>后方可参与本基金的认购、申购、赎回及交易。投资者一旦认购、申购或赎回本基金，即表示对基金认购、申购和赎回所涉及的登记方式以及申购赎回所涉及现金替代、现金差额等相关的交收方式及业务规则已经认可。</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基金管理人提醒投资者基金投资的“买者自负”原则，在投资者作出投资决策后，基金运营状况与基金净值变化引致的投资风险，由投资者自行负责。此外，本基金以</w:t>
      </w:r>
      <w:r w:rsidRPr="00AF50C7">
        <w:rPr>
          <w:rFonts w:ascii="宋体" w:eastAsia="宋体" w:hAnsi="Calibri" w:hint="eastAsia"/>
          <w:szCs w:val="21"/>
          <w:lang w:eastAsia="zh-CN"/>
        </w:rPr>
        <w:t>1</w:t>
      </w:r>
      <w:r w:rsidRPr="00AF50C7">
        <w:rPr>
          <w:rFonts w:ascii="宋体" w:eastAsia="宋体" w:hAnsi="Calibri" w:hint="eastAsia"/>
          <w:szCs w:val="21"/>
          <w:lang w:eastAsia="zh-CN"/>
        </w:rPr>
        <w:t>元初始面值进行募集，在市场波动等因素的影响下，存在单位份额净值跌破</w:t>
      </w:r>
      <w:r w:rsidRPr="00AF50C7">
        <w:rPr>
          <w:rFonts w:ascii="宋体" w:eastAsia="宋体" w:hAnsi="Calibri" w:hint="eastAsia"/>
          <w:szCs w:val="21"/>
          <w:lang w:eastAsia="zh-CN"/>
        </w:rPr>
        <w:t>1</w:t>
      </w:r>
      <w:r w:rsidRPr="00AF50C7">
        <w:rPr>
          <w:rFonts w:ascii="宋体" w:eastAsia="宋体" w:hAnsi="Calibri" w:hint="eastAsia"/>
          <w:szCs w:val="21"/>
          <w:lang w:eastAsia="zh-CN"/>
        </w:rPr>
        <w:t>元初始面值的风险。</w:t>
      </w:r>
    </w:p>
    <w:p w:rsidR="00AF50C7" w:rsidRPr="00AF50C7"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基金不同于银行储蓄，基金投资人投资于基金有可能获得较高的收益，也有可能损失本金。投</w:t>
      </w:r>
      <w:r w:rsidRPr="00AF50C7">
        <w:rPr>
          <w:rFonts w:ascii="宋体" w:eastAsia="宋体" w:hAnsi="Calibri" w:hint="eastAsia"/>
          <w:szCs w:val="21"/>
          <w:lang w:eastAsia="zh-CN"/>
        </w:rPr>
        <w:t>资有风险，投资人在进行投资决策前，请仔细阅读本基金的《招募说明书》及《基金合同》。</w:t>
      </w:r>
    </w:p>
    <w:p w:rsidR="00652D20" w:rsidRDefault="00916DC1" w:rsidP="00AF50C7">
      <w:pPr>
        <w:snapToGrid w:val="0"/>
        <w:spacing w:line="360" w:lineRule="auto"/>
        <w:ind w:firstLine="420"/>
        <w:rPr>
          <w:rFonts w:ascii="宋体" w:eastAsia="宋体" w:hAnsi="Calibri"/>
          <w:szCs w:val="21"/>
          <w:lang w:eastAsia="zh-CN"/>
        </w:rPr>
      </w:pPr>
      <w:r w:rsidRPr="00AF50C7">
        <w:rPr>
          <w:rFonts w:ascii="宋体" w:eastAsia="宋体" w:hAnsi="Calibri" w:hint="eastAsia"/>
          <w:szCs w:val="21"/>
          <w:lang w:eastAsia="zh-CN"/>
        </w:rPr>
        <w:t>基金的过往业绩并不预示其未来表现，基金管理人管理的其他基金的业绩并不构成对本基金表现的保证。</w:t>
      </w:r>
    </w:p>
    <w:p w:rsidR="00652D20" w:rsidRDefault="00652D20">
      <w:pPr>
        <w:snapToGrid w:val="0"/>
        <w:spacing w:line="360" w:lineRule="auto"/>
        <w:ind w:firstLine="420"/>
        <w:rPr>
          <w:rFonts w:ascii="宋体" w:eastAsia="宋体" w:hAnsi="Calibri"/>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b/>
          <w:bCs/>
          <w:spacing w:val="0"/>
          <w:sz w:val="21"/>
          <w:szCs w:val="21"/>
          <w:lang w:eastAsia="zh-CN"/>
        </w:rPr>
        <w:t>一、</w:t>
      </w:r>
      <w:r>
        <w:rPr>
          <w:rStyle w:val="big1"/>
          <w:rFonts w:ascii="宋体" w:eastAsia="宋体" w:hAnsi="Calibri" w:hint="eastAsia"/>
          <w:b/>
          <w:bCs/>
          <w:spacing w:val="0"/>
          <w:sz w:val="21"/>
          <w:szCs w:val="21"/>
          <w:lang w:eastAsia="zh-CN"/>
        </w:rPr>
        <w:t>本次发售</w:t>
      </w:r>
      <w:r>
        <w:rPr>
          <w:rStyle w:val="big1"/>
          <w:rFonts w:ascii="宋体" w:eastAsia="宋体" w:hAnsi="Calibri"/>
          <w:b/>
          <w:bCs/>
          <w:spacing w:val="0"/>
          <w:sz w:val="21"/>
          <w:szCs w:val="21"/>
          <w:lang w:eastAsia="zh-CN"/>
        </w:rPr>
        <w:t>基本情况</w:t>
      </w:r>
    </w:p>
    <w:p w:rsidR="00652D20" w:rsidRDefault="00916DC1">
      <w:pPr>
        <w:spacing w:line="360" w:lineRule="auto"/>
        <w:ind w:firstLine="420"/>
        <w:rPr>
          <w:rFonts w:ascii="宋体" w:eastAsia="宋体" w:hAnsi="Calibri"/>
          <w:szCs w:val="21"/>
          <w:lang w:eastAsia="zh-CN"/>
        </w:rPr>
      </w:pPr>
      <w:r>
        <w:rPr>
          <w:rFonts w:ascii="宋体" w:eastAsia="宋体" w:hAnsi="Calibri" w:hint="eastAsia"/>
          <w:lang w:eastAsia="zh-CN"/>
        </w:rPr>
        <w:t>（一）</w:t>
      </w:r>
      <w:r>
        <w:rPr>
          <w:rFonts w:ascii="宋体" w:eastAsia="宋体" w:hAnsi="Calibri"/>
          <w:szCs w:val="21"/>
          <w:lang w:eastAsia="zh-CN"/>
        </w:rPr>
        <w:t>基金名称</w:t>
      </w:r>
    </w:p>
    <w:p w:rsidR="00652D20" w:rsidRDefault="00916DC1">
      <w:pPr>
        <w:spacing w:line="360" w:lineRule="auto"/>
        <w:ind w:firstLine="420"/>
        <w:rPr>
          <w:rFonts w:ascii="宋体" w:eastAsia="宋体" w:hAnsi="Calibri"/>
          <w:lang w:eastAsia="zh-CN"/>
        </w:rPr>
      </w:pPr>
      <w:r>
        <w:rPr>
          <w:rFonts w:ascii="宋体" w:eastAsia="宋体" w:hAnsi="Calibri" w:hint="eastAsia"/>
          <w:szCs w:val="21"/>
          <w:lang w:eastAsia="zh-CN"/>
        </w:rPr>
        <w:t>易方达中证港股通医疗主题交易型开放式指数证券投资基金</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基金代码：</w:t>
      </w:r>
      <w:r w:rsidR="00822751" w:rsidRPr="00822751">
        <w:rPr>
          <w:rFonts w:ascii="宋体" w:eastAsia="宋体" w:hAnsi="Calibri"/>
          <w:lang w:eastAsia="zh-CN"/>
        </w:rPr>
        <w:t>520850</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认购代码：</w:t>
      </w:r>
      <w:r w:rsidR="00822751" w:rsidRPr="00822751">
        <w:rPr>
          <w:rFonts w:ascii="宋体" w:eastAsia="宋体" w:hAnsi="Calibri"/>
          <w:lang w:eastAsia="zh-CN"/>
        </w:rPr>
        <w:t>52085</w:t>
      </w:r>
      <w:r w:rsidR="00822751">
        <w:rPr>
          <w:rFonts w:ascii="宋体" w:eastAsia="宋体" w:hAnsi="Calibri"/>
          <w:lang w:eastAsia="zh-CN"/>
        </w:rPr>
        <w:t>3</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场内简称：</w:t>
      </w:r>
      <w:r w:rsidR="00822751" w:rsidRPr="00822751">
        <w:rPr>
          <w:rFonts w:ascii="宋体" w:eastAsia="宋体" w:hAnsi="Calibri" w:hint="eastAsia"/>
          <w:lang w:eastAsia="zh-CN"/>
        </w:rPr>
        <w:t>港医疗</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扩位简称：</w:t>
      </w:r>
      <w:r w:rsidR="00822751" w:rsidRPr="00822751">
        <w:rPr>
          <w:rFonts w:ascii="宋体" w:eastAsia="宋体" w:hAnsi="Calibri" w:hint="eastAsia"/>
          <w:lang w:eastAsia="zh-CN"/>
        </w:rPr>
        <w:t>港股医疗ETF</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（二）</w:t>
      </w:r>
      <w:r>
        <w:rPr>
          <w:rFonts w:ascii="宋体" w:eastAsia="宋体" w:hAnsi="Calibri"/>
          <w:lang w:eastAsia="zh-CN"/>
        </w:rPr>
        <w:t>基金</w:t>
      </w:r>
      <w:r>
        <w:rPr>
          <w:rFonts w:ascii="宋体" w:eastAsia="宋体" w:hAnsi="Calibri" w:hint="eastAsia"/>
          <w:lang w:eastAsia="zh-CN"/>
        </w:rPr>
        <w:t>运作方式和</w:t>
      </w:r>
      <w:r>
        <w:rPr>
          <w:rFonts w:ascii="宋体" w:eastAsia="宋体" w:hAnsi="Calibri"/>
          <w:lang w:eastAsia="zh-CN"/>
        </w:rPr>
        <w:t>类型</w:t>
      </w:r>
    </w:p>
    <w:p w:rsidR="00652D20" w:rsidRDefault="00916DC1">
      <w:pPr>
        <w:spacing w:line="360" w:lineRule="auto"/>
        <w:ind w:firstLine="420"/>
        <w:rPr>
          <w:rFonts w:ascii="宋体" w:eastAsia="宋体" w:hAnsi="Calibri"/>
          <w:szCs w:val="21"/>
          <w:lang w:eastAsia="zh-CN"/>
        </w:rPr>
      </w:pPr>
      <w:r>
        <w:rPr>
          <w:rFonts w:ascii="宋体" w:eastAsia="宋体" w:hAnsi="Calibri"/>
          <w:szCs w:val="21"/>
          <w:lang w:eastAsia="zh-CN"/>
        </w:rPr>
        <w:t>交易型开放式</w:t>
      </w:r>
      <w:r>
        <w:rPr>
          <w:rFonts w:ascii="宋体" w:eastAsia="宋体" w:hAnsi="Calibri" w:hint="eastAsia"/>
          <w:szCs w:val="21"/>
          <w:lang w:eastAsia="zh-CN"/>
        </w:rPr>
        <w:t>、</w:t>
      </w:r>
      <w:r>
        <w:rPr>
          <w:rFonts w:ascii="宋体" w:eastAsia="宋体" w:hAnsi="Calibri"/>
          <w:szCs w:val="21"/>
          <w:lang w:eastAsia="zh-CN"/>
        </w:rPr>
        <w:t>股票型证券投资基金、指数基金</w:t>
      </w:r>
      <w:r>
        <w:rPr>
          <w:rFonts w:ascii="宋体" w:eastAsia="宋体" w:hAnsi="Calibri"/>
          <w:szCs w:val="21"/>
          <w:lang w:eastAsia="zh-CN"/>
        </w:rPr>
        <w:t xml:space="preserve"> </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（三）</w:t>
      </w:r>
      <w:r>
        <w:rPr>
          <w:rFonts w:ascii="宋体" w:eastAsia="宋体" w:hAnsi="Calibri"/>
          <w:lang w:eastAsia="zh-CN"/>
        </w:rPr>
        <w:t>基金存续期限</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lang w:eastAsia="zh-CN"/>
        </w:rPr>
        <w:t>不定期</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（四）基金份额面值</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highlight w:val="white"/>
          <w:lang w:eastAsia="zh-CN"/>
        </w:rPr>
        <w:t>本基金基金份额发售面值为人民币</w:t>
      </w:r>
      <w:r>
        <w:rPr>
          <w:rFonts w:ascii="宋体" w:eastAsia="宋体" w:hAnsi="Calibri" w:hint="eastAsia"/>
          <w:highlight w:val="white"/>
          <w:lang w:eastAsia="zh-CN"/>
        </w:rPr>
        <w:t>1.00</w:t>
      </w:r>
      <w:r>
        <w:rPr>
          <w:rFonts w:ascii="宋体" w:eastAsia="宋体" w:hAnsi="Calibri" w:hint="eastAsia"/>
          <w:highlight w:val="white"/>
          <w:lang w:eastAsia="zh-CN"/>
        </w:rPr>
        <w:t>元。</w:t>
      </w:r>
    </w:p>
    <w:p w:rsidR="00652D20" w:rsidRDefault="00916DC1">
      <w:pPr>
        <w:tabs>
          <w:tab w:val="left" w:pos="567"/>
          <w:tab w:val="left" w:pos="709"/>
        </w:tabs>
        <w:spacing w:line="360" w:lineRule="auto"/>
        <w:ind w:firstLine="420"/>
        <w:rPr>
          <w:rStyle w:val="da"/>
          <w:rFonts w:ascii="宋体" w:eastAsia="宋体" w:hAnsi="Calibri"/>
          <w:lang w:eastAsia="zh-CN"/>
        </w:rPr>
      </w:pPr>
      <w:r>
        <w:rPr>
          <w:rStyle w:val="da"/>
          <w:rFonts w:ascii="宋体" w:eastAsia="宋体" w:hAnsi="Calibri" w:hint="eastAsia"/>
          <w:lang w:eastAsia="zh-CN"/>
        </w:rPr>
        <w:t>（五）</w:t>
      </w:r>
      <w:r>
        <w:rPr>
          <w:rFonts w:ascii="宋体" w:eastAsia="宋体" w:hAnsi="Calibri"/>
          <w:lang w:eastAsia="zh-CN"/>
        </w:rPr>
        <w:t>基金投资目标</w:t>
      </w:r>
    </w:p>
    <w:p w:rsidR="00652D20" w:rsidRDefault="00916DC1">
      <w:pPr>
        <w:spacing w:line="360" w:lineRule="auto"/>
        <w:ind w:firstLine="420"/>
        <w:rPr>
          <w:rFonts w:ascii="宋体" w:eastAsia="宋体" w:hAnsi="Calibri"/>
          <w:lang w:eastAsia="zh-CN"/>
        </w:rPr>
      </w:pPr>
      <w:r>
        <w:rPr>
          <w:rFonts w:ascii="宋体" w:eastAsia="宋体" w:hAnsi="Calibri"/>
          <w:lang w:eastAsia="zh-CN"/>
        </w:rPr>
        <w:t>紧密跟踪标的指数，追求跟踪偏离度和跟踪误差的最小化。</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（六）发售</w:t>
      </w:r>
      <w:r>
        <w:rPr>
          <w:rFonts w:ascii="宋体" w:eastAsia="宋体" w:hAnsi="Calibri"/>
          <w:lang w:eastAsia="zh-CN"/>
        </w:rPr>
        <w:t>对象</w:t>
      </w:r>
    </w:p>
    <w:p w:rsidR="00652D20" w:rsidRDefault="00916DC1">
      <w:pPr>
        <w:tabs>
          <w:tab w:val="left" w:pos="709"/>
        </w:tabs>
        <w:spacing w:line="360" w:lineRule="auto"/>
        <w:ind w:firstLine="420"/>
        <w:rPr>
          <w:rStyle w:val="da"/>
          <w:rFonts w:ascii="宋体" w:eastAsia="宋体" w:hAnsi="Calibri"/>
          <w:lang w:eastAsia="zh-CN"/>
        </w:rPr>
      </w:pPr>
      <w:r>
        <w:rPr>
          <w:rFonts w:ascii="宋体" w:eastAsia="宋体" w:hAnsi="Calibri"/>
          <w:highlight w:val="white"/>
          <w:lang w:eastAsia="zh-CN"/>
        </w:rPr>
        <w:t>符合法律法规规定的可投资于证券投资基金的个人投资者、机构投资者、合格境外投资者以及法律法规或中国证监会允许购买证券投资基金的其他投资人。</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（七）发售协调人</w:t>
      </w:r>
    </w:p>
    <w:p w:rsidR="00652D20" w:rsidRDefault="001406F4">
      <w:pPr>
        <w:spacing w:line="360" w:lineRule="auto"/>
        <w:ind w:firstLine="420"/>
        <w:rPr>
          <w:rFonts w:ascii="宋体" w:eastAsia="宋体" w:hAnsi="Calibri"/>
          <w:lang w:eastAsia="zh-CN"/>
        </w:rPr>
      </w:pPr>
      <w:r>
        <w:rPr>
          <w:rFonts w:ascii="宋体" w:eastAsia="宋体" w:hAnsi="Calibri" w:hint="eastAsia"/>
          <w:lang w:eastAsia="zh-CN"/>
        </w:rPr>
        <w:t>中泰证券股份有限公司</w:t>
      </w:r>
    </w:p>
    <w:p w:rsidR="006546CD" w:rsidRP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注册地址：济南市市中区经七路</w:t>
      </w:r>
      <w:r w:rsidRPr="006546CD">
        <w:rPr>
          <w:rFonts w:ascii="宋体" w:eastAsia="宋体" w:hAnsi="Calibri" w:hint="eastAsia"/>
          <w:lang w:eastAsia="zh-CN"/>
        </w:rPr>
        <w:t>86</w:t>
      </w:r>
      <w:r w:rsidRPr="006546CD">
        <w:rPr>
          <w:rFonts w:ascii="宋体" w:eastAsia="宋体" w:hAnsi="Calibri" w:hint="eastAsia"/>
          <w:lang w:eastAsia="zh-CN"/>
        </w:rPr>
        <w:t>号</w:t>
      </w:r>
    </w:p>
    <w:p w:rsidR="006546CD" w:rsidRP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办公地址：济南市市中区经七路</w:t>
      </w:r>
      <w:r w:rsidRPr="006546CD">
        <w:rPr>
          <w:rFonts w:ascii="宋体" w:eastAsia="宋体" w:hAnsi="Calibri" w:hint="eastAsia"/>
          <w:lang w:eastAsia="zh-CN"/>
        </w:rPr>
        <w:t>86</w:t>
      </w:r>
      <w:r w:rsidRPr="006546CD">
        <w:rPr>
          <w:rFonts w:ascii="宋体" w:eastAsia="宋体" w:hAnsi="Calibri" w:hint="eastAsia"/>
          <w:lang w:eastAsia="zh-CN"/>
        </w:rPr>
        <w:t>号</w:t>
      </w:r>
    </w:p>
    <w:p w:rsidR="006546CD" w:rsidRP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法定代表人：王洪</w:t>
      </w:r>
    </w:p>
    <w:p w:rsidR="006546CD" w:rsidRP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联系人：刘洋</w:t>
      </w:r>
    </w:p>
    <w:p w:rsidR="006546CD" w:rsidRP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联系电话：</w:t>
      </w:r>
      <w:r w:rsidRPr="006546CD">
        <w:rPr>
          <w:rFonts w:ascii="宋体" w:eastAsia="宋体" w:hAnsi="Calibri" w:hint="eastAsia"/>
          <w:lang w:eastAsia="zh-CN"/>
        </w:rPr>
        <w:t>021-20315085</w:t>
      </w:r>
    </w:p>
    <w:p w:rsidR="006546CD" w:rsidRP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客户服务电话：</w:t>
      </w:r>
      <w:r w:rsidRPr="006546CD">
        <w:rPr>
          <w:rFonts w:ascii="宋体" w:eastAsia="宋体" w:hAnsi="Calibri" w:hint="eastAsia"/>
          <w:lang w:eastAsia="zh-CN"/>
        </w:rPr>
        <w:t>95538</w:t>
      </w:r>
    </w:p>
    <w:p w:rsidR="006546CD" w:rsidRDefault="00916DC1" w:rsidP="006546CD">
      <w:pPr>
        <w:spacing w:line="360" w:lineRule="auto"/>
        <w:ind w:firstLine="420"/>
        <w:rPr>
          <w:rFonts w:ascii="宋体" w:eastAsia="宋体" w:hAnsi="Calibri"/>
          <w:lang w:eastAsia="zh-CN"/>
        </w:rPr>
      </w:pPr>
      <w:r w:rsidRPr="006546CD">
        <w:rPr>
          <w:rFonts w:ascii="宋体" w:eastAsia="宋体" w:hAnsi="Calibri" w:hint="eastAsia"/>
          <w:lang w:eastAsia="zh-CN"/>
        </w:rPr>
        <w:t>网址：</w:t>
      </w:r>
      <w:r w:rsidRPr="006546CD">
        <w:rPr>
          <w:rFonts w:ascii="宋体" w:eastAsia="宋体" w:hAnsi="Calibri" w:hint="eastAsia"/>
          <w:lang w:eastAsia="zh-CN"/>
        </w:rPr>
        <w:t>www.zts.com.cn</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（八）发售时间安排与基金合同生效</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本基金的募集期限为自基金份额发售之日起不超过三个月。</w:t>
      </w:r>
    </w:p>
    <w:p w:rsidR="00652D20" w:rsidRDefault="00916DC1">
      <w:pPr>
        <w:spacing w:line="360" w:lineRule="auto"/>
        <w:ind w:firstLine="420"/>
        <w:rPr>
          <w:rFonts w:ascii="宋体" w:eastAsia="宋体" w:hAnsi="Calibri"/>
          <w:lang w:eastAsia="zh-CN"/>
        </w:rPr>
      </w:pPr>
      <w:r>
        <w:rPr>
          <w:rFonts w:ascii="宋体" w:eastAsia="宋体" w:hAnsi="Calibri"/>
          <w:szCs w:val="21"/>
          <w:lang w:eastAsia="zh-CN"/>
        </w:rPr>
        <w:t>本基金将自</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17</w:t>
      </w:r>
      <w:r w:rsidR="00215202">
        <w:rPr>
          <w:rFonts w:ascii="宋体" w:eastAsia="宋体" w:hAnsi="Calibri" w:hint="eastAsia"/>
          <w:szCs w:val="21"/>
          <w:lang w:eastAsia="zh-CN"/>
        </w:rPr>
        <w:t>日至</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23</w:t>
      </w:r>
      <w:r w:rsidR="00215202">
        <w:rPr>
          <w:rFonts w:ascii="宋体" w:eastAsia="宋体" w:hAnsi="Calibri" w:hint="eastAsia"/>
          <w:szCs w:val="21"/>
          <w:lang w:eastAsia="zh-CN"/>
        </w:rPr>
        <w:t>日</w:t>
      </w:r>
      <w:r>
        <w:rPr>
          <w:rFonts w:ascii="宋体" w:eastAsia="宋体" w:hAnsi="Calibri" w:hint="eastAsia"/>
          <w:szCs w:val="21"/>
          <w:lang w:eastAsia="zh-CN"/>
        </w:rPr>
        <w:t>进行</w:t>
      </w:r>
      <w:r>
        <w:rPr>
          <w:rFonts w:ascii="宋体" w:eastAsia="宋体" w:hAnsi="Calibri"/>
          <w:szCs w:val="21"/>
          <w:lang w:eastAsia="zh-CN"/>
        </w:rPr>
        <w:t>发售。</w:t>
      </w:r>
      <w:r>
        <w:rPr>
          <w:rFonts w:ascii="宋体" w:eastAsia="宋体" w:hAnsi="Calibri" w:hint="eastAsia"/>
          <w:szCs w:val="21"/>
          <w:lang w:eastAsia="zh-CN"/>
        </w:rPr>
        <w:t>本基金的投资人可选择网上现金认购和网下现金认购</w:t>
      </w:r>
      <w:r>
        <w:rPr>
          <w:rFonts w:ascii="宋体" w:eastAsia="宋体" w:hAnsi="Calibri" w:hint="eastAsia"/>
          <w:szCs w:val="21"/>
          <w:lang w:eastAsia="zh-CN"/>
        </w:rPr>
        <w:t>2</w:t>
      </w:r>
      <w:r>
        <w:rPr>
          <w:rFonts w:ascii="宋体" w:eastAsia="宋体" w:hAnsi="Calibri" w:hint="eastAsia"/>
          <w:szCs w:val="21"/>
          <w:lang w:eastAsia="zh-CN"/>
        </w:rPr>
        <w:t>种方式，其中网下现金认购的日期为</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17</w:t>
      </w:r>
      <w:r w:rsidR="00215202">
        <w:rPr>
          <w:rFonts w:ascii="宋体" w:eastAsia="宋体" w:hAnsi="Calibri" w:hint="eastAsia"/>
          <w:szCs w:val="21"/>
          <w:lang w:eastAsia="zh-CN"/>
        </w:rPr>
        <w:t>日至</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23</w:t>
      </w:r>
      <w:r w:rsidR="00215202">
        <w:rPr>
          <w:rFonts w:ascii="宋体" w:eastAsia="宋体" w:hAnsi="Calibri" w:hint="eastAsia"/>
          <w:szCs w:val="21"/>
          <w:lang w:eastAsia="zh-CN"/>
        </w:rPr>
        <w:t>日</w:t>
      </w:r>
      <w:r>
        <w:rPr>
          <w:rFonts w:ascii="宋体" w:eastAsia="宋体" w:hAnsi="Calibri" w:hint="eastAsia"/>
          <w:szCs w:val="21"/>
          <w:lang w:eastAsia="zh-CN"/>
        </w:rPr>
        <w:t>，网上现金认购的日期为</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17</w:t>
      </w:r>
      <w:r w:rsidR="00215202">
        <w:rPr>
          <w:rFonts w:ascii="宋体" w:eastAsia="宋体" w:hAnsi="Calibri" w:hint="eastAsia"/>
          <w:szCs w:val="21"/>
          <w:lang w:eastAsia="zh-CN"/>
        </w:rPr>
        <w:t>日至</w:t>
      </w:r>
      <w:r w:rsidR="00215202">
        <w:rPr>
          <w:rFonts w:ascii="宋体" w:eastAsia="宋体" w:hAnsi="Calibri"/>
          <w:szCs w:val="21"/>
          <w:lang w:eastAsia="zh-CN"/>
        </w:rPr>
        <w:t>2025</w:t>
      </w:r>
      <w:r w:rsidR="00215202">
        <w:rPr>
          <w:rFonts w:ascii="宋体" w:eastAsia="宋体" w:hAnsi="Calibri" w:hint="eastAsia"/>
          <w:szCs w:val="21"/>
          <w:lang w:eastAsia="zh-CN"/>
        </w:rPr>
        <w:t>年</w:t>
      </w:r>
      <w:r w:rsidR="00215202">
        <w:rPr>
          <w:rFonts w:ascii="宋体" w:eastAsia="宋体" w:hAnsi="Calibri"/>
          <w:szCs w:val="21"/>
          <w:lang w:eastAsia="zh-CN"/>
        </w:rPr>
        <w:t>12</w:t>
      </w:r>
      <w:r w:rsidR="00215202">
        <w:rPr>
          <w:rFonts w:ascii="宋体" w:eastAsia="宋体" w:hAnsi="Calibri" w:hint="eastAsia"/>
          <w:szCs w:val="21"/>
          <w:lang w:eastAsia="zh-CN"/>
        </w:rPr>
        <w:t>月</w:t>
      </w:r>
      <w:r w:rsidR="00215202">
        <w:rPr>
          <w:rFonts w:ascii="宋体" w:eastAsia="宋体" w:hAnsi="Calibri"/>
          <w:szCs w:val="21"/>
          <w:lang w:eastAsia="zh-CN"/>
        </w:rPr>
        <w:t>23</w:t>
      </w:r>
      <w:r w:rsidR="00215202">
        <w:rPr>
          <w:rFonts w:ascii="宋体" w:eastAsia="宋体" w:hAnsi="Calibri" w:hint="eastAsia"/>
          <w:szCs w:val="21"/>
          <w:lang w:eastAsia="zh-CN"/>
        </w:rPr>
        <w:t>日</w:t>
      </w:r>
      <w:r>
        <w:rPr>
          <w:rFonts w:ascii="宋体" w:eastAsia="宋体" w:hAnsi="Calibri" w:hint="eastAsia"/>
          <w:szCs w:val="21"/>
          <w:lang w:eastAsia="zh-CN"/>
        </w:rPr>
        <w:t>。如上海证券交易所对网上现金认购时间作出调整，本公司将作出相应调整并及时公告。</w:t>
      </w:r>
      <w:r>
        <w:rPr>
          <w:rFonts w:ascii="宋体" w:eastAsia="宋体" w:hAnsi="Calibri"/>
          <w:lang w:eastAsia="zh-CN"/>
        </w:rPr>
        <w:t>基金</w:t>
      </w:r>
      <w:r>
        <w:rPr>
          <w:rFonts w:ascii="宋体" w:eastAsia="宋体" w:hAnsi="Calibri" w:hint="eastAsia"/>
          <w:lang w:eastAsia="zh-CN"/>
        </w:rPr>
        <w:t>管理人</w:t>
      </w:r>
      <w:r>
        <w:rPr>
          <w:rFonts w:ascii="宋体" w:eastAsia="宋体" w:hAnsi="Calibri"/>
          <w:lang w:eastAsia="zh-CN"/>
        </w:rPr>
        <w:t>根据认购的情况可</w:t>
      </w:r>
      <w:r>
        <w:rPr>
          <w:rFonts w:ascii="宋体" w:eastAsia="宋体" w:hAnsi="Calibri" w:hint="eastAsia"/>
          <w:lang w:eastAsia="zh-CN"/>
        </w:rPr>
        <w:t>适当调整</w:t>
      </w:r>
      <w:r>
        <w:rPr>
          <w:rFonts w:ascii="宋体" w:eastAsia="宋体" w:hAnsi="Calibri"/>
          <w:lang w:eastAsia="zh-CN"/>
        </w:rPr>
        <w:t>募集时间</w:t>
      </w:r>
      <w:r>
        <w:rPr>
          <w:rFonts w:ascii="宋体" w:eastAsia="宋体" w:hAnsi="Calibri" w:hint="eastAsia"/>
          <w:lang w:eastAsia="zh-CN"/>
        </w:rPr>
        <w:t>，并及时公告，但</w:t>
      </w:r>
      <w:r>
        <w:rPr>
          <w:rFonts w:ascii="宋体" w:eastAsia="宋体" w:hAnsi="Calibri"/>
          <w:lang w:eastAsia="zh-CN"/>
        </w:rPr>
        <w:t>最长不超过法定募集期</w:t>
      </w:r>
      <w:r>
        <w:rPr>
          <w:rFonts w:ascii="宋体" w:eastAsia="宋体" w:hAnsi="Calibri" w:hint="eastAsia"/>
          <w:lang w:eastAsia="zh-CN"/>
        </w:rPr>
        <w:t>限。基金募集期间募集的资金应当存入专门账户，在基金募集行为结束前，任何人不得动用。</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若</w:t>
      </w:r>
      <w:r>
        <w:rPr>
          <w:rFonts w:ascii="宋体" w:eastAsia="宋体" w:hAnsi="Calibri" w:hint="eastAsia"/>
          <w:lang w:eastAsia="zh-CN"/>
        </w:rPr>
        <w:t>3</w:t>
      </w:r>
      <w:r>
        <w:rPr>
          <w:rFonts w:ascii="宋体" w:eastAsia="宋体" w:hAnsi="Calibri" w:hint="eastAsia"/>
          <w:lang w:eastAsia="zh-CN"/>
        </w:rPr>
        <w:t>个月的募集期满，本基金仍未达到基金备案条件，基金管理人应承担全部募集费用，将已募集资金加计银行同期活期存款利息，在募集期结束后</w:t>
      </w:r>
      <w:r>
        <w:rPr>
          <w:rFonts w:ascii="宋体" w:eastAsia="宋体" w:hAnsi="Calibri" w:hint="eastAsia"/>
          <w:lang w:eastAsia="zh-CN"/>
        </w:rPr>
        <w:t>30</w:t>
      </w:r>
      <w:r>
        <w:rPr>
          <w:rFonts w:ascii="宋体" w:eastAsia="宋体" w:hAnsi="Calibri" w:hint="eastAsia"/>
          <w:lang w:eastAsia="zh-CN"/>
        </w:rPr>
        <w:t>日内退还给认购人。</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（九）募集资金利息的处理方式</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通过基金管理人进行网下现金认购的有效认购资金在募集期间产生的利息，将折算为基金份额归基金份额持有人所有，其中利息转份额以基金管理人的记录为准；网上现金认购和通过发售代理机构进行网下现金认购的有效认购资金在登记结算机构清算交收后至划入基金托管专户</w:t>
      </w:r>
      <w:r>
        <w:rPr>
          <w:rFonts w:ascii="宋体" w:eastAsia="宋体" w:hAnsi="Calibri" w:hint="eastAsia"/>
          <w:highlight w:val="white"/>
          <w:lang w:eastAsia="zh-CN"/>
        </w:rPr>
        <w:t>前产生的利息，计入基金财产，不折算为基金份额</w:t>
      </w:r>
      <w:r>
        <w:rPr>
          <w:rFonts w:ascii="宋体" w:eastAsia="宋体" w:hAnsi="Calibri" w:hint="eastAsia"/>
          <w:lang w:eastAsia="zh-CN"/>
        </w:rPr>
        <w:t>。</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（十）认购费用</w:t>
      </w:r>
    </w:p>
    <w:p w:rsidR="00652D20" w:rsidRDefault="00916DC1">
      <w:pPr>
        <w:spacing w:line="360" w:lineRule="auto"/>
        <w:ind w:firstLine="420"/>
        <w:rPr>
          <w:rFonts w:ascii="宋体" w:eastAsia="宋体" w:hAnsi="Calibri"/>
        </w:rPr>
      </w:pPr>
      <w:r>
        <w:rPr>
          <w:rFonts w:ascii="宋体" w:eastAsia="宋体" w:hAnsi="Calibri" w:hint="eastAsia"/>
          <w:highlight w:val="white"/>
          <w:lang w:eastAsia="zh-CN"/>
        </w:rPr>
        <w:t>本基金的认购采用份额认购的原则。认购费用或认购佣金由认购基金份额的投资人承担，认购费率不超过</w:t>
      </w:r>
      <w:r>
        <w:rPr>
          <w:rFonts w:ascii="宋体" w:eastAsia="宋体" w:hAnsi="Calibri" w:hint="eastAsia"/>
          <w:highlight w:val="white"/>
          <w:lang w:eastAsia="zh-CN"/>
        </w:rPr>
        <w:t>0.80%</w:t>
      </w:r>
      <w:r>
        <w:rPr>
          <w:rFonts w:ascii="宋体" w:eastAsia="宋体" w:hAnsi="Calibri" w:hint="eastAsia"/>
          <w:highlight w:val="white"/>
          <w:lang w:eastAsia="zh-CN"/>
        </w:rPr>
        <w:t>，主要用于基金的市场推广、销售、登记结算等募集期间发生的各项费用。</w:t>
      </w:r>
      <w:r>
        <w:rPr>
          <w:rFonts w:ascii="宋体" w:eastAsia="宋体" w:hAnsi="Calibri" w:hint="eastAsia"/>
        </w:rPr>
        <w:t>认购费率如下表所示：</w:t>
      </w:r>
    </w:p>
    <w:tbl>
      <w:tblPr>
        <w:tblOverlap w:val="never"/>
        <w:tblW w:w="4506" w:type="pct"/>
        <w:jc w:val="center"/>
        <w:tblCellMar>
          <w:left w:w="0" w:type="dxa"/>
          <w:right w:w="0" w:type="dxa"/>
        </w:tblCellMar>
        <w:tblLook w:val="01E0"/>
      </w:tblPr>
      <w:tblGrid>
        <w:gridCol w:w="4113"/>
        <w:gridCol w:w="3388"/>
      </w:tblGrid>
      <w:tr w:rsidR="002A349D">
        <w:trPr>
          <w:trHeight w:hRule="exact" w:val="497"/>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31"/>
              <w:ind w:right="-20"/>
              <w:jc w:val="center"/>
              <w:rPr>
                <w:rFonts w:ascii="宋体" w:eastAsia="宋体" w:hAnsi="Calibri"/>
                <w:szCs w:val="21"/>
              </w:rPr>
            </w:pPr>
            <w:r>
              <w:rPr>
                <w:rFonts w:ascii="宋体" w:eastAsia="宋体" w:hAnsi="Calibri" w:hint="eastAsia"/>
                <w:szCs w:val="21"/>
              </w:rPr>
              <w:t>认购</w:t>
            </w:r>
            <w:r>
              <w:rPr>
                <w:rFonts w:ascii="宋体" w:eastAsia="宋体" w:hAnsi="Calibri" w:hint="eastAsia"/>
                <w:spacing w:val="-2"/>
                <w:szCs w:val="21"/>
              </w:rPr>
              <w:t>份</w:t>
            </w:r>
            <w:r>
              <w:rPr>
                <w:rFonts w:ascii="宋体" w:eastAsia="宋体" w:hAnsi="Calibri" w:hint="eastAsia"/>
                <w:szCs w:val="21"/>
              </w:rPr>
              <w:t>额</w:t>
            </w:r>
            <w:r>
              <w:rPr>
                <w:rFonts w:ascii="宋体" w:eastAsia="宋体" w:hAnsi="Calibri" w:hint="eastAsia"/>
                <w:spacing w:val="-1"/>
                <w:szCs w:val="21"/>
              </w:rPr>
              <w:t>（</w:t>
            </w:r>
            <w:r>
              <w:rPr>
                <w:rFonts w:ascii="宋体" w:eastAsia="宋体" w:hAnsi="Calibri"/>
                <w:spacing w:val="-1"/>
                <w:szCs w:val="21"/>
              </w:rPr>
              <w:t>S</w:t>
            </w:r>
            <w:r>
              <w:rPr>
                <w:rFonts w:ascii="宋体" w:eastAsia="宋体" w:hAnsi="Calibri" w:hint="eastAsia"/>
                <w:szCs w:val="21"/>
              </w:rPr>
              <w:t>）</w:t>
            </w:r>
          </w:p>
        </w:tc>
        <w:tc>
          <w:tcPr>
            <w:tcW w:w="3388"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31"/>
              <w:ind w:left="949" w:right="929"/>
              <w:jc w:val="center"/>
              <w:rPr>
                <w:rFonts w:ascii="宋体" w:eastAsia="宋体" w:hAnsi="Calibri"/>
                <w:szCs w:val="21"/>
              </w:rPr>
            </w:pPr>
            <w:r>
              <w:rPr>
                <w:rFonts w:ascii="宋体" w:eastAsia="宋体" w:hAnsi="Calibri" w:hint="eastAsia"/>
                <w:szCs w:val="21"/>
              </w:rPr>
              <w:t>认购</w:t>
            </w:r>
            <w:r>
              <w:rPr>
                <w:rFonts w:ascii="宋体" w:eastAsia="宋体" w:hAnsi="Calibri" w:hint="eastAsia"/>
                <w:spacing w:val="-2"/>
                <w:szCs w:val="21"/>
              </w:rPr>
              <w:t>费</w:t>
            </w:r>
            <w:r>
              <w:rPr>
                <w:rFonts w:ascii="宋体" w:eastAsia="宋体" w:hAnsi="Calibri" w:hint="eastAsia"/>
                <w:szCs w:val="21"/>
              </w:rPr>
              <w:t>率</w:t>
            </w:r>
          </w:p>
        </w:tc>
      </w:tr>
      <w:tr w:rsidR="002A349D">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28"/>
              <w:ind w:right="-20"/>
              <w:jc w:val="center"/>
              <w:rPr>
                <w:rFonts w:ascii="宋体" w:eastAsia="宋体" w:hAnsi="Calibri"/>
                <w:szCs w:val="21"/>
              </w:rPr>
            </w:pPr>
            <w:r>
              <w:rPr>
                <w:rFonts w:ascii="宋体" w:eastAsia="宋体" w:hAnsi="Calibri" w:hint="eastAsia"/>
                <w:szCs w:val="21"/>
              </w:rPr>
              <w:t>S&lt;50</w:t>
            </w:r>
            <w:r>
              <w:rPr>
                <w:rFonts w:ascii="宋体" w:eastAsia="宋体" w:hAnsi="Calibri"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28"/>
              <w:ind w:right="-20"/>
              <w:jc w:val="center"/>
              <w:rPr>
                <w:rFonts w:ascii="宋体" w:eastAsia="宋体" w:hAnsi="Calibri"/>
                <w:szCs w:val="21"/>
              </w:rPr>
            </w:pPr>
            <w:r>
              <w:rPr>
                <w:rFonts w:ascii="宋体" w:eastAsia="宋体" w:hAnsi="Calibri" w:hint="eastAsia"/>
                <w:szCs w:val="21"/>
              </w:rPr>
              <w:t>0.80%</w:t>
            </w:r>
          </w:p>
        </w:tc>
      </w:tr>
      <w:tr w:rsidR="002A349D">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28"/>
              <w:ind w:right="-20"/>
              <w:jc w:val="center"/>
              <w:rPr>
                <w:rFonts w:ascii="宋体" w:eastAsia="宋体" w:hAnsi="Calibri"/>
                <w:szCs w:val="21"/>
              </w:rPr>
            </w:pPr>
            <w:r>
              <w:rPr>
                <w:rFonts w:ascii="宋体" w:eastAsia="宋体" w:hAnsi="Calibri" w:hint="eastAsia"/>
                <w:szCs w:val="21"/>
              </w:rPr>
              <w:t>50</w:t>
            </w:r>
            <w:r>
              <w:rPr>
                <w:rFonts w:ascii="宋体" w:eastAsia="宋体" w:hAnsi="Calibri" w:hint="eastAsia"/>
                <w:szCs w:val="21"/>
              </w:rPr>
              <w:t>万份≤</w:t>
            </w:r>
            <w:r>
              <w:rPr>
                <w:rFonts w:ascii="宋体" w:eastAsia="宋体" w:hAnsi="Calibri" w:hint="eastAsia"/>
                <w:szCs w:val="21"/>
              </w:rPr>
              <w:t>S&lt;100</w:t>
            </w:r>
            <w:r>
              <w:rPr>
                <w:rFonts w:ascii="宋体" w:eastAsia="宋体" w:hAnsi="Calibri"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28"/>
              <w:ind w:right="-20"/>
              <w:jc w:val="center"/>
              <w:rPr>
                <w:rFonts w:ascii="宋体" w:eastAsia="宋体" w:hAnsi="Calibri"/>
                <w:szCs w:val="21"/>
              </w:rPr>
            </w:pPr>
            <w:r>
              <w:rPr>
                <w:rFonts w:ascii="宋体" w:eastAsia="宋体" w:hAnsi="Calibri" w:hint="eastAsia"/>
                <w:szCs w:val="21"/>
              </w:rPr>
              <w:t>0.50%</w:t>
            </w:r>
          </w:p>
        </w:tc>
      </w:tr>
      <w:tr w:rsidR="002A349D">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28"/>
              <w:ind w:right="-20"/>
              <w:jc w:val="center"/>
              <w:rPr>
                <w:rFonts w:ascii="宋体" w:eastAsia="宋体" w:hAnsi="Calibri"/>
                <w:szCs w:val="21"/>
              </w:rPr>
            </w:pPr>
            <w:r>
              <w:rPr>
                <w:rFonts w:ascii="宋体" w:eastAsia="宋体" w:hAnsi="Calibri" w:hint="eastAsia"/>
                <w:szCs w:val="21"/>
              </w:rPr>
              <w:t>S</w:t>
            </w:r>
            <w:r>
              <w:rPr>
                <w:rFonts w:ascii="宋体" w:eastAsia="宋体" w:hAnsi="Calibri" w:hint="eastAsia"/>
                <w:szCs w:val="21"/>
              </w:rPr>
              <w:t>≥</w:t>
            </w:r>
            <w:r>
              <w:rPr>
                <w:rFonts w:ascii="宋体" w:eastAsia="宋体" w:hAnsi="Calibri" w:hint="eastAsia"/>
                <w:szCs w:val="21"/>
              </w:rPr>
              <w:t>100</w:t>
            </w:r>
            <w:r>
              <w:rPr>
                <w:rFonts w:ascii="宋体" w:eastAsia="宋体" w:hAnsi="Calibri"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652D20" w:rsidRDefault="00916DC1">
            <w:pPr>
              <w:spacing w:before="28"/>
              <w:ind w:right="-20"/>
              <w:jc w:val="center"/>
              <w:rPr>
                <w:rFonts w:ascii="宋体" w:eastAsia="宋体" w:hAnsi="Calibri"/>
                <w:szCs w:val="21"/>
              </w:rPr>
            </w:pPr>
            <w:r>
              <w:rPr>
                <w:rFonts w:ascii="宋体" w:eastAsia="宋体" w:hAnsi="Calibri" w:hint="eastAsia"/>
                <w:szCs w:val="21"/>
              </w:rPr>
              <w:t>1000</w:t>
            </w:r>
            <w:r>
              <w:rPr>
                <w:rFonts w:ascii="宋体" w:eastAsia="宋体" w:hAnsi="Calibri" w:hint="eastAsia"/>
                <w:szCs w:val="21"/>
              </w:rPr>
              <w:t>元</w:t>
            </w:r>
            <w:r>
              <w:rPr>
                <w:rFonts w:ascii="宋体" w:eastAsia="宋体" w:hAnsi="Calibri" w:hint="eastAsia"/>
                <w:szCs w:val="21"/>
              </w:rPr>
              <w:t>/</w:t>
            </w:r>
            <w:r>
              <w:rPr>
                <w:rFonts w:ascii="宋体" w:eastAsia="宋体" w:hAnsi="Calibri" w:hint="eastAsia"/>
                <w:szCs w:val="21"/>
              </w:rPr>
              <w:t>笔</w:t>
            </w:r>
          </w:p>
        </w:tc>
      </w:tr>
    </w:tbl>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通过基金管理人办理网下现金认购时按照上表所示费率收取认购费用。</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通过发售代理机构办理网上现金认购、网下现金认购时可参照上述费率结构，按照不超过</w:t>
      </w:r>
      <w:r>
        <w:rPr>
          <w:rFonts w:ascii="宋体" w:eastAsia="宋体" w:hAnsi="Calibri" w:hint="eastAsia"/>
          <w:lang w:eastAsia="zh-CN"/>
        </w:rPr>
        <w:t>0.80%</w:t>
      </w:r>
      <w:r>
        <w:rPr>
          <w:rFonts w:ascii="宋体" w:eastAsia="宋体" w:hAnsi="Calibri" w:hint="eastAsia"/>
          <w:lang w:eastAsia="zh-CN"/>
        </w:rPr>
        <w:t>的标准收取一定的佣金。</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hint="eastAsia"/>
          <w:lang w:eastAsia="zh-CN"/>
        </w:rPr>
        <w:t>投资者多次提交现金认购申请的，须按每笔认购所对应的费率档次分别计费。</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（十一）网上现金认购</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认购金额的计算</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通过发售代理机构进行网上现金认购的投资人，认购以基金份额申请，认购佣金、认购金额的计算公式为：</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认购佣金＝认购价格×认购份额×佣金比率</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（或若适用固定费用的，认购佣金＝固定费用）</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认购金额＝认购价格×认购份额×（</w:t>
      </w:r>
      <w:r>
        <w:rPr>
          <w:rFonts w:ascii="宋体" w:eastAsia="宋体" w:hAnsi="Calibri" w:hint="eastAsia"/>
          <w:highlight w:val="white"/>
          <w:lang w:eastAsia="zh-CN"/>
        </w:rPr>
        <w:t>1</w:t>
      </w:r>
      <w:r>
        <w:rPr>
          <w:rFonts w:ascii="宋体" w:eastAsia="宋体" w:hAnsi="Calibri" w:hint="eastAsia"/>
          <w:highlight w:val="white"/>
          <w:lang w:eastAsia="zh-CN"/>
        </w:rPr>
        <w:t>＋佣金比率）</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（或若适用固定费用的，认购金额＝认购价格×认购份额</w:t>
      </w:r>
      <w:r>
        <w:rPr>
          <w:rFonts w:ascii="宋体" w:eastAsia="宋体" w:hAnsi="Calibri" w:hint="eastAsia"/>
          <w:highlight w:val="white"/>
          <w:lang w:eastAsia="zh-CN"/>
        </w:rPr>
        <w:t>+</w:t>
      </w:r>
      <w:r>
        <w:rPr>
          <w:rFonts w:ascii="宋体" w:eastAsia="宋体" w:hAnsi="Calibri" w:hint="eastAsia"/>
          <w:highlight w:val="white"/>
          <w:lang w:eastAsia="zh-CN"/>
        </w:rPr>
        <w:t>固定费用）</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认购佣金由发售代理机构向投资人收取，投资人需以现金方式交纳认购佣金。</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例：某投资人通过某发售代理机构以网上现金认购方式认购</w:t>
      </w:r>
      <w:r>
        <w:rPr>
          <w:rFonts w:ascii="宋体" w:eastAsia="宋体" w:hAnsi="Calibri" w:hint="eastAsia"/>
          <w:highlight w:val="white"/>
          <w:lang w:eastAsia="zh-CN"/>
        </w:rPr>
        <w:t>1,000</w:t>
      </w:r>
      <w:r>
        <w:rPr>
          <w:rFonts w:ascii="宋体" w:eastAsia="宋体" w:hAnsi="Calibri" w:hint="eastAsia"/>
          <w:highlight w:val="white"/>
          <w:lang w:eastAsia="zh-CN"/>
        </w:rPr>
        <w:t>份本基金，假设该发售代理机构确认的佣金比率为</w:t>
      </w:r>
      <w:r>
        <w:rPr>
          <w:rFonts w:ascii="宋体" w:eastAsia="宋体" w:hAnsi="Calibri" w:hint="eastAsia"/>
          <w:highlight w:val="white"/>
          <w:lang w:eastAsia="zh-CN"/>
        </w:rPr>
        <w:t>0.80%</w:t>
      </w:r>
      <w:r>
        <w:rPr>
          <w:rFonts w:ascii="宋体" w:eastAsia="宋体" w:hAnsi="Calibri" w:hint="eastAsia"/>
          <w:highlight w:val="white"/>
          <w:lang w:eastAsia="zh-CN"/>
        </w:rPr>
        <w:t>，则投资人需支付的认购佣金和需准备的认购金额计算如下：</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认购佣金＝</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1,000</w:t>
      </w:r>
      <w:r>
        <w:rPr>
          <w:rFonts w:ascii="宋体" w:eastAsia="宋体" w:hAnsi="Calibri" w:hint="eastAsia"/>
          <w:highlight w:val="white"/>
          <w:lang w:eastAsia="zh-CN"/>
        </w:rPr>
        <w:t>×</w:t>
      </w:r>
      <w:r>
        <w:rPr>
          <w:rFonts w:ascii="宋体" w:eastAsia="宋体" w:hAnsi="Calibri" w:hint="eastAsia"/>
          <w:highlight w:val="white"/>
          <w:lang w:eastAsia="zh-CN"/>
        </w:rPr>
        <w:t>0.80%</w:t>
      </w:r>
      <w:r>
        <w:rPr>
          <w:rFonts w:ascii="宋体" w:eastAsia="宋体" w:hAnsi="Calibri" w:hint="eastAsia"/>
          <w:highlight w:val="white"/>
          <w:lang w:eastAsia="zh-CN"/>
        </w:rPr>
        <w:t>＝</w:t>
      </w:r>
      <w:r>
        <w:rPr>
          <w:rFonts w:ascii="宋体" w:eastAsia="宋体" w:hAnsi="Calibri" w:hint="eastAsia"/>
          <w:highlight w:val="white"/>
          <w:lang w:eastAsia="zh-CN"/>
        </w:rPr>
        <w:t>8.00</w:t>
      </w:r>
      <w:r>
        <w:rPr>
          <w:rFonts w:ascii="宋体" w:eastAsia="宋体" w:hAnsi="Calibri" w:hint="eastAsia"/>
          <w:highlight w:val="white"/>
          <w:lang w:eastAsia="zh-CN"/>
        </w:rPr>
        <w:t>元</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认购金额＝</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1,000</w:t>
      </w:r>
      <w:r>
        <w:rPr>
          <w:rFonts w:ascii="宋体" w:eastAsia="宋体" w:hAnsi="Calibri" w:hint="eastAsia"/>
          <w:highlight w:val="white"/>
          <w:lang w:eastAsia="zh-CN"/>
        </w:rPr>
        <w:t>×（</w:t>
      </w:r>
      <w:r>
        <w:rPr>
          <w:rFonts w:ascii="宋体" w:eastAsia="宋体" w:hAnsi="Calibri" w:hint="eastAsia"/>
          <w:highlight w:val="white"/>
          <w:lang w:eastAsia="zh-CN"/>
        </w:rPr>
        <w:t>1+0.80%</w:t>
      </w:r>
      <w:r>
        <w:rPr>
          <w:rFonts w:ascii="宋体" w:eastAsia="宋体" w:hAnsi="Calibri" w:hint="eastAsia"/>
          <w:highlight w:val="white"/>
          <w:lang w:eastAsia="zh-CN"/>
        </w:rPr>
        <w:t>）＝</w:t>
      </w:r>
      <w:r>
        <w:rPr>
          <w:rFonts w:ascii="宋体" w:eastAsia="宋体" w:hAnsi="Calibri" w:hint="eastAsia"/>
          <w:highlight w:val="white"/>
          <w:lang w:eastAsia="zh-CN"/>
        </w:rPr>
        <w:t>1,008.00</w:t>
      </w:r>
      <w:r>
        <w:rPr>
          <w:rFonts w:ascii="宋体" w:eastAsia="宋体" w:hAnsi="Calibri" w:hint="eastAsia"/>
          <w:highlight w:val="white"/>
          <w:lang w:eastAsia="zh-CN"/>
        </w:rPr>
        <w:t>元</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即假设该发售代理机构确认的佣金比率为</w:t>
      </w:r>
      <w:r>
        <w:rPr>
          <w:rFonts w:ascii="宋体" w:eastAsia="宋体" w:hAnsi="Calibri" w:hint="eastAsia"/>
          <w:highlight w:val="white"/>
          <w:lang w:eastAsia="zh-CN"/>
        </w:rPr>
        <w:t>0.80%</w:t>
      </w:r>
      <w:r>
        <w:rPr>
          <w:rFonts w:ascii="宋体" w:eastAsia="宋体" w:hAnsi="Calibri" w:hint="eastAsia"/>
          <w:highlight w:val="white"/>
          <w:lang w:eastAsia="zh-CN"/>
        </w:rPr>
        <w:t>，投资人需准备</w:t>
      </w:r>
      <w:r>
        <w:rPr>
          <w:rFonts w:ascii="宋体" w:eastAsia="宋体" w:hAnsi="Calibri" w:hint="eastAsia"/>
          <w:highlight w:val="white"/>
          <w:lang w:eastAsia="zh-CN"/>
        </w:rPr>
        <w:t>1,008.00</w:t>
      </w:r>
      <w:r>
        <w:rPr>
          <w:rFonts w:ascii="宋体" w:eastAsia="宋体" w:hAnsi="Calibri" w:hint="eastAsia"/>
          <w:highlight w:val="white"/>
          <w:lang w:eastAsia="zh-CN"/>
        </w:rPr>
        <w:t>元资金，方可认购到</w:t>
      </w:r>
      <w:r>
        <w:rPr>
          <w:rFonts w:ascii="宋体" w:eastAsia="宋体" w:hAnsi="Calibri" w:hint="eastAsia"/>
          <w:highlight w:val="white"/>
          <w:lang w:eastAsia="zh-CN"/>
        </w:rPr>
        <w:t>1,000</w:t>
      </w:r>
      <w:r>
        <w:rPr>
          <w:rFonts w:ascii="宋体" w:eastAsia="宋体" w:hAnsi="Calibri" w:hint="eastAsia"/>
          <w:highlight w:val="white"/>
          <w:lang w:eastAsia="zh-CN"/>
        </w:rPr>
        <w:t>份本基金基金份额。</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认购限额</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网上现金认购以基金份额申请。单一账户每笔认购份额需为</w:t>
      </w:r>
      <w:r>
        <w:rPr>
          <w:rFonts w:ascii="宋体" w:eastAsia="宋体" w:hAnsi="Calibri" w:hint="eastAsia"/>
          <w:highlight w:val="white"/>
          <w:lang w:eastAsia="zh-CN"/>
        </w:rPr>
        <w:t>1,000</w:t>
      </w:r>
      <w:r>
        <w:rPr>
          <w:rFonts w:ascii="宋体" w:eastAsia="宋体" w:hAnsi="Calibri" w:hint="eastAsia"/>
          <w:highlight w:val="white"/>
          <w:lang w:eastAsia="zh-CN"/>
        </w:rPr>
        <w:t>份或其整数倍，最高不得超过</w:t>
      </w:r>
      <w:r>
        <w:rPr>
          <w:rFonts w:ascii="宋体" w:eastAsia="宋体" w:hAnsi="Calibri" w:hint="eastAsia"/>
          <w:highlight w:val="white"/>
          <w:lang w:eastAsia="zh-CN"/>
        </w:rPr>
        <w:t>99,999,000</w:t>
      </w:r>
      <w:r>
        <w:rPr>
          <w:rFonts w:ascii="宋体" w:eastAsia="宋体" w:hAnsi="Calibri" w:hint="eastAsia"/>
          <w:highlight w:val="white"/>
          <w:lang w:eastAsia="zh-CN"/>
        </w:rPr>
        <w:t>份。投资人可以多次认购，单个投资人的累计认购份额不设上限，但需符合相关法律法规、业务规则以及本基金发售规模控制方案的规定。</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hint="eastAsia"/>
          <w:lang w:eastAsia="zh-CN"/>
        </w:rPr>
        <w:t>认购申请</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投资人在认购本基金时，需按发售代理机构的规定，备足认购资金，办理认购手续。网上现金认购申请提交后，投资人可以在当日交易时间内撤销指定的认购申请。</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4.</w:t>
      </w:r>
      <w:r>
        <w:rPr>
          <w:rFonts w:ascii="宋体" w:eastAsia="宋体" w:hAnsi="Calibri" w:hint="eastAsia"/>
          <w:lang w:eastAsia="zh-CN"/>
        </w:rPr>
        <w:t>清算交收</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T</w:t>
      </w:r>
      <w:r>
        <w:rPr>
          <w:rFonts w:ascii="宋体" w:eastAsia="宋体" w:hAnsi="Calibri" w:hint="eastAsia"/>
          <w:highlight w:val="white"/>
          <w:lang w:eastAsia="zh-CN"/>
        </w:rPr>
        <w:t>日通过发售代理机构提交的网上现金认购申请，由该发售代理机构冻结相应的认购资金，登记结算机构</w:t>
      </w:r>
      <w:r>
        <w:rPr>
          <w:rFonts w:ascii="宋体" w:eastAsia="宋体" w:hAnsi="Calibri" w:hint="eastAsia"/>
          <w:highlight w:val="white"/>
          <w:lang w:eastAsia="zh-CN"/>
        </w:rPr>
        <w:t>进行清算交收，并将有效认购数据发送发售协调人，发售协调人于网上现金认购结束后的</w:t>
      </w:r>
      <w:r>
        <w:rPr>
          <w:rFonts w:ascii="宋体" w:eastAsia="宋体" w:hAnsi="Calibri" w:hint="eastAsia"/>
          <w:highlight w:val="white"/>
          <w:lang w:eastAsia="zh-CN"/>
        </w:rPr>
        <w:t>4</w:t>
      </w:r>
      <w:r>
        <w:rPr>
          <w:rFonts w:ascii="宋体" w:eastAsia="宋体" w:hAnsi="Calibri" w:hint="eastAsia"/>
          <w:highlight w:val="white"/>
          <w:lang w:eastAsia="zh-CN"/>
        </w:rPr>
        <w:t>个工作日内将实际到位的认购资金划往基金募集专户。</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5.</w:t>
      </w:r>
      <w:r>
        <w:rPr>
          <w:rFonts w:ascii="宋体" w:eastAsia="宋体" w:hAnsi="Calibri" w:hint="eastAsia"/>
          <w:lang w:eastAsia="zh-CN"/>
        </w:rPr>
        <w:t>认购确认</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在基金合同生效后，投资人应通过其办理认购的销售网点或以其提供的其他方式查询认购确认情况。</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（十二）网下现金认购</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认购金额和利息折算的份额的计算</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w:t>
      </w:r>
      <w:r>
        <w:rPr>
          <w:rFonts w:ascii="宋体" w:eastAsia="宋体" w:hAnsi="Calibri" w:hint="eastAsia"/>
          <w:highlight w:val="white"/>
          <w:lang w:eastAsia="zh-CN"/>
        </w:rPr>
        <w:t>1</w:t>
      </w:r>
      <w:r>
        <w:rPr>
          <w:rFonts w:ascii="宋体" w:eastAsia="宋体" w:hAnsi="Calibri" w:hint="eastAsia"/>
          <w:highlight w:val="white"/>
          <w:lang w:eastAsia="zh-CN"/>
        </w:rPr>
        <w:t>）通过基金管理人进行网下现金认购的投资人，认购以基金份额申请，认购费用和认购金额的计算公式为：</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认购费用＝认购价格×认购份额×认购费率</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（或若适用固定费用的，认购费用＝固定费用）</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认购金额＝认购价格×认购份额×（</w:t>
      </w:r>
      <w:r>
        <w:rPr>
          <w:rFonts w:ascii="宋体" w:eastAsia="宋体" w:hAnsi="Calibri" w:hint="eastAsia"/>
          <w:highlight w:val="white"/>
          <w:lang w:eastAsia="zh-CN"/>
        </w:rPr>
        <w:t>1</w:t>
      </w:r>
      <w:r>
        <w:rPr>
          <w:rFonts w:ascii="宋体" w:eastAsia="宋体" w:hAnsi="Calibri" w:hint="eastAsia"/>
          <w:highlight w:val="white"/>
          <w:lang w:eastAsia="zh-CN"/>
        </w:rPr>
        <w:t>＋</w:t>
      </w:r>
      <w:r>
        <w:rPr>
          <w:rFonts w:ascii="宋体" w:eastAsia="宋体" w:hAnsi="Calibri" w:hint="eastAsia"/>
          <w:highlight w:val="white"/>
          <w:lang w:eastAsia="zh-CN"/>
        </w:rPr>
        <w:t>认购费率）</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（或若适用固定费用的，认购金额＝认购价格×认购份额</w:t>
      </w:r>
      <w:r>
        <w:rPr>
          <w:rFonts w:ascii="宋体" w:eastAsia="宋体" w:hAnsi="Calibri" w:hint="eastAsia"/>
          <w:highlight w:val="white"/>
          <w:lang w:eastAsia="zh-CN"/>
        </w:rPr>
        <w:t>+</w:t>
      </w:r>
      <w:r>
        <w:rPr>
          <w:rFonts w:ascii="宋体" w:eastAsia="宋体" w:hAnsi="Calibri" w:hint="eastAsia"/>
          <w:highlight w:val="white"/>
          <w:lang w:eastAsia="zh-CN"/>
        </w:rPr>
        <w:t>固定费用）</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净认购份额＝认购份额＋认购金额产生的利息</w:t>
      </w:r>
      <w:r>
        <w:rPr>
          <w:rFonts w:ascii="宋体" w:eastAsia="宋体" w:hAnsi="Calibri" w:hint="eastAsia"/>
          <w:highlight w:val="white"/>
          <w:lang w:eastAsia="zh-CN"/>
        </w:rPr>
        <w:t>/</w:t>
      </w:r>
      <w:r>
        <w:rPr>
          <w:rFonts w:ascii="宋体" w:eastAsia="宋体" w:hAnsi="Calibri" w:hint="eastAsia"/>
          <w:highlight w:val="white"/>
          <w:lang w:eastAsia="zh-CN"/>
        </w:rPr>
        <w:t>认购价格</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认购费用由基金管理人向投资人收取，投资人需以现金方式交纳认购费用。</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有效认购款项在募集期间产生的利息将折算为基金份额归基金份额持有人所有，具体份额以基金管理人的记录为准。利息折算的份额保留至整数位，小数部分舍去，舍去部分计入基金财产。</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例：某投资人通过基金管理人以网下现金认购方式认购本基金</w:t>
      </w:r>
      <w:r>
        <w:rPr>
          <w:rFonts w:ascii="宋体" w:eastAsia="宋体" w:hAnsi="Calibri" w:hint="eastAsia"/>
          <w:highlight w:val="white"/>
          <w:lang w:eastAsia="zh-CN"/>
        </w:rPr>
        <w:t>800,000</w:t>
      </w:r>
      <w:r>
        <w:rPr>
          <w:rFonts w:ascii="宋体" w:eastAsia="宋体" w:hAnsi="Calibri" w:hint="eastAsia"/>
          <w:highlight w:val="white"/>
          <w:lang w:eastAsia="zh-CN"/>
        </w:rPr>
        <w:t>份，认购费率为</w:t>
      </w:r>
      <w:r>
        <w:rPr>
          <w:rFonts w:ascii="宋体" w:eastAsia="宋体" w:hAnsi="Calibri" w:hint="eastAsia"/>
          <w:highlight w:val="white"/>
          <w:lang w:eastAsia="zh-CN"/>
        </w:rPr>
        <w:t>0.50%</w:t>
      </w:r>
      <w:r>
        <w:rPr>
          <w:rFonts w:ascii="宋体" w:eastAsia="宋体" w:hAnsi="Calibri" w:hint="eastAsia"/>
          <w:highlight w:val="white"/>
          <w:lang w:eastAsia="zh-CN"/>
        </w:rPr>
        <w:t>，假定认购金额产生的利息为</w:t>
      </w:r>
      <w:r>
        <w:rPr>
          <w:rFonts w:ascii="宋体" w:eastAsia="宋体" w:hAnsi="Calibri" w:hint="eastAsia"/>
          <w:highlight w:val="white"/>
          <w:lang w:eastAsia="zh-CN"/>
        </w:rPr>
        <w:t>10</w:t>
      </w:r>
      <w:r>
        <w:rPr>
          <w:rFonts w:ascii="宋体" w:eastAsia="宋体" w:hAnsi="Calibri" w:hint="eastAsia"/>
          <w:highlight w:val="white"/>
          <w:lang w:eastAsia="zh-CN"/>
        </w:rPr>
        <w:t>元，则投资人需支付的认购费用和需准备的认购金额计算如下：</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认购费用＝</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800,000</w:t>
      </w:r>
      <w:r>
        <w:rPr>
          <w:rFonts w:ascii="宋体" w:eastAsia="宋体" w:hAnsi="Calibri" w:hint="eastAsia"/>
          <w:highlight w:val="white"/>
          <w:lang w:eastAsia="zh-CN"/>
        </w:rPr>
        <w:t>×</w:t>
      </w:r>
      <w:r>
        <w:rPr>
          <w:rFonts w:ascii="宋体" w:eastAsia="宋体" w:hAnsi="Calibri" w:hint="eastAsia"/>
          <w:highlight w:val="white"/>
          <w:lang w:eastAsia="zh-CN"/>
        </w:rPr>
        <w:t>0.50%=4,000</w:t>
      </w:r>
      <w:r>
        <w:rPr>
          <w:rFonts w:ascii="宋体" w:eastAsia="宋体" w:hAnsi="Calibri" w:hint="eastAsia"/>
          <w:highlight w:val="white"/>
          <w:lang w:eastAsia="zh-CN"/>
        </w:rPr>
        <w:t>元</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认购金额＝</w:t>
      </w:r>
      <w:r>
        <w:rPr>
          <w:rFonts w:ascii="宋体" w:eastAsia="宋体" w:hAnsi="Calibri" w:hint="eastAsia"/>
          <w:highlight w:val="white"/>
          <w:lang w:eastAsia="zh-CN"/>
        </w:rPr>
        <w:t>1.00</w:t>
      </w:r>
      <w:r>
        <w:rPr>
          <w:rFonts w:ascii="宋体" w:eastAsia="宋体" w:hAnsi="Calibri" w:hint="eastAsia"/>
          <w:highlight w:val="white"/>
          <w:lang w:eastAsia="zh-CN"/>
        </w:rPr>
        <w:t>×</w:t>
      </w:r>
      <w:r>
        <w:rPr>
          <w:rFonts w:ascii="宋体" w:eastAsia="宋体" w:hAnsi="Calibri" w:hint="eastAsia"/>
          <w:highlight w:val="white"/>
          <w:lang w:eastAsia="zh-CN"/>
        </w:rPr>
        <w:t>800,000</w:t>
      </w:r>
      <w:r>
        <w:rPr>
          <w:rFonts w:ascii="宋体" w:eastAsia="宋体" w:hAnsi="Calibri" w:hint="eastAsia"/>
          <w:highlight w:val="white"/>
          <w:lang w:eastAsia="zh-CN"/>
        </w:rPr>
        <w:t>×（</w:t>
      </w:r>
      <w:r>
        <w:rPr>
          <w:rFonts w:ascii="宋体" w:eastAsia="宋体" w:hAnsi="Calibri" w:hint="eastAsia"/>
          <w:highlight w:val="white"/>
          <w:lang w:eastAsia="zh-CN"/>
        </w:rPr>
        <w:t>1</w:t>
      </w:r>
      <w:r>
        <w:rPr>
          <w:rFonts w:ascii="宋体" w:eastAsia="宋体" w:hAnsi="Calibri" w:hint="eastAsia"/>
          <w:highlight w:val="white"/>
          <w:lang w:eastAsia="zh-CN"/>
        </w:rPr>
        <w:t>＋</w:t>
      </w:r>
      <w:r>
        <w:rPr>
          <w:rFonts w:ascii="宋体" w:eastAsia="宋体" w:hAnsi="Calibri" w:hint="eastAsia"/>
          <w:highlight w:val="white"/>
          <w:lang w:eastAsia="zh-CN"/>
        </w:rPr>
        <w:t>0.50%</w:t>
      </w:r>
      <w:r>
        <w:rPr>
          <w:rFonts w:ascii="宋体" w:eastAsia="宋体" w:hAnsi="Calibri" w:hint="eastAsia"/>
          <w:highlight w:val="white"/>
          <w:lang w:eastAsia="zh-CN"/>
        </w:rPr>
        <w:t>）</w:t>
      </w:r>
      <w:r>
        <w:rPr>
          <w:rFonts w:ascii="宋体" w:eastAsia="宋体" w:hAnsi="Calibri" w:hint="eastAsia"/>
          <w:highlight w:val="white"/>
          <w:lang w:eastAsia="zh-CN"/>
        </w:rPr>
        <w:t>=804,000</w:t>
      </w:r>
      <w:r>
        <w:rPr>
          <w:rFonts w:ascii="宋体" w:eastAsia="宋体" w:hAnsi="Calibri" w:hint="eastAsia"/>
          <w:highlight w:val="white"/>
          <w:lang w:eastAsia="zh-CN"/>
        </w:rPr>
        <w:t>元</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该投资人所得认购份额为：净认购份额＝</w:t>
      </w:r>
      <w:r>
        <w:rPr>
          <w:rFonts w:ascii="宋体" w:eastAsia="宋体" w:hAnsi="Calibri" w:hint="eastAsia"/>
          <w:highlight w:val="white"/>
          <w:lang w:eastAsia="zh-CN"/>
        </w:rPr>
        <w:t>800,000+10/1.00=800,010</w:t>
      </w:r>
      <w:r>
        <w:rPr>
          <w:rFonts w:ascii="宋体" w:eastAsia="宋体" w:hAnsi="Calibri" w:hint="eastAsia"/>
          <w:highlight w:val="white"/>
          <w:lang w:eastAsia="zh-CN"/>
        </w:rPr>
        <w:t>份</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即，若该投资人通过基金管理人网下现金认购本基金</w:t>
      </w:r>
      <w:r>
        <w:rPr>
          <w:rFonts w:ascii="宋体" w:eastAsia="宋体" w:hAnsi="Calibri" w:hint="eastAsia"/>
          <w:highlight w:val="white"/>
          <w:lang w:eastAsia="zh-CN"/>
        </w:rPr>
        <w:t>800,000</w:t>
      </w:r>
      <w:r>
        <w:rPr>
          <w:rFonts w:ascii="宋体" w:eastAsia="宋体" w:hAnsi="Calibri" w:hint="eastAsia"/>
          <w:highlight w:val="white"/>
          <w:lang w:eastAsia="zh-CN"/>
        </w:rPr>
        <w:t>份，则该投资人的认购金额为</w:t>
      </w:r>
      <w:r>
        <w:rPr>
          <w:rFonts w:ascii="宋体" w:eastAsia="宋体" w:hAnsi="Calibri" w:hint="eastAsia"/>
          <w:highlight w:val="white"/>
          <w:lang w:eastAsia="zh-CN"/>
        </w:rPr>
        <w:t>804,000</w:t>
      </w:r>
      <w:r>
        <w:rPr>
          <w:rFonts w:ascii="宋体" w:eastAsia="宋体" w:hAnsi="Calibri" w:hint="eastAsia"/>
          <w:highlight w:val="white"/>
          <w:lang w:eastAsia="zh-CN"/>
        </w:rPr>
        <w:t>元，假定该</w:t>
      </w:r>
      <w:r>
        <w:rPr>
          <w:rFonts w:ascii="宋体" w:eastAsia="宋体" w:hAnsi="Calibri" w:hint="eastAsia"/>
          <w:highlight w:val="white"/>
          <w:lang w:eastAsia="zh-CN"/>
        </w:rPr>
        <w:t>笔认购金额产生利息</w:t>
      </w:r>
      <w:r>
        <w:rPr>
          <w:rFonts w:ascii="宋体" w:eastAsia="宋体" w:hAnsi="Calibri" w:hint="eastAsia"/>
          <w:highlight w:val="white"/>
          <w:lang w:eastAsia="zh-CN"/>
        </w:rPr>
        <w:t>10</w:t>
      </w:r>
      <w:r>
        <w:rPr>
          <w:rFonts w:ascii="宋体" w:eastAsia="宋体" w:hAnsi="Calibri" w:hint="eastAsia"/>
          <w:highlight w:val="white"/>
          <w:lang w:eastAsia="zh-CN"/>
        </w:rPr>
        <w:t>元，则可得到</w:t>
      </w:r>
      <w:r>
        <w:rPr>
          <w:rFonts w:ascii="宋体" w:eastAsia="宋体" w:hAnsi="Calibri" w:hint="eastAsia"/>
          <w:highlight w:val="white"/>
          <w:lang w:eastAsia="zh-CN"/>
        </w:rPr>
        <w:t>800,010</w:t>
      </w:r>
      <w:r>
        <w:rPr>
          <w:rFonts w:ascii="宋体" w:eastAsia="宋体" w:hAnsi="Calibri" w:hint="eastAsia"/>
          <w:highlight w:val="white"/>
          <w:lang w:eastAsia="zh-CN"/>
        </w:rPr>
        <w:t>份基金份额。</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w:t>
      </w:r>
      <w:r>
        <w:rPr>
          <w:rFonts w:ascii="宋体" w:eastAsia="宋体" w:hAnsi="Calibri" w:hint="eastAsia"/>
          <w:highlight w:val="white"/>
          <w:lang w:eastAsia="zh-CN"/>
        </w:rPr>
        <w:t>2</w:t>
      </w:r>
      <w:r>
        <w:rPr>
          <w:rFonts w:ascii="宋体" w:eastAsia="宋体" w:hAnsi="Calibri" w:hint="eastAsia"/>
          <w:highlight w:val="white"/>
          <w:lang w:eastAsia="zh-CN"/>
        </w:rPr>
        <w:t>）通过发售代理机构进行网下现金认购的投资人，认购佣金和认购金额的计算同通过发售代理机构进行网上现金认购的计算。</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认购限额</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网下现金认购以基金份额申请。投资人通过发售代理机构办理网下现金认购的，每笔认购份额须为</w:t>
      </w:r>
      <w:r>
        <w:rPr>
          <w:rFonts w:ascii="宋体" w:eastAsia="宋体" w:hAnsi="Calibri" w:hint="eastAsia"/>
          <w:highlight w:val="white"/>
          <w:lang w:eastAsia="zh-CN"/>
        </w:rPr>
        <w:t>1,000</w:t>
      </w:r>
      <w:r>
        <w:rPr>
          <w:rFonts w:ascii="宋体" w:eastAsia="宋体" w:hAnsi="Calibri" w:hint="eastAsia"/>
          <w:highlight w:val="white"/>
          <w:lang w:eastAsia="zh-CN"/>
        </w:rPr>
        <w:t>份或其整数倍；投资人通过基金管理人办理网下现金认购的，每笔认购份额须在</w:t>
      </w:r>
      <w:r>
        <w:rPr>
          <w:rFonts w:ascii="宋体" w:eastAsia="宋体" w:hAnsi="Calibri" w:hint="eastAsia"/>
          <w:highlight w:val="white"/>
          <w:lang w:eastAsia="zh-CN"/>
        </w:rPr>
        <w:t>10</w:t>
      </w:r>
      <w:r>
        <w:rPr>
          <w:rFonts w:ascii="宋体" w:eastAsia="宋体" w:hAnsi="Calibri" w:hint="eastAsia"/>
          <w:highlight w:val="white"/>
          <w:lang w:eastAsia="zh-CN"/>
        </w:rPr>
        <w:t>万份以上（含</w:t>
      </w:r>
      <w:r>
        <w:rPr>
          <w:rFonts w:ascii="宋体" w:eastAsia="宋体" w:hAnsi="Calibri" w:hint="eastAsia"/>
          <w:highlight w:val="white"/>
          <w:lang w:eastAsia="zh-CN"/>
        </w:rPr>
        <w:t>10</w:t>
      </w:r>
      <w:r>
        <w:rPr>
          <w:rFonts w:ascii="宋体" w:eastAsia="宋体" w:hAnsi="Calibri" w:hint="eastAsia"/>
          <w:highlight w:val="white"/>
          <w:lang w:eastAsia="zh-CN"/>
        </w:rPr>
        <w:t>万份）。投资人可以多次认购，单个投资人的累计认购份额不设上限，但需符合相关法律法规、业务规则以及本基金发售规模控制方案的规定。</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hint="eastAsia"/>
          <w:lang w:eastAsia="zh-CN"/>
        </w:rPr>
        <w:t>认</w:t>
      </w:r>
      <w:r>
        <w:rPr>
          <w:rFonts w:ascii="宋体" w:eastAsia="宋体" w:hAnsi="Calibri" w:hint="eastAsia"/>
          <w:lang w:eastAsia="zh-CN"/>
        </w:rPr>
        <w:t>购手续</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投资人在认购本基金时，需按销售机构的规定，到销售网点办理相关认购手续，并备足认购资金。网下现金认购申请提交后如需撤销以销售机构的规定为准。</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4.</w:t>
      </w:r>
      <w:r>
        <w:rPr>
          <w:rFonts w:ascii="宋体" w:eastAsia="宋体" w:hAnsi="Calibri" w:hint="eastAsia"/>
          <w:lang w:eastAsia="zh-CN"/>
        </w:rPr>
        <w:t>清算交收</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T</w:t>
      </w:r>
      <w:r>
        <w:rPr>
          <w:rFonts w:ascii="宋体" w:eastAsia="宋体" w:hAnsi="Calibri" w:hint="eastAsia"/>
          <w:highlight w:val="white"/>
          <w:lang w:eastAsia="zh-CN"/>
        </w:rPr>
        <w:t>日通过基金管理人提交的网下现金认购申请，由基金管理人进行有效认购款项的清算交收，及时将认购款项划往基金募集专户。其中，现金认购款项在募集期内产生的利息将折算为基金份额归基金份额持有人所有。</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T</w:t>
      </w:r>
      <w:r>
        <w:rPr>
          <w:rFonts w:ascii="宋体" w:eastAsia="宋体" w:hAnsi="Calibri" w:hint="eastAsia"/>
          <w:highlight w:val="white"/>
          <w:lang w:eastAsia="zh-CN"/>
        </w:rPr>
        <w:t>日通过发售代理机构提交的网下现金认购申请，由该发售代理机构冻结相应的认购资金。在网下现金认购期内，各发售代理机构将每一个投资人账户提交的网下现金认购申请汇总</w:t>
      </w:r>
      <w:r>
        <w:rPr>
          <w:rFonts w:ascii="宋体" w:eastAsia="宋体" w:hAnsi="Calibri" w:hint="eastAsia"/>
          <w:highlight w:val="white"/>
          <w:lang w:eastAsia="zh-CN"/>
        </w:rPr>
        <w:t>后，通过上海证券交易所网上系统代该投资人提交网上现金认购申请。之后，登记结算机构进行清算交收，并将有效认购数据发送发售协调人，发售协调人将实际到位的认购资金划往基金募集专户。</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5.</w:t>
      </w:r>
      <w:r>
        <w:rPr>
          <w:rFonts w:ascii="宋体" w:eastAsia="宋体" w:hAnsi="Calibri" w:hint="eastAsia"/>
          <w:lang w:eastAsia="zh-CN"/>
        </w:rPr>
        <w:t>认购确认</w:t>
      </w:r>
    </w:p>
    <w:p w:rsidR="00652D20" w:rsidRDefault="00916DC1">
      <w:pPr>
        <w:spacing w:line="360" w:lineRule="auto"/>
        <w:ind w:firstLine="420"/>
        <w:rPr>
          <w:rFonts w:ascii="宋体" w:eastAsia="宋体" w:hAnsi="Calibri"/>
          <w:lang w:eastAsia="zh-CN"/>
        </w:rPr>
      </w:pPr>
      <w:r>
        <w:rPr>
          <w:rFonts w:ascii="宋体" w:eastAsia="宋体" w:hAnsi="Calibri" w:hint="eastAsia"/>
          <w:highlight w:val="white"/>
          <w:lang w:eastAsia="zh-CN"/>
        </w:rPr>
        <w:t>在基金合同生效后，投资人应通过其办理认购的销售网点或以其提供的其他方式查询认购确认情况。</w:t>
      </w:r>
    </w:p>
    <w:p w:rsidR="00652D20" w:rsidRDefault="00652D20">
      <w:pPr>
        <w:spacing w:line="360" w:lineRule="auto"/>
        <w:ind w:firstLine="420"/>
        <w:rPr>
          <w:rFonts w:ascii="宋体" w:eastAsia="宋体" w:hAnsi="Calibri"/>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二</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发售方式及相关规定</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（一）本基金在发售期内面向个人和机构投资人同时发售。</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（二）本公司直销网点接受单笔认购份额在</w:t>
      </w:r>
      <w:r>
        <w:rPr>
          <w:rFonts w:ascii="宋体" w:eastAsia="宋体" w:hAnsi="Calibri" w:hint="eastAsia"/>
          <w:lang w:eastAsia="zh-CN"/>
        </w:rPr>
        <w:t>10</w:t>
      </w:r>
      <w:r>
        <w:rPr>
          <w:rFonts w:ascii="宋体" w:eastAsia="宋体" w:hAnsi="Calibri" w:hint="eastAsia"/>
          <w:lang w:eastAsia="zh-CN"/>
        </w:rPr>
        <w:t>万份以上（含</w:t>
      </w:r>
      <w:r>
        <w:rPr>
          <w:rFonts w:ascii="宋体" w:eastAsia="宋体" w:hAnsi="Calibri" w:hint="eastAsia"/>
          <w:lang w:eastAsia="zh-CN"/>
        </w:rPr>
        <w:t>10</w:t>
      </w:r>
      <w:r>
        <w:rPr>
          <w:rFonts w:ascii="宋体" w:eastAsia="宋体" w:hAnsi="Calibri" w:hint="eastAsia"/>
          <w:lang w:eastAsia="zh-CN"/>
        </w:rPr>
        <w:t>万份）的投资人的网下现金认购本基金的申请。</w:t>
      </w:r>
    </w:p>
    <w:p w:rsidR="00652D20" w:rsidRDefault="00916DC1">
      <w:pPr>
        <w:spacing w:line="360" w:lineRule="auto"/>
        <w:ind w:firstLine="420"/>
        <w:rPr>
          <w:rFonts w:ascii="宋体" w:eastAsia="宋体" w:hAnsi="Calibri"/>
          <w:lang w:eastAsia="zh-CN"/>
        </w:rPr>
      </w:pPr>
      <w:r>
        <w:rPr>
          <w:rFonts w:ascii="宋体" w:eastAsia="宋体" w:hAnsi="Calibri" w:hint="eastAsia"/>
          <w:lang w:eastAsia="zh-CN"/>
        </w:rPr>
        <w:t>（三）发售代理机构的代销网点接受投资人（不分机构和个人）单笔认购份额为</w:t>
      </w:r>
      <w:r>
        <w:rPr>
          <w:rFonts w:ascii="宋体" w:eastAsia="宋体" w:hAnsi="Calibri" w:hint="eastAsia"/>
          <w:lang w:eastAsia="zh-CN"/>
        </w:rPr>
        <w:t>1,000</w:t>
      </w:r>
      <w:r>
        <w:rPr>
          <w:rFonts w:ascii="宋体" w:eastAsia="宋体" w:hAnsi="Calibri" w:hint="eastAsia"/>
          <w:lang w:eastAsia="zh-CN"/>
        </w:rPr>
        <w:t>份或其整数倍的网上现金认购（最高不得超过</w:t>
      </w:r>
      <w:r>
        <w:rPr>
          <w:rFonts w:ascii="宋体" w:eastAsia="宋体" w:hAnsi="Calibri" w:hint="eastAsia"/>
          <w:lang w:eastAsia="zh-CN"/>
        </w:rPr>
        <w:t>99,999,000</w:t>
      </w:r>
      <w:r>
        <w:rPr>
          <w:rFonts w:ascii="宋体" w:eastAsia="宋体" w:hAnsi="Calibri" w:hint="eastAsia"/>
          <w:lang w:eastAsia="zh-CN"/>
        </w:rPr>
        <w:t>份）、网下现金认购本基金的申请。</w:t>
      </w:r>
    </w:p>
    <w:p w:rsidR="00652D20" w:rsidRDefault="00916DC1">
      <w:pPr>
        <w:spacing w:line="360" w:lineRule="auto"/>
        <w:ind w:firstLine="420"/>
        <w:rPr>
          <w:rFonts w:ascii="宋体" w:eastAsia="宋体" w:hAnsi="Calibri"/>
          <w:highlight w:val="white"/>
          <w:lang w:eastAsia="zh-CN"/>
        </w:rPr>
      </w:pPr>
      <w:r>
        <w:rPr>
          <w:rFonts w:ascii="宋体" w:eastAsia="宋体" w:hAnsi="Calibri" w:hint="eastAsia"/>
          <w:lang w:eastAsia="zh-CN"/>
        </w:rPr>
        <w:t>（四）发售期内投资人可以多次认购本基金。</w:t>
      </w:r>
    </w:p>
    <w:p w:rsidR="00652D20" w:rsidRDefault="00652D20">
      <w:pPr>
        <w:snapToGrid w:val="0"/>
        <w:spacing w:line="360" w:lineRule="auto"/>
        <w:rPr>
          <w:rStyle w:val="big1"/>
          <w:rFonts w:ascii="宋体" w:eastAsia="宋体" w:hAnsi="Calibri"/>
          <w:b/>
          <w:bCs/>
          <w:sz w:val="21"/>
          <w:szCs w:val="21"/>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三</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投资者开户</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投资者认购本基金时需具有上海证券交易所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已有上海证券交易所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股账户或上海证券交易所证券投资基金账户的投资者不必再办理开户手续。</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尚无上海证券交易所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股账户或上海证券交易所证券投资基金账户的投资者，需在认购前持相关身份证明文件到中国证券登记结算有限责任公司上海分公司的开户代理机构办理上海证券交易所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股账户或上海证券交易所证券投资基金账户的开户手续。有关开设上海证券交易所</w:t>
      </w:r>
      <w:r>
        <w:rPr>
          <w:rFonts w:ascii="宋体" w:eastAsia="宋体" w:hAnsi="Calibri" w:hint="eastAsia"/>
          <w:lang w:eastAsia="zh-CN"/>
        </w:rPr>
        <w:t>A</w:t>
      </w:r>
      <w:r>
        <w:rPr>
          <w:rFonts w:ascii="宋体" w:eastAsia="宋体" w:hAnsi="Calibri" w:hint="eastAsia"/>
          <w:lang w:eastAsia="zh-CN"/>
        </w:rPr>
        <w:t>股账户和上海证券交易所证券投资基金账户的具体程序和办法，请到各开户网点详细咨询有关规定。</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账户使用注意事项：</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如投资者需要参与网下现金或网上现金认购，应使用上海证券交易所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已购买过由易方达基金管理有限公司担任注册登记机</w:t>
      </w:r>
      <w:r>
        <w:rPr>
          <w:rFonts w:ascii="宋体" w:eastAsia="宋体" w:hAnsi="Calibri" w:hint="eastAsia"/>
          <w:lang w:eastAsia="zh-CN"/>
        </w:rPr>
        <w:t>构的基金的投资者，其拥有的易方达基金管理有限公司开放式基金账户不能用于认购本基金。</w:t>
      </w:r>
    </w:p>
    <w:p w:rsidR="00652D20" w:rsidRDefault="00916DC1">
      <w:pPr>
        <w:snapToGrid w:val="0"/>
        <w:spacing w:line="360" w:lineRule="auto"/>
        <w:ind w:firstLine="420"/>
        <w:rPr>
          <w:rFonts w:ascii="宋体" w:eastAsia="宋体" w:hAnsi="Calibri"/>
          <w:lang w:eastAsia="zh-CN"/>
        </w:rPr>
      </w:pPr>
      <w:r>
        <w:rPr>
          <w:rFonts w:ascii="宋体" w:eastAsia="宋体" w:hAnsi="Calibri"/>
          <w:lang w:eastAsia="zh-CN"/>
        </w:rPr>
        <w:t>3</w:t>
      </w:r>
      <w:r>
        <w:rPr>
          <w:rFonts w:ascii="宋体" w:eastAsia="宋体" w:hAnsi="Calibri" w:hint="eastAsia"/>
          <w:lang w:eastAsia="zh-CN"/>
        </w:rPr>
        <w:t>.</w:t>
      </w:r>
      <w:r>
        <w:rPr>
          <w:rFonts w:ascii="宋体" w:eastAsia="宋体" w:hAnsi="Calibri" w:hint="eastAsia"/>
          <w:lang w:eastAsia="zh-CN"/>
        </w:rPr>
        <w:t>如投资者需新开立上海证券交易所</w:t>
      </w:r>
      <w:r>
        <w:rPr>
          <w:rFonts w:ascii="宋体" w:eastAsia="宋体" w:hAnsi="Calibri" w:hint="eastAsia"/>
          <w:lang w:eastAsia="zh-CN"/>
        </w:rPr>
        <w:t>A</w:t>
      </w:r>
      <w:r>
        <w:rPr>
          <w:rFonts w:ascii="宋体" w:eastAsia="宋体" w:hAnsi="Calibri" w:hint="eastAsia"/>
          <w:lang w:eastAsia="zh-CN"/>
        </w:rPr>
        <w:t>股账户和上海证券交易所证券投资基金账户，应注意开户当日无法办理指定交易，建议投资者在进行认购前至少</w:t>
      </w:r>
      <w:r>
        <w:rPr>
          <w:rFonts w:ascii="宋体" w:eastAsia="宋体" w:hAnsi="Calibri" w:hint="eastAsia"/>
          <w:lang w:eastAsia="zh-CN"/>
        </w:rPr>
        <w:t>2</w:t>
      </w:r>
      <w:r>
        <w:rPr>
          <w:rFonts w:ascii="宋体" w:eastAsia="宋体" w:hAnsi="Calibri" w:hint="eastAsia"/>
          <w:lang w:eastAsia="zh-CN"/>
        </w:rPr>
        <w:t>个工作日办理开户手续。</w:t>
      </w:r>
    </w:p>
    <w:p w:rsidR="00652D20" w:rsidRDefault="00916DC1">
      <w:pPr>
        <w:snapToGrid w:val="0"/>
        <w:spacing w:line="360" w:lineRule="auto"/>
        <w:ind w:firstLine="420"/>
        <w:rPr>
          <w:rFonts w:ascii="宋体" w:eastAsia="宋体" w:hAnsi="Calibri"/>
          <w:lang w:eastAsia="zh-CN"/>
        </w:rPr>
      </w:pPr>
      <w:r>
        <w:rPr>
          <w:rFonts w:ascii="宋体" w:eastAsia="宋体" w:hAnsi="Calibri"/>
          <w:lang w:eastAsia="zh-CN"/>
        </w:rPr>
        <w:t>4</w:t>
      </w:r>
      <w:r>
        <w:rPr>
          <w:rFonts w:ascii="宋体" w:eastAsia="宋体" w:hAnsi="Calibri" w:hint="eastAsia"/>
          <w:lang w:eastAsia="zh-CN"/>
        </w:rPr>
        <w:t>.</w:t>
      </w:r>
      <w:r>
        <w:rPr>
          <w:rFonts w:ascii="宋体" w:eastAsia="宋体" w:hAnsi="Calibri" w:hint="eastAsia"/>
          <w:lang w:eastAsia="zh-CN"/>
        </w:rPr>
        <w:t>如投资者已开立上海证券交易所</w:t>
      </w:r>
      <w:r>
        <w:rPr>
          <w:rFonts w:ascii="宋体" w:eastAsia="宋体" w:hAnsi="Calibri" w:hint="eastAsia"/>
          <w:lang w:eastAsia="zh-CN"/>
        </w:rPr>
        <w:t>A</w:t>
      </w:r>
      <w:r>
        <w:rPr>
          <w:rFonts w:ascii="宋体" w:eastAsia="宋体" w:hAnsi="Calibri" w:hint="eastAsia"/>
          <w:lang w:eastAsia="zh-CN"/>
        </w:rPr>
        <w:t>股账户和上海证券交易所证券投资基金账户，则应注意：</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）如投资者未办理指定交易或指定交易在不办理本基金发售业务的证券公司，需要指定交易或转指定交易在可办理本基金发售业务的证券公司。</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）当日办理指定交易或转指定交易的投资者当日无法</w:t>
      </w:r>
      <w:r>
        <w:rPr>
          <w:rFonts w:ascii="宋体" w:eastAsia="宋体" w:hAnsi="Calibri" w:hint="eastAsia"/>
          <w:lang w:eastAsia="zh-CN"/>
        </w:rPr>
        <w:t>进行认购，建议投资者在进行认购前至少</w:t>
      </w:r>
      <w:r>
        <w:rPr>
          <w:rFonts w:ascii="宋体" w:eastAsia="宋体" w:hAnsi="Calibri" w:hint="eastAsia"/>
          <w:lang w:eastAsia="zh-CN"/>
        </w:rPr>
        <w:t>1</w:t>
      </w:r>
      <w:r>
        <w:rPr>
          <w:rFonts w:ascii="宋体" w:eastAsia="宋体" w:hAnsi="Calibri" w:hint="eastAsia"/>
          <w:lang w:eastAsia="zh-CN"/>
        </w:rPr>
        <w:t>个工作日办理指定交易或转指定交易手续。</w:t>
      </w:r>
    </w:p>
    <w:p w:rsidR="00652D20" w:rsidRDefault="00652D20">
      <w:pPr>
        <w:snapToGrid w:val="0"/>
        <w:spacing w:line="360" w:lineRule="auto"/>
        <w:rPr>
          <w:rStyle w:val="big1"/>
          <w:rFonts w:ascii="宋体" w:eastAsia="宋体" w:hAnsi="Calibri"/>
          <w:b/>
          <w:bCs/>
          <w:sz w:val="21"/>
          <w:szCs w:val="21"/>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四</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本基金的</w:t>
      </w:r>
      <w:r>
        <w:rPr>
          <w:rStyle w:val="big1"/>
          <w:rFonts w:ascii="宋体" w:eastAsia="宋体" w:hAnsi="Calibri"/>
          <w:b/>
          <w:bCs/>
          <w:spacing w:val="0"/>
          <w:sz w:val="21"/>
          <w:szCs w:val="21"/>
          <w:lang w:eastAsia="zh-CN"/>
        </w:rPr>
        <w:t>认</w:t>
      </w:r>
      <w:r>
        <w:rPr>
          <w:rStyle w:val="big1"/>
          <w:rFonts w:ascii="宋体" w:eastAsia="宋体" w:hAnsi="Calibri" w:hint="eastAsia"/>
          <w:b/>
          <w:bCs/>
          <w:spacing w:val="0"/>
          <w:sz w:val="21"/>
          <w:szCs w:val="21"/>
          <w:lang w:eastAsia="zh-CN"/>
        </w:rPr>
        <w:t>购程序</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（一）网上现金认购的程序</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业务办理时间：</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基金发售日的上午</w:t>
      </w:r>
      <w:r>
        <w:rPr>
          <w:rFonts w:ascii="宋体" w:eastAsia="宋体" w:hAnsi="Calibri" w:hint="eastAsia"/>
          <w:lang w:eastAsia="zh-CN"/>
        </w:rPr>
        <w:t>9:30</w:t>
      </w:r>
      <w:r>
        <w:rPr>
          <w:rFonts w:ascii="宋体" w:eastAsia="宋体" w:hAnsi="Calibri" w:hint="eastAsia"/>
          <w:lang w:eastAsia="zh-CN"/>
        </w:rPr>
        <w:t>—</w:t>
      </w:r>
      <w:r>
        <w:rPr>
          <w:rFonts w:ascii="宋体" w:eastAsia="宋体" w:hAnsi="Calibri" w:hint="eastAsia"/>
          <w:lang w:eastAsia="zh-CN"/>
        </w:rPr>
        <w:t>11:30</w:t>
      </w:r>
      <w:r>
        <w:rPr>
          <w:rFonts w:ascii="宋体" w:eastAsia="宋体" w:hAnsi="Calibri" w:hint="eastAsia"/>
          <w:lang w:eastAsia="zh-CN"/>
        </w:rPr>
        <w:t>和下午</w:t>
      </w:r>
      <w:r>
        <w:rPr>
          <w:rFonts w:ascii="宋体" w:eastAsia="宋体" w:hAnsi="Calibri" w:hint="eastAsia"/>
          <w:lang w:eastAsia="zh-CN"/>
        </w:rPr>
        <w:t>1:00</w:t>
      </w:r>
      <w:r>
        <w:rPr>
          <w:rFonts w:ascii="宋体" w:eastAsia="宋体" w:hAnsi="Calibri" w:hint="eastAsia"/>
          <w:lang w:eastAsia="zh-CN"/>
        </w:rPr>
        <w:t>—</w:t>
      </w:r>
      <w:r>
        <w:rPr>
          <w:rFonts w:ascii="宋体" w:eastAsia="宋体" w:hAnsi="Calibri" w:hint="eastAsia"/>
          <w:lang w:eastAsia="zh-CN"/>
        </w:rPr>
        <w:t>3:00</w:t>
      </w:r>
      <w:r>
        <w:rPr>
          <w:rFonts w:ascii="宋体" w:eastAsia="宋体" w:hAnsi="Calibri" w:hint="eastAsia"/>
          <w:lang w:eastAsia="zh-CN"/>
        </w:rPr>
        <w:t>（周六、周日及法定节假日不受理）。如上海证券交易所对网上现金认购时间作出调整，本公司将作出相应调整并及时公告。</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认购手续：</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）开立上海证券交易所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股账户或上海证券交易所证券投资基金账户，办理指定交易在发售代理机构。利用上海证券交易所网上系统以现金进行认购。</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）在认购前向资金账户中存入足够的认购资金。</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）投资人可通过填写认购委托单、电话委托、磁卡委托、网上委托等方式申报认购委托，可多次申报，申报一经确认，认购资金即被冻结。</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具体时间和认购手续以上海证券交易所和发售代理机构的相关规则为准。</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（二）网下现金认购的程序</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直销中心</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）本公司直销中心接受认购份额在</w:t>
      </w:r>
      <w:r>
        <w:rPr>
          <w:rFonts w:ascii="宋体" w:eastAsia="宋体" w:hAnsi="Calibri" w:hint="eastAsia"/>
          <w:lang w:eastAsia="zh-CN"/>
        </w:rPr>
        <w:t>10</w:t>
      </w:r>
      <w:r>
        <w:rPr>
          <w:rFonts w:ascii="宋体" w:eastAsia="宋体" w:hAnsi="Calibri" w:hint="eastAsia"/>
          <w:lang w:eastAsia="zh-CN"/>
        </w:rPr>
        <w:t>万份（含</w:t>
      </w:r>
      <w:r>
        <w:rPr>
          <w:rFonts w:ascii="宋体" w:eastAsia="宋体" w:hAnsi="Calibri" w:hint="eastAsia"/>
          <w:lang w:eastAsia="zh-CN"/>
        </w:rPr>
        <w:t>10</w:t>
      </w:r>
      <w:r>
        <w:rPr>
          <w:rFonts w:ascii="宋体" w:eastAsia="宋体" w:hAnsi="Calibri" w:hint="eastAsia"/>
          <w:lang w:eastAsia="zh-CN"/>
        </w:rPr>
        <w:t>万份）以上的个人、机构投资人的认购。</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）业务办理时间：基金发售日的</w:t>
      </w:r>
      <w:r>
        <w:rPr>
          <w:rFonts w:ascii="宋体" w:eastAsia="宋体" w:hAnsi="Calibri" w:hint="eastAsia"/>
          <w:lang w:eastAsia="zh-CN"/>
        </w:rPr>
        <w:t>9:00</w:t>
      </w:r>
      <w:r>
        <w:rPr>
          <w:rFonts w:ascii="宋体" w:eastAsia="宋体" w:hAnsi="Calibri" w:hint="eastAsia"/>
          <w:lang w:eastAsia="zh-CN"/>
        </w:rPr>
        <w:t>—</w:t>
      </w:r>
      <w:r>
        <w:rPr>
          <w:rFonts w:ascii="宋体" w:eastAsia="宋体" w:hAnsi="Calibri" w:hint="eastAsia"/>
          <w:lang w:eastAsia="zh-CN"/>
        </w:rPr>
        <w:t>16:00</w:t>
      </w:r>
      <w:r>
        <w:rPr>
          <w:rFonts w:ascii="宋体" w:eastAsia="宋体" w:hAnsi="Calibri" w:hint="eastAsia"/>
          <w:lang w:eastAsia="zh-CN"/>
        </w:rPr>
        <w:t>（周六、周日及法定节假日不受理）。</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）投资者在本公司直销中心办理基金认购手续时需提供的</w:t>
      </w:r>
      <w:r>
        <w:rPr>
          <w:rFonts w:ascii="宋体" w:eastAsia="宋体" w:hAnsi="Calibri" w:hint="eastAsia"/>
          <w:lang w:eastAsia="zh-CN"/>
        </w:rPr>
        <w:t>资料，参见本公司网站上公布的相关业务办理指南。</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4</w:t>
      </w:r>
      <w:r>
        <w:rPr>
          <w:rFonts w:ascii="宋体" w:eastAsia="宋体" w:hAnsi="Calibri" w:hint="eastAsia"/>
          <w:lang w:eastAsia="zh-CN"/>
        </w:rPr>
        <w:t>）投资者应在提出认购申请当日下午</w:t>
      </w:r>
      <w:r>
        <w:rPr>
          <w:rFonts w:ascii="宋体" w:eastAsia="宋体" w:hAnsi="Calibri" w:hint="eastAsia"/>
          <w:lang w:eastAsia="zh-CN"/>
        </w:rPr>
        <w:t>17:00</w:t>
      </w:r>
      <w:r>
        <w:rPr>
          <w:rFonts w:ascii="宋体" w:eastAsia="宋体" w:hAnsi="Calibri" w:hint="eastAsia"/>
          <w:lang w:eastAsia="zh-CN"/>
        </w:rPr>
        <w:t>之前，将足额认购资金（含认购费用）汇入本公司在工商银行、中国银行等开立的直销专户：</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a.</w:t>
      </w:r>
      <w:r>
        <w:rPr>
          <w:rFonts w:ascii="宋体" w:eastAsia="宋体" w:hAnsi="Calibri" w:hint="eastAsia"/>
          <w:lang w:eastAsia="zh-CN"/>
        </w:rPr>
        <w:t>户名：易方达基金管理有限公司直销专户</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开户银行：中国工商银行股份有限公司广州国际金融城支行</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账号：</w:t>
      </w:r>
      <w:r>
        <w:rPr>
          <w:rFonts w:ascii="宋体" w:eastAsia="宋体" w:hAnsi="Calibri" w:hint="eastAsia"/>
          <w:lang w:eastAsia="zh-CN"/>
        </w:rPr>
        <w:t>3602031419200088891</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b.</w:t>
      </w:r>
      <w:r>
        <w:rPr>
          <w:rFonts w:ascii="宋体" w:eastAsia="宋体" w:hAnsi="Calibri" w:hint="eastAsia"/>
          <w:lang w:eastAsia="zh-CN"/>
        </w:rPr>
        <w:t>户名：易方达基金管理有限公司直销专户</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开户银行：中国银行广东省分行</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账号：</w:t>
      </w:r>
      <w:r>
        <w:rPr>
          <w:rFonts w:ascii="宋体" w:eastAsia="宋体" w:hAnsi="Calibri" w:hint="eastAsia"/>
          <w:lang w:eastAsia="zh-CN"/>
        </w:rPr>
        <w:t>665257735480</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c.</w:t>
      </w:r>
      <w:r>
        <w:rPr>
          <w:rFonts w:ascii="宋体" w:eastAsia="宋体" w:hAnsi="Calibri" w:hint="eastAsia"/>
          <w:lang w:eastAsia="zh-CN"/>
        </w:rPr>
        <w:t>其他直销专户信息，请见本公司网站。</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投资者若未按上述办法划付认购资金，造成认购无效的，易方达基金管理有限公司及直销专户的开户银行不承担任何责任。</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5</w:t>
      </w:r>
      <w:r>
        <w:rPr>
          <w:rFonts w:ascii="宋体" w:eastAsia="宋体" w:hAnsi="Calibri" w:hint="eastAsia"/>
          <w:lang w:eastAsia="zh-CN"/>
        </w:rPr>
        <w:t>）注意事项：</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）若投资人的认购资金在认购申请当日</w:t>
      </w:r>
      <w:r>
        <w:rPr>
          <w:rFonts w:ascii="宋体" w:eastAsia="宋体" w:hAnsi="Calibri" w:hint="eastAsia"/>
          <w:lang w:eastAsia="zh-CN"/>
        </w:rPr>
        <w:t>17:00</w:t>
      </w:r>
      <w:r>
        <w:rPr>
          <w:rFonts w:ascii="宋体" w:eastAsia="宋体" w:hAnsi="Calibri" w:hint="eastAsia"/>
          <w:lang w:eastAsia="zh-CN"/>
        </w:rPr>
        <w:t>之前未到本公司指定的直销资金专户，则当日提交的申请顺延受理。申请受理日期（即有效申请日）以资金到账日为准。在本基金发行截止日的</w:t>
      </w:r>
      <w:r>
        <w:rPr>
          <w:rFonts w:ascii="宋体" w:eastAsia="宋体" w:hAnsi="Calibri" w:hint="eastAsia"/>
          <w:lang w:eastAsia="zh-CN"/>
        </w:rPr>
        <w:t xml:space="preserve"> 17:00 </w:t>
      </w:r>
      <w:r>
        <w:rPr>
          <w:rFonts w:ascii="宋体" w:eastAsia="宋体" w:hAnsi="Calibri" w:hint="eastAsia"/>
          <w:lang w:eastAsia="zh-CN"/>
        </w:rPr>
        <w:t>之前，若投资者的认购资金未到达本公司指定账户，则投资者提交的认购申请将可被认定为无效认购。</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）投资人汇款时，应提示银行柜台人员务必准确完整地传递汇款信息，包括汇款人和用途栏内容。</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发售代理机构</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）业务办理时间：</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基金发售日上午</w:t>
      </w:r>
      <w:r>
        <w:rPr>
          <w:rFonts w:ascii="宋体" w:eastAsia="宋体" w:hAnsi="Calibri" w:hint="eastAsia"/>
          <w:lang w:eastAsia="zh-CN"/>
        </w:rPr>
        <w:t>9:30</w:t>
      </w:r>
      <w:r>
        <w:rPr>
          <w:rFonts w:ascii="宋体" w:eastAsia="宋体" w:hAnsi="Calibri" w:hint="eastAsia"/>
          <w:lang w:eastAsia="zh-CN"/>
        </w:rPr>
        <w:t>—</w:t>
      </w:r>
      <w:r>
        <w:rPr>
          <w:rFonts w:ascii="宋体" w:eastAsia="宋体" w:hAnsi="Calibri" w:hint="eastAsia"/>
          <w:lang w:eastAsia="zh-CN"/>
        </w:rPr>
        <w:t>11:30</w:t>
      </w:r>
      <w:r>
        <w:rPr>
          <w:rFonts w:ascii="宋体" w:eastAsia="宋体" w:hAnsi="Calibri" w:hint="eastAsia"/>
          <w:lang w:eastAsia="zh-CN"/>
        </w:rPr>
        <w:t>和下午</w:t>
      </w:r>
      <w:r>
        <w:rPr>
          <w:rFonts w:ascii="宋体" w:eastAsia="宋体" w:hAnsi="Calibri" w:hint="eastAsia"/>
          <w:lang w:eastAsia="zh-CN"/>
        </w:rPr>
        <w:t>1:00</w:t>
      </w:r>
      <w:r>
        <w:rPr>
          <w:rFonts w:ascii="宋体" w:eastAsia="宋体" w:hAnsi="Calibri" w:hint="eastAsia"/>
          <w:lang w:eastAsia="zh-CN"/>
        </w:rPr>
        <w:t>—</w:t>
      </w:r>
      <w:r>
        <w:rPr>
          <w:rFonts w:ascii="宋体" w:eastAsia="宋体" w:hAnsi="Calibri" w:hint="eastAsia"/>
          <w:lang w:eastAsia="zh-CN"/>
        </w:rPr>
        <w:t>3:00</w:t>
      </w:r>
      <w:r>
        <w:rPr>
          <w:rFonts w:ascii="宋体" w:eastAsia="宋体" w:hAnsi="Calibri" w:hint="eastAsia"/>
          <w:lang w:eastAsia="zh-CN"/>
        </w:rPr>
        <w:t>（周六、周日及法定节假日不受理）。</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）认购手续：</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）开立上海证券交易所</w:t>
      </w:r>
      <w:r>
        <w:rPr>
          <w:rFonts w:ascii="宋体" w:eastAsia="宋体" w:hAnsi="Calibri" w:hint="eastAsia"/>
          <w:lang w:eastAsia="zh-CN"/>
        </w:rPr>
        <w:t>A</w:t>
      </w:r>
      <w:r>
        <w:rPr>
          <w:rFonts w:ascii="宋体" w:eastAsia="宋体" w:hAnsi="Calibri" w:hint="eastAsia"/>
          <w:lang w:eastAsia="zh-CN"/>
        </w:rPr>
        <w:t>股账户或上海证券交易所证券投资基金账户，办理指定交易或转指定交易。</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）在认购前向资金账户中存入足够的认购资金。</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hint="eastAsia"/>
          <w:lang w:eastAsia="zh-CN"/>
        </w:rPr>
        <w:t>）投资人填写认购委托单，同时填写委托该发售代理机构代为办理网上现金认购的委托申请书。申报一经确认，认购资金即被冻结。</w:t>
      </w:r>
    </w:p>
    <w:p w:rsidR="00652D20" w:rsidRDefault="00916DC1">
      <w:pPr>
        <w:snapToGrid w:val="0"/>
        <w:spacing w:line="360" w:lineRule="auto"/>
        <w:ind w:firstLine="420"/>
        <w:rPr>
          <w:rFonts w:ascii="宋体" w:eastAsia="宋体" w:hAnsi="Calibri"/>
          <w:lang w:eastAsia="zh-CN"/>
        </w:rPr>
      </w:pPr>
      <w:r>
        <w:rPr>
          <w:rFonts w:ascii="宋体" w:eastAsia="宋体" w:hAnsi="Calibri" w:hint="eastAsia"/>
          <w:lang w:eastAsia="zh-CN"/>
        </w:rPr>
        <w:t>具体时间和认购手续以基金管理人或各发售代理机构的规定为准。</w:t>
      </w:r>
    </w:p>
    <w:p w:rsidR="00652D20" w:rsidRDefault="00652D20">
      <w:pPr>
        <w:snapToGrid w:val="0"/>
        <w:spacing w:line="360" w:lineRule="auto"/>
        <w:ind w:firstLine="480"/>
        <w:rPr>
          <w:rStyle w:val="big1"/>
          <w:rFonts w:ascii="宋体" w:eastAsia="宋体" w:hAnsi="Calibri"/>
          <w:b/>
          <w:bCs/>
          <w:sz w:val="21"/>
          <w:szCs w:val="21"/>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五</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过户登记与退款</w:t>
      </w:r>
    </w:p>
    <w:p w:rsidR="00652D20" w:rsidRDefault="00916DC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本基金权益由登记结算机构在发售结束后完成过户登记。</w:t>
      </w:r>
    </w:p>
    <w:p w:rsidR="00652D20" w:rsidRDefault="00916DC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通过基金管理人进行的网下现金认购，在发售期内被确认无效的认购资金或认购费用，将于认购申请被确认无效之日起三个工作日内向投资者的结算账户划出，在发售结束后被确认无效的认购资金或认购费用，将于验资完成日起三个工作日内向投资者的结算账户划出。</w:t>
      </w:r>
    </w:p>
    <w:p w:rsidR="00652D20" w:rsidRDefault="00652D20">
      <w:pPr>
        <w:snapToGrid w:val="0"/>
        <w:spacing w:line="360" w:lineRule="auto"/>
        <w:ind w:firstLine="420"/>
        <w:rPr>
          <w:rStyle w:val="big1"/>
          <w:rFonts w:ascii="宋体" w:eastAsia="宋体" w:hAnsi="Calibri"/>
          <w:sz w:val="21"/>
          <w:szCs w:val="21"/>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六</w:t>
      </w:r>
      <w:r>
        <w:rPr>
          <w:rStyle w:val="big1"/>
          <w:rFonts w:ascii="宋体" w:eastAsia="宋体" w:hAnsi="Calibri"/>
          <w:b/>
          <w:bCs/>
          <w:spacing w:val="0"/>
          <w:sz w:val="21"/>
          <w:szCs w:val="21"/>
          <w:lang w:eastAsia="zh-CN"/>
        </w:rPr>
        <w:t>、基金的验资与基金合同生效</w:t>
      </w:r>
    </w:p>
    <w:p w:rsidR="00652D20" w:rsidRDefault="00916DC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基金募集期限届满，本基金具备基金备案条件的，基金管理人应当自募集期限届满之日起</w:t>
      </w:r>
      <w:r>
        <w:rPr>
          <w:rFonts w:ascii="宋体" w:eastAsia="宋体" w:hAnsi="Calibri" w:hint="eastAsia"/>
          <w:sz w:val="21"/>
          <w:szCs w:val="21"/>
          <w:lang w:eastAsia="zh-CN"/>
        </w:rPr>
        <w:t>10</w:t>
      </w:r>
      <w:r>
        <w:rPr>
          <w:rFonts w:ascii="宋体" w:eastAsia="宋体" w:hAnsi="Calibri" w:hint="eastAsia"/>
          <w:sz w:val="21"/>
          <w:szCs w:val="21"/>
          <w:lang w:eastAsia="zh-CN"/>
        </w:rPr>
        <w:t>日内聘请法定验资机构验资，自收到验资报告之日起</w:t>
      </w:r>
      <w:r>
        <w:rPr>
          <w:rFonts w:ascii="宋体" w:eastAsia="宋体" w:hAnsi="Calibri" w:hint="eastAsia"/>
          <w:sz w:val="21"/>
          <w:szCs w:val="21"/>
          <w:lang w:eastAsia="zh-CN"/>
        </w:rPr>
        <w:t>10</w:t>
      </w:r>
      <w:r>
        <w:rPr>
          <w:rFonts w:ascii="宋体" w:eastAsia="宋体" w:hAnsi="Calibri" w:hint="eastAsia"/>
          <w:sz w:val="21"/>
          <w:szCs w:val="21"/>
          <w:lang w:eastAsia="zh-CN"/>
        </w:rPr>
        <w:t>日内，向中国证监会提交验资报告，办理基金备案手续。自中国证监会书面确认之日起，基金备案手续办理完毕，基金合同生效。基金管理人应当在收到中国证监会确认文件的次日予以公告。</w:t>
      </w:r>
    </w:p>
    <w:p w:rsidR="00652D20" w:rsidRDefault="00916DC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基金募集期间的信息披露费、会计师费、律师费以及其他费用，不从基金财产中列支。</w:t>
      </w:r>
    </w:p>
    <w:p w:rsidR="00652D20" w:rsidRDefault="00916DC1">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本基金募集失败时，基金管理人应承担全部募集费用，将已募集资金加计银行同期活期存款利息在募集期结束后</w:t>
      </w:r>
      <w:r>
        <w:rPr>
          <w:rFonts w:ascii="宋体" w:eastAsia="宋体" w:hAnsi="Calibri" w:hint="eastAsia"/>
          <w:sz w:val="21"/>
          <w:szCs w:val="21"/>
          <w:lang w:eastAsia="zh-CN"/>
        </w:rPr>
        <w:t>30</w:t>
      </w:r>
      <w:r>
        <w:rPr>
          <w:rFonts w:ascii="宋体" w:eastAsia="宋体" w:hAnsi="Calibri" w:hint="eastAsia"/>
          <w:sz w:val="21"/>
          <w:szCs w:val="21"/>
          <w:lang w:eastAsia="zh-CN"/>
        </w:rPr>
        <w:t>日内退还给认购人。</w:t>
      </w:r>
    </w:p>
    <w:p w:rsidR="00652D20" w:rsidRDefault="00652D20">
      <w:pPr>
        <w:snapToGrid w:val="0"/>
        <w:spacing w:line="360" w:lineRule="auto"/>
        <w:ind w:firstLine="480"/>
        <w:rPr>
          <w:rStyle w:val="big1"/>
          <w:rFonts w:ascii="宋体" w:eastAsia="宋体" w:hAnsi="Calibri"/>
          <w:sz w:val="21"/>
          <w:szCs w:val="21"/>
          <w:lang w:eastAsia="zh-CN"/>
        </w:rPr>
      </w:pPr>
    </w:p>
    <w:p w:rsidR="00652D20" w:rsidRDefault="00916DC1">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七</w:t>
      </w:r>
      <w:r>
        <w:rPr>
          <w:rStyle w:val="big1"/>
          <w:rFonts w:ascii="宋体" w:eastAsia="宋体" w:hAnsi="Calibri"/>
          <w:b/>
          <w:bCs/>
          <w:spacing w:val="0"/>
          <w:sz w:val="21"/>
          <w:szCs w:val="21"/>
          <w:lang w:eastAsia="zh-CN"/>
        </w:rPr>
        <w:t>、本次</w:t>
      </w:r>
      <w:r>
        <w:rPr>
          <w:rStyle w:val="big1"/>
          <w:rFonts w:ascii="宋体" w:eastAsia="宋体" w:hAnsi="Calibri" w:hint="eastAsia"/>
          <w:b/>
          <w:bCs/>
          <w:spacing w:val="0"/>
          <w:sz w:val="21"/>
          <w:szCs w:val="21"/>
          <w:lang w:eastAsia="zh-CN"/>
        </w:rPr>
        <w:t>发售</w:t>
      </w:r>
      <w:r>
        <w:rPr>
          <w:rStyle w:val="big1"/>
          <w:rFonts w:ascii="宋体" w:eastAsia="宋体" w:hAnsi="Calibri"/>
          <w:b/>
          <w:bCs/>
          <w:spacing w:val="0"/>
          <w:sz w:val="21"/>
          <w:szCs w:val="21"/>
          <w:lang w:eastAsia="zh-CN"/>
        </w:rPr>
        <w:t>当事人或中介机构</w:t>
      </w:r>
    </w:p>
    <w:p w:rsidR="00652D20" w:rsidRDefault="00916DC1">
      <w:pPr>
        <w:pStyle w:val="af4"/>
        <w:numPr>
          <w:ilvl w:val="1"/>
          <w:numId w:val="6"/>
        </w:numPr>
        <w:tabs>
          <w:tab w:val="left" w:pos="851"/>
        </w:tabs>
        <w:snapToGrid w:val="0"/>
        <w:ind w:left="0" w:firstLine="424"/>
        <w:rPr>
          <w:rFonts w:ascii="宋体" w:eastAsia="宋体" w:hAnsi="Calibri"/>
          <w:sz w:val="21"/>
          <w:szCs w:val="21"/>
        </w:rPr>
      </w:pPr>
      <w:r>
        <w:rPr>
          <w:rFonts w:ascii="宋体" w:eastAsia="宋体" w:hAnsi="Calibri"/>
          <w:sz w:val="21"/>
          <w:szCs w:val="21"/>
        </w:rPr>
        <w:t>基金管理人</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名称：易方达基金管理有限公司</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住所：广东省珠海市横琴新区荣粤道</w:t>
      </w:r>
      <w:r>
        <w:rPr>
          <w:rFonts w:ascii="宋体" w:eastAsia="宋体" w:hAnsi="Calibri"/>
          <w:sz w:val="21"/>
          <w:szCs w:val="21"/>
          <w:highlight w:val="white"/>
          <w:lang w:eastAsia="zh-CN"/>
        </w:rPr>
        <w:t>188</w:t>
      </w:r>
      <w:r>
        <w:rPr>
          <w:rFonts w:ascii="宋体" w:eastAsia="宋体" w:hAnsi="Calibri"/>
          <w:sz w:val="21"/>
          <w:szCs w:val="21"/>
          <w:highlight w:val="white"/>
          <w:lang w:eastAsia="zh-CN"/>
        </w:rPr>
        <w:t>号</w:t>
      </w:r>
      <w:r>
        <w:rPr>
          <w:rFonts w:ascii="宋体" w:eastAsia="宋体" w:hAnsi="Calibri"/>
          <w:sz w:val="21"/>
          <w:szCs w:val="21"/>
          <w:highlight w:val="white"/>
          <w:lang w:eastAsia="zh-CN"/>
        </w:rPr>
        <w:t>6</w:t>
      </w:r>
      <w:r>
        <w:rPr>
          <w:rFonts w:ascii="宋体" w:eastAsia="宋体" w:hAnsi="Calibri"/>
          <w:sz w:val="21"/>
          <w:szCs w:val="21"/>
          <w:highlight w:val="white"/>
          <w:lang w:eastAsia="zh-CN"/>
        </w:rPr>
        <w:t>层</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法定代表人：吴欣荣</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设立日期：</w:t>
      </w:r>
      <w:r>
        <w:rPr>
          <w:rFonts w:ascii="宋体" w:eastAsia="宋体" w:hAnsi="Calibri"/>
          <w:sz w:val="21"/>
          <w:szCs w:val="21"/>
          <w:highlight w:val="white"/>
          <w:lang w:eastAsia="zh-CN"/>
        </w:rPr>
        <w:t>2001</w:t>
      </w:r>
      <w:r>
        <w:rPr>
          <w:rFonts w:ascii="宋体" w:eastAsia="宋体" w:hAnsi="Calibri"/>
          <w:sz w:val="21"/>
          <w:szCs w:val="21"/>
          <w:highlight w:val="white"/>
          <w:lang w:eastAsia="zh-CN"/>
        </w:rPr>
        <w:t>年</w:t>
      </w:r>
      <w:r>
        <w:rPr>
          <w:rFonts w:ascii="宋体" w:eastAsia="宋体" w:hAnsi="Calibri"/>
          <w:sz w:val="21"/>
          <w:szCs w:val="21"/>
          <w:highlight w:val="white"/>
          <w:lang w:eastAsia="zh-CN"/>
        </w:rPr>
        <w:t>4</w:t>
      </w:r>
      <w:r>
        <w:rPr>
          <w:rFonts w:ascii="宋体" w:eastAsia="宋体" w:hAnsi="Calibri"/>
          <w:sz w:val="21"/>
          <w:szCs w:val="21"/>
          <w:highlight w:val="white"/>
          <w:lang w:eastAsia="zh-CN"/>
        </w:rPr>
        <w:t>月</w:t>
      </w:r>
      <w:r>
        <w:rPr>
          <w:rFonts w:ascii="宋体" w:eastAsia="宋体" w:hAnsi="Calibri"/>
          <w:sz w:val="21"/>
          <w:szCs w:val="21"/>
          <w:highlight w:val="white"/>
          <w:lang w:eastAsia="zh-CN"/>
        </w:rPr>
        <w:t>17</w:t>
      </w:r>
      <w:r>
        <w:rPr>
          <w:rFonts w:ascii="宋体" w:eastAsia="宋体" w:hAnsi="Calibri"/>
          <w:sz w:val="21"/>
          <w:szCs w:val="21"/>
          <w:highlight w:val="white"/>
          <w:lang w:eastAsia="zh-CN"/>
        </w:rPr>
        <w:t>日</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批准设立机关及批准设立文号：中国证券监督管理委员会，证监基金字</w:t>
      </w:r>
      <w:r>
        <w:rPr>
          <w:rFonts w:ascii="宋体" w:eastAsia="宋体" w:hAnsi="Calibri"/>
          <w:sz w:val="21"/>
          <w:szCs w:val="21"/>
          <w:highlight w:val="white"/>
          <w:lang w:eastAsia="zh-CN"/>
        </w:rPr>
        <w:t>[2001]4</w:t>
      </w:r>
      <w:r>
        <w:rPr>
          <w:rFonts w:ascii="宋体" w:eastAsia="宋体" w:hAnsi="Calibri"/>
          <w:sz w:val="21"/>
          <w:szCs w:val="21"/>
          <w:highlight w:val="white"/>
          <w:lang w:eastAsia="zh-CN"/>
        </w:rPr>
        <w:t>号</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组织形式：有限责任公司</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注册资本：</w:t>
      </w:r>
      <w:r>
        <w:rPr>
          <w:rFonts w:ascii="宋体" w:eastAsia="宋体" w:hAnsi="Calibri"/>
          <w:sz w:val="21"/>
          <w:szCs w:val="21"/>
          <w:highlight w:val="white"/>
          <w:lang w:eastAsia="zh-CN"/>
        </w:rPr>
        <w:t>13,244.2</w:t>
      </w:r>
      <w:r>
        <w:rPr>
          <w:rFonts w:ascii="宋体" w:eastAsia="宋体" w:hAnsi="Calibri"/>
          <w:sz w:val="21"/>
          <w:szCs w:val="21"/>
          <w:highlight w:val="white"/>
          <w:lang w:eastAsia="zh-CN"/>
        </w:rPr>
        <w:t>万元人民币</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存续期限：持续经营</w:t>
      </w:r>
    </w:p>
    <w:p w:rsidR="00652D20" w:rsidRDefault="00916DC1">
      <w:pPr>
        <w:pStyle w:val="af4"/>
        <w:snapToGrid w:val="0"/>
        <w:ind w:firstLine="420"/>
        <w:rPr>
          <w:rFonts w:ascii="宋体" w:eastAsia="宋体" w:hAnsi="Calibri"/>
          <w:sz w:val="21"/>
          <w:szCs w:val="21"/>
        </w:rPr>
      </w:pPr>
      <w:r>
        <w:rPr>
          <w:rFonts w:ascii="宋体" w:eastAsia="宋体" w:hAnsi="Calibri"/>
          <w:sz w:val="21"/>
          <w:szCs w:val="21"/>
          <w:highlight w:val="white"/>
        </w:rPr>
        <w:t>联系电话：</w:t>
      </w:r>
      <w:r>
        <w:rPr>
          <w:rFonts w:ascii="宋体" w:eastAsia="宋体" w:hAnsi="Calibri"/>
          <w:sz w:val="21"/>
          <w:szCs w:val="21"/>
          <w:highlight w:val="white"/>
        </w:rPr>
        <w:t>4008818088</w:t>
      </w:r>
    </w:p>
    <w:p w:rsidR="00652D20" w:rsidRDefault="00652D20">
      <w:pPr>
        <w:pStyle w:val="af4"/>
        <w:snapToGrid w:val="0"/>
        <w:ind w:firstLine="420"/>
        <w:rPr>
          <w:rFonts w:ascii="宋体" w:eastAsia="宋体" w:hAnsi="Calibri"/>
          <w:sz w:val="21"/>
          <w:szCs w:val="21"/>
        </w:rPr>
      </w:pPr>
    </w:p>
    <w:p w:rsidR="00652D20" w:rsidRDefault="00916DC1">
      <w:pPr>
        <w:pStyle w:val="af4"/>
        <w:numPr>
          <w:ilvl w:val="1"/>
          <w:numId w:val="6"/>
        </w:numPr>
        <w:tabs>
          <w:tab w:val="left" w:pos="993"/>
        </w:tabs>
        <w:snapToGrid w:val="0"/>
        <w:ind w:left="0" w:firstLine="424"/>
        <w:rPr>
          <w:rFonts w:ascii="宋体" w:eastAsia="宋体" w:hAnsi="Calibri"/>
          <w:sz w:val="21"/>
          <w:szCs w:val="21"/>
        </w:rPr>
      </w:pPr>
      <w:r>
        <w:rPr>
          <w:rFonts w:ascii="宋体" w:eastAsia="宋体" w:hAnsi="Calibri"/>
          <w:sz w:val="21"/>
          <w:szCs w:val="21"/>
        </w:rPr>
        <w:t>基金托管人</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w:t>
      </w:r>
      <w:r>
        <w:rPr>
          <w:rFonts w:ascii="宋体" w:eastAsia="宋体" w:hAnsi="Calibri"/>
          <w:sz w:val="21"/>
          <w:szCs w:val="21"/>
          <w:highlight w:val="white"/>
          <w:lang w:eastAsia="zh-CN"/>
        </w:rPr>
        <w:t xml:space="preserve"> </w:t>
      </w:r>
      <w:r>
        <w:rPr>
          <w:rFonts w:ascii="宋体" w:eastAsia="宋体" w:hAnsi="Calibri"/>
          <w:sz w:val="21"/>
          <w:szCs w:val="21"/>
          <w:highlight w:val="white"/>
          <w:lang w:eastAsia="zh-CN"/>
        </w:rPr>
        <w:t>中泰证券股份有限公司</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w:t>
      </w:r>
      <w:r>
        <w:rPr>
          <w:rFonts w:ascii="宋体" w:eastAsia="宋体" w:hAnsi="Calibri"/>
          <w:sz w:val="21"/>
          <w:szCs w:val="21"/>
          <w:highlight w:val="white"/>
          <w:lang w:eastAsia="zh-CN"/>
        </w:rPr>
        <w:t xml:space="preserve"> </w:t>
      </w:r>
      <w:r>
        <w:rPr>
          <w:rFonts w:ascii="宋体" w:eastAsia="宋体" w:hAnsi="Calibri"/>
          <w:sz w:val="21"/>
          <w:szCs w:val="21"/>
          <w:highlight w:val="white"/>
          <w:lang w:eastAsia="zh-CN"/>
        </w:rPr>
        <w:t>济南市市中区经七路</w:t>
      </w:r>
      <w:r>
        <w:rPr>
          <w:rFonts w:ascii="宋体" w:eastAsia="宋体" w:hAnsi="Calibri"/>
          <w:sz w:val="21"/>
          <w:szCs w:val="21"/>
          <w:highlight w:val="white"/>
          <w:lang w:eastAsia="zh-CN"/>
        </w:rPr>
        <w:t>86</w:t>
      </w:r>
      <w:r>
        <w:rPr>
          <w:rFonts w:ascii="宋体" w:eastAsia="宋体" w:hAnsi="Calibri"/>
          <w:sz w:val="21"/>
          <w:szCs w:val="21"/>
          <w:highlight w:val="white"/>
          <w:lang w:eastAsia="zh-CN"/>
        </w:rPr>
        <w:t>号</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法定代表人：王洪</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成立时间：</w:t>
      </w:r>
      <w:r>
        <w:rPr>
          <w:rFonts w:ascii="宋体" w:eastAsia="宋体" w:hAnsi="Calibri"/>
          <w:sz w:val="21"/>
          <w:szCs w:val="21"/>
          <w:highlight w:val="white"/>
          <w:lang w:eastAsia="zh-CN"/>
        </w:rPr>
        <w:t>2001</w:t>
      </w:r>
      <w:r>
        <w:rPr>
          <w:rFonts w:ascii="宋体" w:eastAsia="宋体" w:hAnsi="Calibri"/>
          <w:sz w:val="21"/>
          <w:szCs w:val="21"/>
          <w:highlight w:val="white"/>
          <w:lang w:eastAsia="zh-CN"/>
        </w:rPr>
        <w:t>年</w:t>
      </w:r>
      <w:r>
        <w:rPr>
          <w:rFonts w:ascii="宋体" w:eastAsia="宋体" w:hAnsi="Calibri"/>
          <w:sz w:val="21"/>
          <w:szCs w:val="21"/>
          <w:highlight w:val="white"/>
          <w:lang w:eastAsia="zh-CN"/>
        </w:rPr>
        <w:t>5</w:t>
      </w:r>
      <w:r>
        <w:rPr>
          <w:rFonts w:ascii="宋体" w:eastAsia="宋体" w:hAnsi="Calibri"/>
          <w:sz w:val="21"/>
          <w:szCs w:val="21"/>
          <w:highlight w:val="white"/>
          <w:lang w:eastAsia="zh-CN"/>
        </w:rPr>
        <w:t>月</w:t>
      </w:r>
      <w:r>
        <w:rPr>
          <w:rFonts w:ascii="宋体" w:eastAsia="宋体" w:hAnsi="Calibri"/>
          <w:sz w:val="21"/>
          <w:szCs w:val="21"/>
          <w:highlight w:val="white"/>
          <w:lang w:eastAsia="zh-CN"/>
        </w:rPr>
        <w:t>15</w:t>
      </w:r>
      <w:r>
        <w:rPr>
          <w:rFonts w:ascii="宋体" w:eastAsia="宋体" w:hAnsi="Calibri"/>
          <w:sz w:val="21"/>
          <w:szCs w:val="21"/>
          <w:highlight w:val="white"/>
          <w:lang w:eastAsia="zh-CN"/>
        </w:rPr>
        <w:t>日</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组织形式：股份有限公司</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注册资本：</w:t>
      </w:r>
      <w:r w:rsidR="006673C4" w:rsidRPr="006673C4">
        <w:rPr>
          <w:rFonts w:ascii="宋体" w:eastAsia="宋体" w:hAnsi="Calibri"/>
          <w:sz w:val="21"/>
          <w:szCs w:val="21"/>
          <w:lang w:eastAsia="zh-CN"/>
        </w:rPr>
        <w:t>692166.3256</w:t>
      </w:r>
      <w:r>
        <w:rPr>
          <w:rFonts w:ascii="宋体" w:eastAsia="宋体" w:hAnsi="Calibri"/>
          <w:sz w:val="21"/>
          <w:szCs w:val="21"/>
          <w:highlight w:val="white"/>
          <w:lang w:eastAsia="zh-CN"/>
        </w:rPr>
        <w:t>万人民币</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存续期间：持续经营</w:t>
      </w:r>
    </w:p>
    <w:p w:rsidR="00652D20" w:rsidRDefault="00916DC1">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基金托管资格批文及文号：中国证监会证监许可</w:t>
      </w:r>
      <w:r>
        <w:rPr>
          <w:rFonts w:ascii="宋体" w:eastAsia="宋体" w:hAnsi="Calibri"/>
          <w:sz w:val="21"/>
          <w:szCs w:val="21"/>
          <w:highlight w:val="white"/>
          <w:lang w:eastAsia="zh-CN"/>
        </w:rPr>
        <w:t>[2015]3037</w:t>
      </w:r>
      <w:r>
        <w:rPr>
          <w:rFonts w:ascii="宋体" w:eastAsia="宋体" w:hAnsi="Calibri"/>
          <w:sz w:val="21"/>
          <w:szCs w:val="21"/>
          <w:highlight w:val="white"/>
          <w:lang w:eastAsia="zh-CN"/>
        </w:rPr>
        <w:t>号</w:t>
      </w:r>
    </w:p>
    <w:p w:rsidR="00652D20" w:rsidRDefault="00652D20">
      <w:pPr>
        <w:pStyle w:val="af4"/>
        <w:snapToGrid w:val="0"/>
        <w:ind w:firstLine="420"/>
        <w:rPr>
          <w:rFonts w:ascii="宋体" w:eastAsia="宋体" w:hAnsi="Calibri"/>
          <w:sz w:val="21"/>
          <w:szCs w:val="21"/>
          <w:lang w:eastAsia="zh-CN"/>
        </w:rPr>
      </w:pPr>
    </w:p>
    <w:p w:rsidR="00652D20" w:rsidRDefault="00916DC1">
      <w:pPr>
        <w:pStyle w:val="af4"/>
        <w:numPr>
          <w:ilvl w:val="1"/>
          <w:numId w:val="5"/>
        </w:numPr>
        <w:snapToGrid w:val="0"/>
        <w:ind w:left="0" w:firstLine="424"/>
        <w:rPr>
          <w:rFonts w:ascii="宋体" w:eastAsia="宋体" w:hAnsi="Calibri"/>
          <w:sz w:val="21"/>
          <w:szCs w:val="21"/>
        </w:rPr>
      </w:pPr>
      <w:r>
        <w:rPr>
          <w:rFonts w:ascii="宋体" w:eastAsia="宋体" w:hAnsi="Calibri"/>
          <w:sz w:val="21"/>
          <w:szCs w:val="21"/>
        </w:rPr>
        <w:t>销售机构</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lang w:eastAsia="zh-CN"/>
        </w:rPr>
        <w:t>1.</w:t>
      </w:r>
      <w:r>
        <w:rPr>
          <w:rFonts w:ascii="宋体" w:eastAsia="宋体" w:hAnsi="Calibri" w:hint="eastAsia"/>
          <w:szCs w:val="21"/>
          <w:lang w:eastAsia="zh-CN"/>
        </w:rPr>
        <w:t>网下现金发售直销机构：易方达基金管理有限公司</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注册地址：广东省珠海市横琴新区荣粤道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办公地址：</w:t>
      </w:r>
      <w:r w:rsidR="0012544D" w:rsidRPr="0012544D">
        <w:rPr>
          <w:rFonts w:ascii="宋体" w:eastAsia="宋体" w:hAnsi="Calibri" w:hint="eastAsia"/>
          <w:szCs w:val="21"/>
          <w:lang w:eastAsia="zh-CN"/>
        </w:rPr>
        <w:t>广东省广州市天河区珠江西路21</w:t>
      </w:r>
      <w:bookmarkStart w:id="0" w:name="_GoBack"/>
      <w:bookmarkEnd w:id="0"/>
      <w:r w:rsidR="0012544D" w:rsidRPr="0012544D">
        <w:rPr>
          <w:rFonts w:ascii="宋体" w:eastAsia="宋体" w:hAnsi="Calibri" w:hint="eastAsia"/>
          <w:szCs w:val="21"/>
          <w:lang w:eastAsia="zh-CN"/>
        </w:rPr>
        <w:t>号52层；广东省广州市天河区珠江东路30号42层；广东省珠海市横琴新区荣粤道188号6层</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法定代表人：吴欣荣</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电话：</w:t>
      </w:r>
      <w:r>
        <w:rPr>
          <w:rFonts w:ascii="宋体" w:eastAsia="宋体" w:hAnsi="Calibri" w:hint="eastAsia"/>
          <w:szCs w:val="21"/>
          <w:highlight w:val="white"/>
          <w:lang w:eastAsia="zh-CN"/>
        </w:rPr>
        <w:t>020-85102506</w:t>
      </w:r>
    </w:p>
    <w:p w:rsidR="00652D20" w:rsidRDefault="00916DC1">
      <w:pPr>
        <w:spacing w:line="360" w:lineRule="auto"/>
        <w:ind w:firstLine="420"/>
        <w:rPr>
          <w:rFonts w:ascii="宋体" w:eastAsia="宋体" w:hAnsi="Calibri"/>
          <w:szCs w:val="21"/>
        </w:rPr>
      </w:pPr>
      <w:r>
        <w:rPr>
          <w:rFonts w:ascii="宋体" w:eastAsia="宋体" w:hAnsi="Calibri" w:hint="eastAsia"/>
          <w:szCs w:val="21"/>
          <w:highlight w:val="white"/>
        </w:rPr>
        <w:t>传真：</w:t>
      </w:r>
      <w:r>
        <w:rPr>
          <w:rFonts w:ascii="宋体" w:eastAsia="宋体" w:hAnsi="Calibri" w:hint="eastAsia"/>
          <w:szCs w:val="21"/>
          <w:highlight w:val="white"/>
        </w:rPr>
        <w:t>4008818099</w:t>
      </w:r>
    </w:p>
    <w:p w:rsidR="00652D20" w:rsidRDefault="00916DC1">
      <w:pPr>
        <w:spacing w:line="360" w:lineRule="auto"/>
        <w:ind w:firstLine="420"/>
        <w:rPr>
          <w:rFonts w:ascii="宋体" w:eastAsia="宋体" w:hAnsi="Calibri"/>
          <w:szCs w:val="21"/>
        </w:rPr>
      </w:pPr>
      <w:r>
        <w:rPr>
          <w:rFonts w:ascii="宋体" w:eastAsia="宋体" w:hAnsi="Calibri" w:hint="eastAsia"/>
          <w:szCs w:val="21"/>
          <w:highlight w:val="white"/>
        </w:rPr>
        <w:t>联系人：梁美</w:t>
      </w:r>
    </w:p>
    <w:p w:rsidR="00652D20" w:rsidRDefault="00916DC1">
      <w:pPr>
        <w:spacing w:line="360" w:lineRule="auto"/>
        <w:ind w:firstLine="420"/>
        <w:rPr>
          <w:rFonts w:ascii="宋体" w:eastAsia="宋体" w:hAnsi="Calibri"/>
          <w:szCs w:val="21"/>
        </w:rPr>
      </w:pPr>
      <w:r>
        <w:rPr>
          <w:rFonts w:ascii="宋体" w:eastAsia="宋体" w:hAnsi="Calibri" w:hint="eastAsia"/>
          <w:szCs w:val="21"/>
          <w:highlight w:val="white"/>
        </w:rPr>
        <w:t>网址：</w:t>
      </w:r>
      <w:r>
        <w:rPr>
          <w:rFonts w:ascii="宋体" w:eastAsia="宋体" w:hAnsi="Calibri" w:hint="eastAsia"/>
          <w:szCs w:val="21"/>
          <w:highlight w:val="white"/>
        </w:rPr>
        <w:t>www.efunds.com.cn</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直销机构网点信息：</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本公司直销中心销售本基金，网点具体信息详见本公司网站。</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lang w:eastAsia="zh-CN"/>
        </w:rPr>
        <w:t>2.</w:t>
      </w:r>
      <w:r>
        <w:rPr>
          <w:rFonts w:ascii="宋体" w:eastAsia="宋体" w:hAnsi="Calibri" w:hint="eastAsia"/>
          <w:szCs w:val="21"/>
          <w:lang w:eastAsia="zh-CN"/>
        </w:rPr>
        <w:t>网下现金发售代理机构</w:t>
      </w:r>
    </w:p>
    <w:p w:rsidR="006546CD" w:rsidRDefault="00916DC1">
      <w:pPr>
        <w:spacing w:line="360" w:lineRule="auto"/>
        <w:ind w:firstLine="420"/>
        <w:rPr>
          <w:rFonts w:ascii="宋体" w:eastAsia="宋体" w:hAnsi="Calibri"/>
          <w:szCs w:val="21"/>
          <w:lang w:eastAsia="zh-CN"/>
        </w:rPr>
      </w:pPr>
      <w:r>
        <w:rPr>
          <w:rFonts w:ascii="宋体" w:eastAsia="宋体" w:hAnsi="Calibri"/>
          <w:szCs w:val="21"/>
          <w:lang w:eastAsia="zh-CN"/>
        </w:rPr>
        <w:t>暂无。</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lang w:eastAsia="zh-CN"/>
        </w:rPr>
        <w:t>基金管理人可根据实际情况变更或增减网下现金发售代理机构，并在基金管理人网站公示。</w:t>
      </w:r>
    </w:p>
    <w:p w:rsidR="00652D20" w:rsidRDefault="00916DC1">
      <w:pPr>
        <w:spacing w:line="360" w:lineRule="auto"/>
        <w:ind w:firstLine="420"/>
        <w:rPr>
          <w:rFonts w:ascii="宋体" w:eastAsia="宋体" w:hAnsi="Calibri"/>
          <w:szCs w:val="21"/>
          <w:lang w:eastAsia="zh-CN"/>
        </w:rPr>
      </w:pPr>
      <w:r>
        <w:rPr>
          <w:rFonts w:ascii="宋体" w:eastAsia="宋体" w:hAnsi="Calibri" w:hint="eastAsia"/>
          <w:szCs w:val="21"/>
          <w:lang w:eastAsia="zh-CN"/>
        </w:rPr>
        <w:t>3.</w:t>
      </w:r>
      <w:r>
        <w:rPr>
          <w:rFonts w:ascii="宋体" w:eastAsia="宋体" w:hAnsi="Calibri" w:hint="eastAsia"/>
          <w:szCs w:val="21"/>
          <w:lang w:eastAsia="zh-CN"/>
        </w:rPr>
        <w:t>网上现金发售代理机构</w:t>
      </w:r>
    </w:p>
    <w:p w:rsidR="00652D20" w:rsidRDefault="00916DC1">
      <w:pPr>
        <w:spacing w:line="360" w:lineRule="auto"/>
        <w:ind w:firstLine="420"/>
        <w:rPr>
          <w:rStyle w:val="da"/>
          <w:rFonts w:ascii="宋体" w:eastAsia="宋体" w:hAnsi="Calibri"/>
          <w:lang w:eastAsia="zh-CN"/>
        </w:rPr>
      </w:pPr>
      <w:r>
        <w:rPr>
          <w:rFonts w:ascii="宋体" w:eastAsia="宋体" w:hAnsi="Calibri" w:hint="eastAsia"/>
          <w:szCs w:val="21"/>
          <w:lang w:eastAsia="zh-CN"/>
        </w:rPr>
        <w:t>网上现金发售通过具有基金销售业务资格的上海证券交易所会员单位办理，具体名单可在上海证券交易所网站查询。</w:t>
      </w:r>
    </w:p>
    <w:p w:rsidR="00652D20" w:rsidRDefault="00652D20">
      <w:pPr>
        <w:spacing w:line="360" w:lineRule="auto"/>
        <w:ind w:firstLine="420"/>
        <w:rPr>
          <w:rStyle w:val="da"/>
          <w:rFonts w:ascii="宋体" w:eastAsia="宋体" w:hAnsi="Calibri"/>
          <w:lang w:eastAsia="zh-CN"/>
        </w:rPr>
      </w:pPr>
    </w:p>
    <w:p w:rsidR="00652D20" w:rsidRDefault="00916DC1">
      <w:pPr>
        <w:pStyle w:val="af4"/>
        <w:numPr>
          <w:ilvl w:val="1"/>
          <w:numId w:val="5"/>
        </w:numPr>
        <w:snapToGrid w:val="0"/>
        <w:ind w:left="0" w:firstLine="485"/>
        <w:rPr>
          <w:rFonts w:ascii="宋体" w:eastAsia="宋体" w:hAnsi="Calibri"/>
          <w:sz w:val="21"/>
          <w:szCs w:val="21"/>
        </w:rPr>
      </w:pPr>
      <w:r>
        <w:rPr>
          <w:rFonts w:ascii="宋体" w:eastAsia="宋体" w:hAnsi="Calibri" w:hint="eastAsia"/>
          <w:sz w:val="21"/>
          <w:szCs w:val="21"/>
        </w:rPr>
        <w:t>登记结算机构</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名称：中国证券登记结算有限责任公司</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住所：北京市西城区太平桥大街</w:t>
      </w:r>
      <w:r>
        <w:rPr>
          <w:rStyle w:val="da"/>
          <w:rFonts w:ascii="宋体" w:eastAsia="宋体" w:hAnsi="Calibri"/>
          <w:highlight w:val="white"/>
          <w:lang w:eastAsia="zh-CN"/>
        </w:rPr>
        <w:t>17</w:t>
      </w:r>
      <w:r>
        <w:rPr>
          <w:rStyle w:val="da"/>
          <w:rFonts w:ascii="宋体" w:eastAsia="宋体" w:hAnsi="Calibri"/>
          <w:highlight w:val="white"/>
          <w:lang w:eastAsia="zh-CN"/>
        </w:rPr>
        <w:t>号</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办公地址：北京市西城区太平桥大街</w:t>
      </w:r>
      <w:r>
        <w:rPr>
          <w:rStyle w:val="da"/>
          <w:rFonts w:ascii="宋体" w:eastAsia="宋体" w:hAnsi="Calibri"/>
          <w:highlight w:val="white"/>
          <w:lang w:eastAsia="zh-CN"/>
        </w:rPr>
        <w:t>17</w:t>
      </w:r>
      <w:r>
        <w:rPr>
          <w:rStyle w:val="da"/>
          <w:rFonts w:ascii="宋体" w:eastAsia="宋体" w:hAnsi="Calibri"/>
          <w:highlight w:val="white"/>
          <w:lang w:eastAsia="zh-CN"/>
        </w:rPr>
        <w:t>号</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法定代表人：于文强</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联系人：郑奕莉</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021</w:t>
      </w:r>
      <w:r>
        <w:rPr>
          <w:rStyle w:val="da"/>
          <w:rFonts w:ascii="宋体" w:eastAsia="宋体" w:hAnsi="Calibri"/>
          <w:highlight w:val="white"/>
          <w:lang w:eastAsia="zh-CN"/>
        </w:rPr>
        <w:t>）</w:t>
      </w:r>
      <w:r>
        <w:rPr>
          <w:rStyle w:val="da"/>
          <w:rFonts w:ascii="宋体" w:eastAsia="宋体" w:hAnsi="Calibri"/>
          <w:highlight w:val="white"/>
          <w:lang w:eastAsia="zh-CN"/>
        </w:rPr>
        <w:t>58872935</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021</w:t>
      </w:r>
      <w:r>
        <w:rPr>
          <w:rStyle w:val="da"/>
          <w:rFonts w:ascii="宋体" w:eastAsia="宋体" w:hAnsi="Calibri"/>
          <w:highlight w:val="white"/>
          <w:lang w:eastAsia="zh-CN"/>
        </w:rPr>
        <w:t>）</w:t>
      </w:r>
      <w:r>
        <w:rPr>
          <w:rStyle w:val="da"/>
          <w:rFonts w:ascii="宋体" w:eastAsia="宋体" w:hAnsi="Calibri"/>
          <w:highlight w:val="white"/>
          <w:lang w:eastAsia="zh-CN"/>
        </w:rPr>
        <w:t>68870311</w:t>
      </w:r>
    </w:p>
    <w:p w:rsidR="00652D20" w:rsidRDefault="00652D20">
      <w:pPr>
        <w:pStyle w:val="af4"/>
        <w:snapToGrid w:val="0"/>
        <w:rPr>
          <w:rFonts w:ascii="宋体" w:eastAsia="宋体" w:hAnsi="Calibri"/>
          <w:sz w:val="21"/>
          <w:szCs w:val="21"/>
          <w:lang w:eastAsia="zh-CN"/>
        </w:rPr>
      </w:pPr>
    </w:p>
    <w:p w:rsidR="00652D20" w:rsidRDefault="00916DC1">
      <w:pPr>
        <w:pStyle w:val="af4"/>
        <w:numPr>
          <w:ilvl w:val="1"/>
          <w:numId w:val="5"/>
        </w:numPr>
        <w:snapToGrid w:val="0"/>
        <w:ind w:left="0" w:firstLine="485"/>
        <w:rPr>
          <w:rFonts w:ascii="宋体" w:eastAsia="宋体" w:hAnsi="Calibri"/>
          <w:sz w:val="21"/>
          <w:szCs w:val="21"/>
        </w:rPr>
      </w:pPr>
      <w:r>
        <w:rPr>
          <w:rFonts w:ascii="宋体" w:eastAsia="宋体" w:hAnsi="Calibri" w:hint="eastAsia"/>
          <w:sz w:val="21"/>
          <w:szCs w:val="21"/>
        </w:rPr>
        <w:t>律师事务所和经办律师</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律师事务所：广东金桥百信律师事务所</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住所：广东省广州市天河区珠江东路</w:t>
      </w:r>
      <w:r>
        <w:rPr>
          <w:rStyle w:val="da"/>
          <w:rFonts w:ascii="宋体" w:eastAsia="宋体" w:hAnsi="Calibri"/>
          <w:highlight w:val="white"/>
          <w:lang w:eastAsia="zh-CN"/>
        </w:rPr>
        <w:t>16</w:t>
      </w:r>
      <w:r>
        <w:rPr>
          <w:rStyle w:val="da"/>
          <w:rFonts w:ascii="宋体" w:eastAsia="宋体" w:hAnsi="Calibri"/>
          <w:highlight w:val="white"/>
          <w:lang w:eastAsia="zh-CN"/>
        </w:rPr>
        <w:t>号</w:t>
      </w:r>
      <w:r>
        <w:rPr>
          <w:rStyle w:val="da"/>
          <w:rFonts w:ascii="宋体" w:eastAsia="宋体" w:hAnsi="Calibri"/>
          <w:highlight w:val="white"/>
          <w:lang w:eastAsia="zh-CN"/>
        </w:rPr>
        <w:t>24-26</w:t>
      </w:r>
      <w:r>
        <w:rPr>
          <w:rStyle w:val="da"/>
          <w:rFonts w:ascii="宋体" w:eastAsia="宋体" w:hAnsi="Calibri"/>
          <w:highlight w:val="white"/>
          <w:lang w:eastAsia="zh-CN"/>
        </w:rPr>
        <w:t>层</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办公地址：广州市珠江新城珠江东路</w:t>
      </w:r>
      <w:r>
        <w:rPr>
          <w:rStyle w:val="da"/>
          <w:rFonts w:ascii="宋体" w:eastAsia="宋体" w:hAnsi="Calibri"/>
          <w:highlight w:val="white"/>
          <w:lang w:eastAsia="zh-CN"/>
        </w:rPr>
        <w:t>16</w:t>
      </w:r>
      <w:r>
        <w:rPr>
          <w:rStyle w:val="da"/>
          <w:rFonts w:ascii="宋体" w:eastAsia="宋体" w:hAnsi="Calibri"/>
          <w:highlight w:val="white"/>
          <w:lang w:eastAsia="zh-CN"/>
        </w:rPr>
        <w:t>号高德置地冬广场</w:t>
      </w:r>
      <w:r>
        <w:rPr>
          <w:rStyle w:val="da"/>
          <w:rFonts w:ascii="宋体" w:eastAsia="宋体" w:hAnsi="Calibri"/>
          <w:highlight w:val="white"/>
          <w:lang w:eastAsia="zh-CN"/>
        </w:rPr>
        <w:t>G</w:t>
      </w:r>
      <w:r>
        <w:rPr>
          <w:rStyle w:val="da"/>
          <w:rFonts w:ascii="宋体" w:eastAsia="宋体" w:hAnsi="Calibri"/>
          <w:highlight w:val="white"/>
          <w:lang w:eastAsia="zh-CN"/>
        </w:rPr>
        <w:t>座</w:t>
      </w:r>
      <w:r>
        <w:rPr>
          <w:rStyle w:val="da"/>
          <w:rFonts w:ascii="宋体" w:eastAsia="宋体" w:hAnsi="Calibri"/>
          <w:highlight w:val="white"/>
          <w:lang w:eastAsia="zh-CN"/>
        </w:rPr>
        <w:t>26</w:t>
      </w:r>
      <w:r>
        <w:rPr>
          <w:rStyle w:val="da"/>
          <w:rFonts w:ascii="宋体" w:eastAsia="宋体" w:hAnsi="Calibri"/>
          <w:highlight w:val="white"/>
          <w:lang w:eastAsia="zh-CN"/>
        </w:rPr>
        <w:t>楼</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负责人：祝志群</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020-83338668</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020-83338088</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经办律师：郭东雪、谭俊辉</w:t>
      </w:r>
    </w:p>
    <w:p w:rsidR="00652D20" w:rsidRDefault="00916DC1">
      <w:pPr>
        <w:spacing w:line="360" w:lineRule="auto"/>
        <w:ind w:firstLine="420"/>
        <w:rPr>
          <w:rStyle w:val="da"/>
          <w:rFonts w:ascii="宋体" w:eastAsia="宋体" w:hAnsi="Calibri"/>
        </w:rPr>
      </w:pPr>
      <w:r>
        <w:rPr>
          <w:rStyle w:val="da"/>
          <w:rFonts w:ascii="宋体" w:eastAsia="宋体" w:hAnsi="Calibri"/>
          <w:highlight w:val="white"/>
        </w:rPr>
        <w:t>联系人：</w:t>
      </w:r>
      <w:r w:rsidR="00BB751C" w:rsidRPr="00BB751C">
        <w:rPr>
          <w:rStyle w:val="da"/>
          <w:rFonts w:ascii="宋体" w:eastAsia="宋体" w:hAnsi="Calibri" w:hint="eastAsia"/>
        </w:rPr>
        <w:t>李海滢</w:t>
      </w:r>
    </w:p>
    <w:p w:rsidR="00652D20" w:rsidRDefault="00652D20">
      <w:pPr>
        <w:spacing w:line="360" w:lineRule="auto"/>
        <w:ind w:firstLine="420"/>
        <w:rPr>
          <w:rStyle w:val="da"/>
          <w:rFonts w:ascii="宋体" w:eastAsia="宋体" w:hAnsi="Calibri"/>
        </w:rPr>
      </w:pPr>
    </w:p>
    <w:p w:rsidR="00652D20" w:rsidRDefault="00916DC1">
      <w:pPr>
        <w:pStyle w:val="af4"/>
        <w:numPr>
          <w:ilvl w:val="1"/>
          <w:numId w:val="5"/>
        </w:numPr>
        <w:snapToGrid w:val="0"/>
        <w:ind w:left="0" w:firstLine="485"/>
        <w:rPr>
          <w:rFonts w:ascii="宋体" w:eastAsia="宋体" w:hAnsi="Calibri"/>
          <w:sz w:val="21"/>
          <w:szCs w:val="21"/>
        </w:rPr>
      </w:pPr>
      <w:r>
        <w:rPr>
          <w:rFonts w:ascii="宋体" w:eastAsia="宋体" w:hAnsi="Calibri"/>
          <w:sz w:val="21"/>
          <w:szCs w:val="21"/>
        </w:rPr>
        <w:t>会计师事务所</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本基金的法定验资机构为安永华明会计师事务所（特殊普通合伙）。</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会计师事务所：安永华明会计师事务所（特殊普通合伙）</w:t>
      </w:r>
      <w:r>
        <w:rPr>
          <w:rStyle w:val="da"/>
          <w:rFonts w:ascii="宋体" w:eastAsia="宋体" w:hAnsi="Calibri"/>
          <w:highlight w:val="white"/>
          <w:lang w:eastAsia="zh-CN"/>
        </w:rPr>
        <w:t xml:space="preserve"> </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住所：北京市东城区东长安街</w:t>
      </w:r>
      <w:r>
        <w:rPr>
          <w:rStyle w:val="da"/>
          <w:rFonts w:ascii="宋体" w:eastAsia="宋体" w:hAnsi="Calibri"/>
          <w:highlight w:val="white"/>
          <w:lang w:eastAsia="zh-CN"/>
        </w:rPr>
        <w:t>1</w:t>
      </w:r>
      <w:r>
        <w:rPr>
          <w:rStyle w:val="da"/>
          <w:rFonts w:ascii="宋体" w:eastAsia="宋体" w:hAnsi="Calibri"/>
          <w:highlight w:val="white"/>
          <w:lang w:eastAsia="zh-CN"/>
        </w:rPr>
        <w:t>号东方广场安永大楼</w:t>
      </w:r>
      <w:r>
        <w:rPr>
          <w:rStyle w:val="da"/>
          <w:rFonts w:ascii="宋体" w:eastAsia="宋体" w:hAnsi="Calibri"/>
          <w:highlight w:val="white"/>
          <w:lang w:eastAsia="zh-CN"/>
        </w:rPr>
        <w:t>17</w:t>
      </w:r>
      <w:r>
        <w:rPr>
          <w:rStyle w:val="da"/>
          <w:rFonts w:ascii="宋体" w:eastAsia="宋体" w:hAnsi="Calibri"/>
          <w:highlight w:val="white"/>
          <w:lang w:eastAsia="zh-CN"/>
        </w:rPr>
        <w:t>层</w:t>
      </w:r>
      <w:r>
        <w:rPr>
          <w:rStyle w:val="da"/>
          <w:rFonts w:ascii="宋体" w:eastAsia="宋体" w:hAnsi="Calibri"/>
          <w:highlight w:val="white"/>
          <w:lang w:eastAsia="zh-CN"/>
        </w:rPr>
        <w:t>01-12</w:t>
      </w:r>
      <w:r>
        <w:rPr>
          <w:rStyle w:val="da"/>
          <w:rFonts w:ascii="宋体" w:eastAsia="宋体" w:hAnsi="Calibri"/>
          <w:highlight w:val="white"/>
          <w:lang w:eastAsia="zh-CN"/>
        </w:rPr>
        <w:t>室</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主要经营场所：北京市东城区东长安街</w:t>
      </w:r>
      <w:r>
        <w:rPr>
          <w:rStyle w:val="da"/>
          <w:rFonts w:ascii="宋体" w:eastAsia="宋体" w:hAnsi="Calibri"/>
          <w:highlight w:val="white"/>
          <w:lang w:eastAsia="zh-CN"/>
        </w:rPr>
        <w:t>1</w:t>
      </w:r>
      <w:r>
        <w:rPr>
          <w:rStyle w:val="da"/>
          <w:rFonts w:ascii="宋体" w:eastAsia="宋体" w:hAnsi="Calibri"/>
          <w:highlight w:val="white"/>
          <w:lang w:eastAsia="zh-CN"/>
        </w:rPr>
        <w:t>号东方广场安永大楼</w:t>
      </w:r>
      <w:r>
        <w:rPr>
          <w:rStyle w:val="da"/>
          <w:rFonts w:ascii="宋体" w:eastAsia="宋体" w:hAnsi="Calibri"/>
          <w:highlight w:val="white"/>
          <w:lang w:eastAsia="zh-CN"/>
        </w:rPr>
        <w:t>17</w:t>
      </w:r>
      <w:r>
        <w:rPr>
          <w:rStyle w:val="da"/>
          <w:rFonts w:ascii="宋体" w:eastAsia="宋体" w:hAnsi="Calibri"/>
          <w:highlight w:val="white"/>
          <w:lang w:eastAsia="zh-CN"/>
        </w:rPr>
        <w:t>层</w:t>
      </w:r>
      <w:r>
        <w:rPr>
          <w:rStyle w:val="da"/>
          <w:rFonts w:ascii="宋体" w:eastAsia="宋体" w:hAnsi="Calibri"/>
          <w:highlight w:val="white"/>
          <w:lang w:eastAsia="zh-CN"/>
        </w:rPr>
        <w:t>01-12</w:t>
      </w:r>
      <w:r>
        <w:rPr>
          <w:rStyle w:val="da"/>
          <w:rFonts w:ascii="宋体" w:eastAsia="宋体" w:hAnsi="Calibri"/>
          <w:highlight w:val="white"/>
          <w:lang w:eastAsia="zh-CN"/>
        </w:rPr>
        <w:t>室</w:t>
      </w:r>
      <w:r>
        <w:rPr>
          <w:rStyle w:val="da"/>
          <w:rFonts w:ascii="宋体" w:eastAsia="宋体" w:hAnsi="Calibri"/>
          <w:highlight w:val="white"/>
          <w:lang w:eastAsia="zh-CN"/>
        </w:rPr>
        <w:t xml:space="preserve"> </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执行事务合伙人：毛鞍宁</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 xml:space="preserve">010-58153000 </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 xml:space="preserve">010-85188298 </w:t>
      </w:r>
    </w:p>
    <w:p w:rsidR="00652D20" w:rsidRDefault="00916DC1">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联系人：赵雅</w:t>
      </w:r>
    </w:p>
    <w:p w:rsidR="00652D20" w:rsidRDefault="00652D20">
      <w:pPr>
        <w:spacing w:line="360" w:lineRule="auto"/>
        <w:ind w:firstLine="420"/>
        <w:rPr>
          <w:rStyle w:val="da"/>
          <w:rFonts w:ascii="宋体" w:eastAsia="宋体" w:hAnsi="Calibri"/>
          <w:lang w:eastAsia="zh-CN"/>
        </w:rPr>
      </w:pPr>
    </w:p>
    <w:p w:rsidR="00652D20" w:rsidRDefault="00916DC1">
      <w:pPr>
        <w:snapToGrid w:val="0"/>
        <w:spacing w:line="360" w:lineRule="auto"/>
        <w:ind w:firstLine="420"/>
        <w:jc w:val="right"/>
        <w:rPr>
          <w:rFonts w:ascii="宋体" w:eastAsia="宋体" w:hAnsi="Calibri"/>
          <w:szCs w:val="21"/>
          <w:lang w:eastAsia="zh-CN"/>
        </w:rPr>
      </w:pPr>
      <w:r>
        <w:rPr>
          <w:rFonts w:ascii="宋体" w:eastAsia="宋体" w:hAnsi="Calibri" w:hint="eastAsia"/>
          <w:szCs w:val="21"/>
          <w:lang w:eastAsia="zh-CN"/>
        </w:rPr>
        <w:t>易方达基金管理有限公司</w:t>
      </w:r>
    </w:p>
    <w:p w:rsidR="00652D20" w:rsidRDefault="0083006D">
      <w:pPr>
        <w:snapToGrid w:val="0"/>
        <w:spacing w:line="360" w:lineRule="auto"/>
        <w:ind w:right="210" w:firstLine="420"/>
        <w:jc w:val="right"/>
        <w:rPr>
          <w:rFonts w:ascii="宋体" w:eastAsia="宋体" w:hAnsi="Calibri"/>
          <w:szCs w:val="21"/>
        </w:rPr>
      </w:pPr>
      <w:r>
        <w:rPr>
          <w:rFonts w:ascii="宋体" w:eastAsia="宋体" w:hAnsi="Calibri"/>
          <w:szCs w:val="21"/>
        </w:rPr>
        <w:t>2025</w:t>
      </w:r>
      <w:r w:rsidR="00916DC1">
        <w:rPr>
          <w:rFonts w:ascii="宋体" w:eastAsia="宋体" w:hAnsi="Calibri" w:hint="eastAsia"/>
          <w:szCs w:val="21"/>
        </w:rPr>
        <w:t>年</w:t>
      </w:r>
      <w:r>
        <w:rPr>
          <w:rFonts w:ascii="宋体" w:eastAsia="宋体" w:hAnsi="Calibri"/>
          <w:szCs w:val="21"/>
        </w:rPr>
        <w:t>1</w:t>
      </w:r>
      <w:r w:rsidR="0012544D">
        <w:rPr>
          <w:rFonts w:ascii="宋体" w:eastAsia="宋体" w:hAnsi="Calibri"/>
          <w:szCs w:val="21"/>
        </w:rPr>
        <w:t>2</w:t>
      </w:r>
      <w:r w:rsidR="00916DC1">
        <w:rPr>
          <w:rFonts w:ascii="宋体" w:eastAsia="宋体" w:hAnsi="Calibri"/>
          <w:szCs w:val="21"/>
        </w:rPr>
        <w:t>月</w:t>
      </w:r>
      <w:r w:rsidR="0012544D">
        <w:rPr>
          <w:rFonts w:ascii="宋体" w:eastAsia="宋体" w:hAnsi="Calibri"/>
          <w:szCs w:val="21"/>
        </w:rPr>
        <w:t>9</w:t>
      </w:r>
      <w:r w:rsidR="00916DC1">
        <w:rPr>
          <w:rFonts w:ascii="宋体" w:eastAsia="宋体" w:hAnsi="Calibri"/>
          <w:szCs w:val="21"/>
        </w:rPr>
        <w:t>日</w:t>
      </w:r>
    </w:p>
    <w:sectPr w:rsidR="00652D20" w:rsidSect="002A349D">
      <w:headerReference w:type="first" r:id="rId12"/>
      <w:footerReference w:type="first" r:id="rId13"/>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49D" w:rsidRDefault="002A349D" w:rsidP="002A349D">
      <w:r>
        <w:separator/>
      </w:r>
    </w:p>
  </w:endnote>
  <w:endnote w:type="continuationSeparator" w:id="0">
    <w:p w:rsidR="002A349D" w:rsidRDefault="002A349D" w:rsidP="002A3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Consolas"/>
    <w:panose1 w:val="02010609030101010101"/>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20" w:rsidRDefault="002A349D">
    <w:pPr>
      <w:pStyle w:val="af1"/>
      <w:snapToGrid/>
      <w:rPr>
        <w:rStyle w:val="af2"/>
      </w:rPr>
    </w:pPr>
    <w:r w:rsidRPr="002A349D">
      <w:rPr>
        <w:rStyle w:val="af2"/>
      </w:rPr>
      <w:fldChar w:fldCharType="begin"/>
    </w:r>
    <w:r w:rsidR="00916DC1">
      <w:rPr>
        <w:rStyle w:val="af2"/>
      </w:rPr>
      <w:instrText xml:space="preserve">PAGE  </w:instrText>
    </w:r>
    <w:r>
      <w:fldChar w:fldCharType="end"/>
    </w:r>
  </w:p>
  <w:p w:rsidR="00652D20" w:rsidRDefault="00652D20">
    <w:pPr>
      <w:pStyle w:val="af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20" w:rsidRDefault="002A349D">
    <w:pPr>
      <w:pStyle w:val="af1"/>
      <w:snapToGrid/>
      <w:jc w:val="center"/>
    </w:pPr>
    <w:r>
      <w:rPr>
        <w:rStyle w:val="af2"/>
      </w:rPr>
      <w:fldChar w:fldCharType="begin"/>
    </w:r>
    <w:r w:rsidR="00916DC1">
      <w:rPr>
        <w:rStyle w:val="af2"/>
      </w:rPr>
      <w:instrText xml:space="preserve">PAGE  </w:instrText>
    </w:r>
    <w:r>
      <w:rPr>
        <w:rStyle w:val="af2"/>
      </w:rPr>
      <w:fldChar w:fldCharType="separate"/>
    </w:r>
    <w:r w:rsidR="00916DC1">
      <w:rPr>
        <w:rStyle w:val="af2"/>
      </w:rPr>
      <w:t>15</w:t>
    </w:r>
    <w:r>
      <w:rPr>
        <w:rStyle w:val="a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20" w:rsidRDefault="002A349D">
    <w:pPr>
      <w:pStyle w:val="af1"/>
      <w:snapToGrid/>
      <w:jc w:val="center"/>
    </w:pPr>
    <w:r w:rsidRPr="002A349D">
      <w:fldChar w:fldCharType="begin"/>
    </w:r>
    <w:r w:rsidR="00916DC1">
      <w:instrText xml:space="preserve"> PAGE   \* MERGEFORMAT </w:instrText>
    </w:r>
    <w:r w:rsidRPr="002A349D">
      <w:fldChar w:fldCharType="separate"/>
    </w:r>
    <w:r w:rsidR="00916DC1" w:rsidRPr="00916DC1">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49D" w:rsidRDefault="002A349D" w:rsidP="002A349D">
      <w:r>
        <w:separator/>
      </w:r>
    </w:p>
  </w:footnote>
  <w:footnote w:type="continuationSeparator" w:id="0">
    <w:p w:rsidR="002A349D" w:rsidRDefault="002A349D" w:rsidP="002A3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20" w:rsidRDefault="00916DC1">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20" w:rsidRDefault="00652D20">
    <w:pPr>
      <w:pStyle w:val="af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20" w:rsidRDefault="00916DC1">
    <w:r>
      <w:rPr>
        <w:rFonts w:hint="eastAsia"/>
      </w:rPr>
      <w:t xml:space="preserve">                                                  </w:t>
    </w:r>
  </w:p>
  <w:p w:rsidR="00652D20" w:rsidRDefault="00652D20">
    <w:pPr>
      <w:pStyle w:val="af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510F"/>
    <w:multiLevelType w:val="hybridMultilevel"/>
    <w:tmpl w:val="00000000"/>
    <w:lvl w:ilvl="0" w:tplc="DB6EA7CA">
      <w:start w:val="1"/>
      <w:numFmt w:val="chineseCountingThousand"/>
      <w:lvlText w:val="（%1）"/>
      <w:lvlJc w:val="left"/>
      <w:pPr>
        <w:ind w:left="840" w:hanging="420"/>
      </w:pPr>
      <w:rPr>
        <w:rFonts w:hint="eastAsia"/>
        <w:sz w:val="21"/>
        <w:szCs w:val="21"/>
      </w:rPr>
    </w:lvl>
    <w:lvl w:ilvl="1" w:tplc="93A810AC">
      <w:start w:val="3"/>
      <w:numFmt w:val="chineseCountingThousand"/>
      <w:lvlText w:val="（%2）"/>
      <w:lvlJc w:val="left"/>
      <w:pPr>
        <w:ind w:left="5524" w:hanging="420"/>
      </w:pPr>
      <w:rPr>
        <w:rFonts w:hint="eastAsia"/>
        <w:sz w:val="21"/>
        <w:szCs w:val="21"/>
      </w:rPr>
    </w:lvl>
    <w:lvl w:ilvl="2" w:tplc="16CE3DA2">
      <w:start w:val="1"/>
      <w:numFmt w:val="lowerRoman"/>
      <w:lvlText w:val="%3."/>
      <w:lvlJc w:val="right"/>
      <w:pPr>
        <w:ind w:left="1680" w:hanging="420"/>
      </w:pPr>
    </w:lvl>
    <w:lvl w:ilvl="3" w:tplc="C83A0DF0">
      <w:start w:val="1"/>
      <w:numFmt w:val="decimal"/>
      <w:lvlText w:val="%4."/>
      <w:lvlJc w:val="left"/>
      <w:pPr>
        <w:ind w:left="2100" w:hanging="420"/>
      </w:pPr>
    </w:lvl>
    <w:lvl w:ilvl="4" w:tplc="FED002A8">
      <w:start w:val="1"/>
      <w:numFmt w:val="lowerLetter"/>
      <w:lvlText w:val="%5)"/>
      <w:lvlJc w:val="left"/>
      <w:pPr>
        <w:ind w:left="2520" w:hanging="420"/>
      </w:pPr>
    </w:lvl>
    <w:lvl w:ilvl="5" w:tplc="6372A188">
      <w:start w:val="1"/>
      <w:numFmt w:val="lowerRoman"/>
      <w:lvlText w:val="%6."/>
      <w:lvlJc w:val="right"/>
      <w:pPr>
        <w:ind w:left="2940" w:hanging="420"/>
      </w:pPr>
    </w:lvl>
    <w:lvl w:ilvl="6" w:tplc="88EC50E8">
      <w:start w:val="1"/>
      <w:numFmt w:val="decimal"/>
      <w:lvlText w:val="%7."/>
      <w:lvlJc w:val="left"/>
      <w:pPr>
        <w:ind w:left="3360" w:hanging="420"/>
      </w:pPr>
    </w:lvl>
    <w:lvl w:ilvl="7" w:tplc="408236EE">
      <w:start w:val="1"/>
      <w:numFmt w:val="lowerLetter"/>
      <w:lvlText w:val="%8)"/>
      <w:lvlJc w:val="left"/>
      <w:pPr>
        <w:ind w:left="3780" w:hanging="420"/>
      </w:pPr>
    </w:lvl>
    <w:lvl w:ilvl="8" w:tplc="99886530">
      <w:start w:val="1"/>
      <w:numFmt w:val="lowerRoman"/>
      <w:lvlText w:val="%9."/>
      <w:lvlJc w:val="right"/>
      <w:pPr>
        <w:ind w:left="4200" w:hanging="420"/>
      </w:pPr>
    </w:lvl>
  </w:abstractNum>
  <w:abstractNum w:abstractNumId="1">
    <w:nsid w:val="1BEFF133"/>
    <w:multiLevelType w:val="hybridMultilevel"/>
    <w:tmpl w:val="00000000"/>
    <w:lvl w:ilvl="0" w:tplc="F1ACFFF8">
      <w:start w:val="1"/>
      <w:numFmt w:val="decimal"/>
      <w:lvlText w:val="%1."/>
      <w:lvlJc w:val="left"/>
      <w:pPr>
        <w:tabs>
          <w:tab w:val="num" w:pos="900"/>
        </w:tabs>
        <w:ind w:left="-27" w:firstLine="567"/>
      </w:pPr>
      <w:rPr>
        <w:rFonts w:ascii="Times New Roman" w:hAnsi="Times New Roman" w:cs="Times New Roman" w:hint="default"/>
      </w:rPr>
    </w:lvl>
    <w:lvl w:ilvl="1" w:tplc="65562C02">
      <w:start w:val="1"/>
      <w:numFmt w:val="decimal"/>
      <w:lvlText w:val="%2."/>
      <w:lvlJc w:val="left"/>
      <w:pPr>
        <w:tabs>
          <w:tab w:val="num" w:pos="780"/>
        </w:tabs>
        <w:ind w:left="780" w:hanging="360"/>
      </w:pPr>
      <w:rPr>
        <w:rFonts w:hint="default"/>
      </w:rPr>
    </w:lvl>
    <w:lvl w:ilvl="2" w:tplc="A25871A8">
      <w:start w:val="1"/>
      <w:numFmt w:val="lowerRoman"/>
      <w:lvlText w:val="%3."/>
      <w:lvlJc w:val="right"/>
      <w:pPr>
        <w:tabs>
          <w:tab w:val="num" w:pos="1260"/>
        </w:tabs>
        <w:ind w:left="1260" w:hanging="420"/>
      </w:pPr>
    </w:lvl>
    <w:lvl w:ilvl="3" w:tplc="CFD80648">
      <w:start w:val="1"/>
      <w:numFmt w:val="decimal"/>
      <w:lvlText w:val="%4."/>
      <w:lvlJc w:val="left"/>
      <w:pPr>
        <w:tabs>
          <w:tab w:val="num" w:pos="1680"/>
        </w:tabs>
        <w:ind w:left="1680" w:hanging="420"/>
      </w:pPr>
    </w:lvl>
    <w:lvl w:ilvl="4" w:tplc="73F4B29C">
      <w:start w:val="1"/>
      <w:numFmt w:val="lowerLetter"/>
      <w:lvlText w:val="%5)"/>
      <w:lvlJc w:val="left"/>
      <w:pPr>
        <w:tabs>
          <w:tab w:val="num" w:pos="2100"/>
        </w:tabs>
        <w:ind w:left="2100" w:hanging="420"/>
      </w:pPr>
    </w:lvl>
    <w:lvl w:ilvl="5" w:tplc="7E784B8A">
      <w:start w:val="1"/>
      <w:numFmt w:val="lowerRoman"/>
      <w:lvlText w:val="%6."/>
      <w:lvlJc w:val="right"/>
      <w:pPr>
        <w:tabs>
          <w:tab w:val="num" w:pos="2520"/>
        </w:tabs>
        <w:ind w:left="2520" w:hanging="420"/>
      </w:pPr>
    </w:lvl>
    <w:lvl w:ilvl="6" w:tplc="4CCA5E28">
      <w:start w:val="1"/>
      <w:numFmt w:val="decimal"/>
      <w:lvlText w:val="%7."/>
      <w:lvlJc w:val="left"/>
      <w:pPr>
        <w:tabs>
          <w:tab w:val="num" w:pos="2940"/>
        </w:tabs>
        <w:ind w:left="2940" w:hanging="420"/>
      </w:pPr>
    </w:lvl>
    <w:lvl w:ilvl="7" w:tplc="B6FC8F10">
      <w:start w:val="1"/>
      <w:numFmt w:val="lowerLetter"/>
      <w:lvlText w:val="%8)"/>
      <w:lvlJc w:val="left"/>
      <w:pPr>
        <w:tabs>
          <w:tab w:val="num" w:pos="3360"/>
        </w:tabs>
        <w:ind w:left="3360" w:hanging="420"/>
      </w:pPr>
    </w:lvl>
    <w:lvl w:ilvl="8" w:tplc="FD10F1F6">
      <w:start w:val="1"/>
      <w:numFmt w:val="lowerRoman"/>
      <w:lvlText w:val="%9."/>
      <w:lvlJc w:val="right"/>
      <w:pPr>
        <w:tabs>
          <w:tab w:val="num" w:pos="3780"/>
        </w:tabs>
        <w:ind w:left="3780" w:hanging="420"/>
      </w:pPr>
    </w:lvl>
  </w:abstractNum>
  <w:abstractNum w:abstractNumId="2">
    <w:nsid w:val="2B5A217E"/>
    <w:multiLevelType w:val="hybridMultilevel"/>
    <w:tmpl w:val="00000000"/>
    <w:lvl w:ilvl="0" w:tplc="89CCE7DC">
      <w:start w:val="1"/>
      <w:numFmt w:val="chineseCountingThousand"/>
      <w:suff w:val="space"/>
      <w:lvlText w:val="%1、"/>
      <w:lvlJc w:val="left"/>
      <w:pPr>
        <w:ind w:left="0" w:firstLine="0"/>
      </w:pPr>
      <w:rPr>
        <w:rFonts w:hint="eastAsia"/>
      </w:rPr>
    </w:lvl>
    <w:lvl w:ilvl="1" w:tplc="850ED692">
      <w:start w:val="1"/>
      <w:numFmt w:val="chineseCountingThousand"/>
      <w:suff w:val="nothing"/>
      <w:lvlText w:val="%2、"/>
      <w:lvlJc w:val="left"/>
      <w:pPr>
        <w:ind w:left="0" w:firstLine="0"/>
      </w:pPr>
      <w:rPr>
        <w:rFonts w:hint="eastAsia"/>
      </w:rPr>
    </w:lvl>
    <w:lvl w:ilvl="2" w:tplc="314A5DFE">
      <w:start w:val="1"/>
      <w:numFmt w:val="decimal"/>
      <w:suff w:val="space"/>
      <w:lvlText w:val="%3."/>
      <w:lvlJc w:val="left"/>
      <w:pPr>
        <w:ind w:left="0" w:firstLine="0"/>
      </w:pPr>
      <w:rPr>
        <w:rFonts w:hint="eastAsia"/>
      </w:rPr>
    </w:lvl>
    <w:lvl w:ilvl="3" w:tplc="3CEEC37C">
      <w:start w:val="1"/>
      <w:numFmt w:val="none"/>
      <w:suff w:val="nothing"/>
      <w:lvlText w:val="·"/>
      <w:lvlJc w:val="left"/>
      <w:pPr>
        <w:ind w:left="851" w:firstLine="0"/>
      </w:pPr>
      <w:rPr>
        <w:rFonts w:hint="eastAsia"/>
      </w:rPr>
    </w:lvl>
    <w:lvl w:ilvl="4" w:tplc="EA86A61C">
      <w:start w:val="1"/>
      <w:numFmt w:val="none"/>
      <w:pStyle w:val="5"/>
      <w:suff w:val="nothing"/>
      <w:lvlText w:val="o"/>
      <w:lvlJc w:val="left"/>
      <w:pPr>
        <w:ind w:left="851" w:firstLine="0"/>
      </w:pPr>
      <w:rPr>
        <w:rFonts w:hint="eastAsia"/>
      </w:rPr>
    </w:lvl>
    <w:lvl w:ilvl="5" w:tplc="F8125538">
      <w:start w:val="1"/>
      <w:numFmt w:val="none"/>
      <w:suff w:val="nothing"/>
      <w:lvlText w:val="§"/>
      <w:lvlJc w:val="left"/>
      <w:pPr>
        <w:ind w:left="851" w:firstLine="0"/>
      </w:pPr>
      <w:rPr>
        <w:rFonts w:hint="eastAsia"/>
      </w:rPr>
    </w:lvl>
    <w:lvl w:ilvl="6" w:tplc="BEC415F2">
      <w:start w:val="1"/>
      <w:numFmt w:val="none"/>
      <w:pStyle w:val="7"/>
      <w:suff w:val="nothing"/>
      <w:lvlText w:val="·"/>
      <w:lvlJc w:val="left"/>
      <w:pPr>
        <w:ind w:left="851" w:firstLine="0"/>
      </w:pPr>
      <w:rPr>
        <w:rFonts w:hint="eastAsia"/>
      </w:rPr>
    </w:lvl>
    <w:lvl w:ilvl="7" w:tplc="64128336">
      <w:start w:val="1"/>
      <w:numFmt w:val="none"/>
      <w:pStyle w:val="8"/>
      <w:suff w:val="nothing"/>
      <w:lvlText w:val="o"/>
      <w:lvlJc w:val="left"/>
      <w:pPr>
        <w:ind w:left="851" w:firstLine="0"/>
      </w:pPr>
      <w:rPr>
        <w:rFonts w:hint="eastAsia"/>
      </w:rPr>
    </w:lvl>
    <w:lvl w:ilvl="8" w:tplc="30E885DE">
      <w:start w:val="1"/>
      <w:numFmt w:val="none"/>
      <w:pStyle w:val="9"/>
      <w:suff w:val="nothing"/>
      <w:lvlText w:val="§"/>
      <w:lvlJc w:val="left"/>
      <w:pPr>
        <w:ind w:left="851" w:firstLine="0"/>
      </w:pPr>
      <w:rPr>
        <w:rFonts w:hint="eastAsia"/>
      </w:rPr>
    </w:lvl>
  </w:abstractNum>
  <w:abstractNum w:abstractNumId="3">
    <w:nsid w:val="465F42F9"/>
    <w:multiLevelType w:val="hybridMultilevel"/>
    <w:tmpl w:val="00000000"/>
    <w:lvl w:ilvl="0" w:tplc="05784312">
      <w:start w:val="1"/>
      <w:numFmt w:val="decimal"/>
      <w:lvlText w:val="（%1）"/>
      <w:lvlJc w:val="left"/>
      <w:pPr>
        <w:tabs>
          <w:tab w:val="num" w:pos="1260"/>
        </w:tabs>
        <w:ind w:left="1260" w:hanging="720"/>
      </w:pPr>
      <w:rPr>
        <w:rFonts w:hint="default"/>
      </w:rPr>
    </w:lvl>
    <w:lvl w:ilvl="1" w:tplc="767E3370">
      <w:start w:val="1"/>
      <w:numFmt w:val="decimal"/>
      <w:lvlText w:val="（%2）"/>
      <w:lvlJc w:val="left"/>
      <w:pPr>
        <w:tabs>
          <w:tab w:val="num" w:pos="1680"/>
        </w:tabs>
        <w:ind w:left="1680" w:hanging="720"/>
      </w:pPr>
      <w:rPr>
        <w:rFonts w:hint="eastAsia"/>
      </w:rPr>
    </w:lvl>
    <w:lvl w:ilvl="2" w:tplc="C75A6122">
      <w:start w:val="2"/>
      <w:numFmt w:val="decimal"/>
      <w:lvlText w:val="(%3)"/>
      <w:lvlJc w:val="left"/>
      <w:pPr>
        <w:tabs>
          <w:tab w:val="num" w:pos="1845"/>
        </w:tabs>
        <w:ind w:left="1845" w:hanging="465"/>
      </w:pPr>
      <w:rPr>
        <w:rFonts w:hint="eastAsia"/>
      </w:rPr>
    </w:lvl>
    <w:lvl w:ilvl="3" w:tplc="AE023020">
      <w:start w:val="1"/>
      <w:numFmt w:val="decimal"/>
      <w:lvlText w:val="%4."/>
      <w:lvlJc w:val="left"/>
      <w:pPr>
        <w:tabs>
          <w:tab w:val="num" w:pos="2220"/>
        </w:tabs>
        <w:ind w:left="2220" w:hanging="420"/>
      </w:pPr>
    </w:lvl>
    <w:lvl w:ilvl="4" w:tplc="832220BC">
      <w:start w:val="1"/>
      <w:numFmt w:val="lowerLetter"/>
      <w:lvlText w:val="%5)"/>
      <w:lvlJc w:val="left"/>
      <w:pPr>
        <w:tabs>
          <w:tab w:val="num" w:pos="2640"/>
        </w:tabs>
        <w:ind w:left="2640" w:hanging="420"/>
      </w:pPr>
    </w:lvl>
    <w:lvl w:ilvl="5" w:tplc="466CF82A">
      <w:start w:val="1"/>
      <w:numFmt w:val="lowerRoman"/>
      <w:pStyle w:val="6"/>
      <w:lvlText w:val="%6."/>
      <w:lvlJc w:val="right"/>
      <w:pPr>
        <w:tabs>
          <w:tab w:val="num" w:pos="3060"/>
        </w:tabs>
        <w:ind w:left="3060" w:hanging="420"/>
      </w:pPr>
    </w:lvl>
    <w:lvl w:ilvl="6" w:tplc="06265516">
      <w:start w:val="1"/>
      <w:numFmt w:val="decimal"/>
      <w:lvlText w:val="%7."/>
      <w:lvlJc w:val="left"/>
      <w:pPr>
        <w:tabs>
          <w:tab w:val="num" w:pos="3480"/>
        </w:tabs>
        <w:ind w:left="3480" w:hanging="420"/>
      </w:pPr>
    </w:lvl>
    <w:lvl w:ilvl="7" w:tplc="C94C2054">
      <w:start w:val="1"/>
      <w:numFmt w:val="lowerLetter"/>
      <w:lvlText w:val="%8)"/>
      <w:lvlJc w:val="left"/>
      <w:pPr>
        <w:tabs>
          <w:tab w:val="num" w:pos="3900"/>
        </w:tabs>
        <w:ind w:left="3900" w:hanging="420"/>
      </w:pPr>
    </w:lvl>
    <w:lvl w:ilvl="8" w:tplc="8E76B398">
      <w:start w:val="1"/>
      <w:numFmt w:val="lowerRoman"/>
      <w:lvlText w:val="%9."/>
      <w:lvlJc w:val="right"/>
      <w:pPr>
        <w:tabs>
          <w:tab w:val="num" w:pos="4320"/>
        </w:tabs>
        <w:ind w:left="4320" w:hanging="420"/>
      </w:pPr>
    </w:lvl>
  </w:abstractNum>
  <w:abstractNum w:abstractNumId="4">
    <w:nsid w:val="493E6699"/>
    <w:multiLevelType w:val="hybridMultilevel"/>
    <w:tmpl w:val="00000000"/>
    <w:lvl w:ilvl="0" w:tplc="77A6770C">
      <w:start w:val="1"/>
      <w:numFmt w:val="chineseCountingThousand"/>
      <w:lvlText w:val="（%1）"/>
      <w:lvlJc w:val="left"/>
      <w:pPr>
        <w:ind w:left="840" w:hanging="420"/>
      </w:pPr>
      <w:rPr>
        <w:rFonts w:hint="eastAsia"/>
        <w:sz w:val="21"/>
        <w:szCs w:val="21"/>
      </w:rPr>
    </w:lvl>
    <w:lvl w:ilvl="1" w:tplc="6DE6843C">
      <w:start w:val="1"/>
      <w:numFmt w:val="chineseCountingThousand"/>
      <w:lvlText w:val="（%2）"/>
      <w:lvlJc w:val="left"/>
      <w:pPr>
        <w:ind w:left="5524" w:hanging="420"/>
      </w:pPr>
      <w:rPr>
        <w:rFonts w:hint="eastAsia"/>
        <w:sz w:val="21"/>
        <w:szCs w:val="21"/>
      </w:rPr>
    </w:lvl>
    <w:lvl w:ilvl="2" w:tplc="8C227268">
      <w:start w:val="1"/>
      <w:numFmt w:val="lowerRoman"/>
      <w:lvlText w:val="%3."/>
      <w:lvlJc w:val="right"/>
      <w:pPr>
        <w:ind w:left="1680" w:hanging="420"/>
      </w:pPr>
    </w:lvl>
    <w:lvl w:ilvl="3" w:tplc="5A4465B6">
      <w:start w:val="1"/>
      <w:numFmt w:val="decimal"/>
      <w:lvlText w:val="%4."/>
      <w:lvlJc w:val="left"/>
      <w:pPr>
        <w:ind w:left="2100" w:hanging="420"/>
      </w:pPr>
    </w:lvl>
    <w:lvl w:ilvl="4" w:tplc="60D0984C">
      <w:start w:val="1"/>
      <w:numFmt w:val="lowerLetter"/>
      <w:lvlText w:val="%5)"/>
      <w:lvlJc w:val="left"/>
      <w:pPr>
        <w:ind w:left="2520" w:hanging="420"/>
      </w:pPr>
    </w:lvl>
    <w:lvl w:ilvl="5" w:tplc="06B6F5AA">
      <w:start w:val="1"/>
      <w:numFmt w:val="lowerRoman"/>
      <w:lvlText w:val="%6."/>
      <w:lvlJc w:val="right"/>
      <w:pPr>
        <w:ind w:left="2940" w:hanging="420"/>
      </w:pPr>
    </w:lvl>
    <w:lvl w:ilvl="6" w:tplc="FE98CD96">
      <w:start w:val="1"/>
      <w:numFmt w:val="decimal"/>
      <w:lvlText w:val="%7."/>
      <w:lvlJc w:val="left"/>
      <w:pPr>
        <w:ind w:left="3360" w:hanging="420"/>
      </w:pPr>
    </w:lvl>
    <w:lvl w:ilvl="7" w:tplc="6AC0C934">
      <w:start w:val="1"/>
      <w:numFmt w:val="lowerLetter"/>
      <w:lvlText w:val="%8)"/>
      <w:lvlJc w:val="left"/>
      <w:pPr>
        <w:ind w:left="3780" w:hanging="420"/>
      </w:pPr>
    </w:lvl>
    <w:lvl w:ilvl="8" w:tplc="5BAA1228">
      <w:start w:val="1"/>
      <w:numFmt w:val="lowerRoman"/>
      <w:lvlText w:val="%9."/>
      <w:lvlJc w:val="right"/>
      <w:pPr>
        <w:ind w:left="4200" w:hanging="420"/>
      </w:pPr>
    </w:lvl>
  </w:abstractNum>
  <w:abstractNum w:abstractNumId="5">
    <w:nsid w:val="573C2CD2"/>
    <w:multiLevelType w:val="hybridMultilevel"/>
    <w:tmpl w:val="00000000"/>
    <w:lvl w:ilvl="0" w:tplc="24BA47D4">
      <w:start w:val="1"/>
      <w:numFmt w:val="chineseCounting"/>
      <w:lvlText w:val="（%1）"/>
      <w:lvlJc w:val="left"/>
      <w:pPr>
        <w:tabs>
          <w:tab w:val="num" w:pos="990"/>
        </w:tabs>
        <w:ind w:left="990" w:hanging="840"/>
      </w:pPr>
      <w:rPr>
        <w:rFonts w:hint="eastAsia"/>
      </w:rPr>
    </w:lvl>
    <w:lvl w:ilvl="1" w:tplc="1662FDCE">
      <w:start w:val="1"/>
      <w:numFmt w:val="decimal"/>
      <w:lvlText w:val="（%2）"/>
      <w:lvlJc w:val="left"/>
      <w:pPr>
        <w:tabs>
          <w:tab w:val="num" w:pos="1290"/>
        </w:tabs>
        <w:ind w:left="1290" w:hanging="720"/>
      </w:pPr>
      <w:rPr>
        <w:rFonts w:hint="eastAsia"/>
      </w:rPr>
    </w:lvl>
    <w:lvl w:ilvl="2" w:tplc="56240F22">
      <w:start w:val="4"/>
      <w:numFmt w:val="chineseCounting"/>
      <w:pStyle w:val="3"/>
      <w:lvlText w:val="%3、"/>
      <w:lvlJc w:val="left"/>
      <w:pPr>
        <w:tabs>
          <w:tab w:val="num" w:pos="1710"/>
        </w:tabs>
        <w:ind w:left="1710" w:hanging="720"/>
      </w:pPr>
      <w:rPr>
        <w:rFonts w:eastAsia="宋体" w:hint="eastAsia"/>
        <w:b/>
        <w:color w:val="auto"/>
      </w:rPr>
    </w:lvl>
    <w:lvl w:ilvl="3" w:tplc="F4420A82">
      <w:start w:val="1"/>
      <w:numFmt w:val="decimal"/>
      <w:lvlText w:val="%4."/>
      <w:lvlJc w:val="left"/>
      <w:pPr>
        <w:tabs>
          <w:tab w:val="num" w:pos="1830"/>
        </w:tabs>
        <w:ind w:left="1830" w:hanging="420"/>
      </w:pPr>
    </w:lvl>
    <w:lvl w:ilvl="4" w:tplc="82F6A41C">
      <w:start w:val="1"/>
      <w:numFmt w:val="lowerLetter"/>
      <w:lvlText w:val="%5)"/>
      <w:lvlJc w:val="left"/>
      <w:pPr>
        <w:tabs>
          <w:tab w:val="num" w:pos="2250"/>
        </w:tabs>
        <w:ind w:left="2250" w:hanging="420"/>
      </w:pPr>
    </w:lvl>
    <w:lvl w:ilvl="5" w:tplc="375E9D32">
      <w:start w:val="1"/>
      <w:numFmt w:val="lowerRoman"/>
      <w:lvlText w:val="%6."/>
      <w:lvlJc w:val="right"/>
      <w:pPr>
        <w:tabs>
          <w:tab w:val="num" w:pos="2670"/>
        </w:tabs>
        <w:ind w:left="2670" w:hanging="420"/>
      </w:pPr>
    </w:lvl>
    <w:lvl w:ilvl="6" w:tplc="30684D02">
      <w:start w:val="1"/>
      <w:numFmt w:val="decimal"/>
      <w:lvlText w:val="%7."/>
      <w:lvlJc w:val="left"/>
      <w:pPr>
        <w:tabs>
          <w:tab w:val="num" w:pos="3090"/>
        </w:tabs>
        <w:ind w:left="3090" w:hanging="420"/>
      </w:pPr>
    </w:lvl>
    <w:lvl w:ilvl="7" w:tplc="A2D8B9A0">
      <w:start w:val="1"/>
      <w:numFmt w:val="lowerLetter"/>
      <w:lvlText w:val="%8)"/>
      <w:lvlJc w:val="left"/>
      <w:pPr>
        <w:tabs>
          <w:tab w:val="num" w:pos="3510"/>
        </w:tabs>
        <w:ind w:left="3510" w:hanging="420"/>
      </w:pPr>
    </w:lvl>
    <w:lvl w:ilvl="8" w:tplc="B6102F78">
      <w:start w:val="1"/>
      <w:numFmt w:val="lowerRoman"/>
      <w:lvlText w:val="%9."/>
      <w:lvlJc w:val="right"/>
      <w:pPr>
        <w:tabs>
          <w:tab w:val="num" w:pos="3930"/>
        </w:tabs>
        <w:ind w:left="3930" w:hanging="4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饶东东">
    <w15:presenceInfo w15:providerId="None" w15:userId="饶东东"/>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652D20"/>
    <w:rsid w:val="00067474"/>
    <w:rsid w:val="0012544D"/>
    <w:rsid w:val="001406F4"/>
    <w:rsid w:val="00215202"/>
    <w:rsid w:val="002A349D"/>
    <w:rsid w:val="003A3AF7"/>
    <w:rsid w:val="003B0571"/>
    <w:rsid w:val="003E2CE6"/>
    <w:rsid w:val="00500991"/>
    <w:rsid w:val="00535E2F"/>
    <w:rsid w:val="005C2A64"/>
    <w:rsid w:val="00652D20"/>
    <w:rsid w:val="006546CD"/>
    <w:rsid w:val="006673C4"/>
    <w:rsid w:val="00677B86"/>
    <w:rsid w:val="00746FAF"/>
    <w:rsid w:val="007E1E86"/>
    <w:rsid w:val="00822751"/>
    <w:rsid w:val="0083006D"/>
    <w:rsid w:val="00916DC1"/>
    <w:rsid w:val="00AF50C7"/>
    <w:rsid w:val="00BB53C4"/>
    <w:rsid w:val="00BB751C"/>
    <w:rsid w:val="00CF0747"/>
    <w:rsid w:val="00DA0905"/>
    <w:rsid w:val="00EB4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49D"/>
    <w:pPr>
      <w:widowControl w:val="0"/>
      <w:jc w:val="both"/>
    </w:pPr>
    <w:rPr>
      <w:sz w:val="21"/>
      <w:szCs w:val="24"/>
    </w:rPr>
  </w:style>
  <w:style w:type="paragraph" w:styleId="1">
    <w:name w:val="heading 1"/>
    <w:basedOn w:val="a"/>
    <w:next w:val="a"/>
    <w:link w:val="1Char"/>
    <w:uiPriority w:val="9"/>
    <w:qFormat/>
    <w:rsid w:val="002A349D"/>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2A349D"/>
    <w:pPr>
      <w:keepNext/>
      <w:keepLines/>
      <w:spacing w:before="360" w:after="200"/>
      <w:outlineLvl w:val="1"/>
    </w:pPr>
    <w:rPr>
      <w:rFonts w:ascii="Arial" w:hAnsi="Arial" w:cs="Arial"/>
      <w:sz w:val="34"/>
    </w:rPr>
  </w:style>
  <w:style w:type="paragraph" w:styleId="3">
    <w:name w:val="heading 3"/>
    <w:basedOn w:val="a"/>
    <w:next w:val="a"/>
    <w:link w:val="3Char"/>
    <w:qFormat/>
    <w:rsid w:val="002A349D"/>
    <w:pPr>
      <w:numPr>
        <w:ilvl w:val="2"/>
        <w:numId w:val="4"/>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2A349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A349D"/>
    <w:pPr>
      <w:keepNext/>
      <w:keepLines/>
      <w:numPr>
        <w:ilvl w:val="4"/>
        <w:numId w:val="3"/>
      </w:numPr>
      <w:spacing w:before="280" w:after="290" w:line="376" w:lineRule="auto"/>
      <w:ind w:firstLine="200"/>
      <w:outlineLvl w:val="4"/>
    </w:pPr>
    <w:rPr>
      <w:b/>
      <w:bCs/>
      <w:sz w:val="28"/>
      <w:szCs w:val="28"/>
    </w:rPr>
  </w:style>
  <w:style w:type="paragraph" w:styleId="6">
    <w:name w:val="heading 6"/>
    <w:basedOn w:val="a"/>
    <w:next w:val="a0"/>
    <w:link w:val="6Char"/>
    <w:qFormat/>
    <w:rsid w:val="002A349D"/>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2A349D"/>
    <w:pPr>
      <w:keepNext/>
      <w:keepLines/>
      <w:numPr>
        <w:ilvl w:val="6"/>
        <w:numId w:val="3"/>
      </w:numPr>
      <w:spacing w:before="240" w:after="64" w:line="320" w:lineRule="auto"/>
      <w:ind w:firstLine="200"/>
      <w:outlineLvl w:val="6"/>
    </w:pPr>
    <w:rPr>
      <w:b/>
      <w:bCs/>
      <w:sz w:val="24"/>
    </w:rPr>
  </w:style>
  <w:style w:type="paragraph" w:styleId="8">
    <w:name w:val="heading 8"/>
    <w:basedOn w:val="a"/>
    <w:next w:val="a"/>
    <w:link w:val="8Char"/>
    <w:qFormat/>
    <w:rsid w:val="002A349D"/>
    <w:pPr>
      <w:keepNext/>
      <w:keepLines/>
      <w:numPr>
        <w:ilvl w:val="7"/>
        <w:numId w:val="3"/>
      </w:numPr>
      <w:spacing w:before="240" w:after="64" w:line="320" w:lineRule="auto"/>
      <w:ind w:firstLine="200"/>
      <w:outlineLvl w:val="7"/>
    </w:pPr>
    <w:rPr>
      <w:rFonts w:ascii="Arial" w:eastAsia="黑体" w:hAnsi="Arial"/>
      <w:sz w:val="24"/>
    </w:rPr>
  </w:style>
  <w:style w:type="paragraph" w:styleId="9">
    <w:name w:val="heading 9"/>
    <w:basedOn w:val="a"/>
    <w:next w:val="a"/>
    <w:link w:val="9Char"/>
    <w:qFormat/>
    <w:rsid w:val="002A349D"/>
    <w:pPr>
      <w:keepNext/>
      <w:keepLines/>
      <w:numPr>
        <w:ilvl w:val="8"/>
        <w:numId w:val="3"/>
      </w:numPr>
      <w:spacing w:before="240" w:after="64" w:line="320" w:lineRule="auto"/>
      <w:ind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2A349D"/>
    <w:rPr>
      <w:rFonts w:ascii="Arial" w:hAnsi="Arial" w:cs="Arial"/>
      <w:sz w:val="40"/>
      <w:szCs w:val="40"/>
    </w:rPr>
  </w:style>
  <w:style w:type="character" w:customStyle="1" w:styleId="2Char">
    <w:name w:val="标题 2 Char"/>
    <w:basedOn w:val="a1"/>
    <w:link w:val="2"/>
    <w:uiPriority w:val="9"/>
    <w:rsid w:val="002A349D"/>
    <w:rPr>
      <w:rFonts w:ascii="Arial" w:hAnsi="Arial" w:cs="Arial"/>
      <w:sz w:val="34"/>
    </w:rPr>
  </w:style>
  <w:style w:type="paragraph" w:styleId="a4">
    <w:name w:val="No Spacing"/>
    <w:uiPriority w:val="1"/>
    <w:qFormat/>
    <w:rsid w:val="002A349D"/>
  </w:style>
  <w:style w:type="paragraph" w:styleId="a5">
    <w:name w:val="Title"/>
    <w:basedOn w:val="a"/>
    <w:next w:val="a"/>
    <w:link w:val="Char"/>
    <w:uiPriority w:val="10"/>
    <w:qFormat/>
    <w:rsid w:val="002A349D"/>
    <w:pPr>
      <w:spacing w:before="300" w:after="200"/>
      <w:contextualSpacing/>
    </w:pPr>
    <w:rPr>
      <w:sz w:val="48"/>
      <w:szCs w:val="48"/>
    </w:rPr>
  </w:style>
  <w:style w:type="character" w:customStyle="1" w:styleId="Char">
    <w:name w:val="标题 Char"/>
    <w:basedOn w:val="a1"/>
    <w:link w:val="a5"/>
    <w:uiPriority w:val="10"/>
    <w:rsid w:val="002A349D"/>
    <w:rPr>
      <w:sz w:val="48"/>
      <w:szCs w:val="48"/>
    </w:rPr>
  </w:style>
  <w:style w:type="paragraph" w:styleId="a6">
    <w:name w:val="Subtitle"/>
    <w:basedOn w:val="a"/>
    <w:next w:val="a"/>
    <w:link w:val="Char0"/>
    <w:uiPriority w:val="11"/>
    <w:qFormat/>
    <w:rsid w:val="002A349D"/>
    <w:pPr>
      <w:spacing w:before="200" w:after="200"/>
    </w:pPr>
    <w:rPr>
      <w:sz w:val="24"/>
    </w:rPr>
  </w:style>
  <w:style w:type="character" w:customStyle="1" w:styleId="Char0">
    <w:name w:val="副标题 Char"/>
    <w:basedOn w:val="a1"/>
    <w:link w:val="a6"/>
    <w:uiPriority w:val="11"/>
    <w:rsid w:val="002A349D"/>
    <w:rPr>
      <w:sz w:val="24"/>
      <w:szCs w:val="24"/>
    </w:rPr>
  </w:style>
  <w:style w:type="paragraph" w:styleId="a7">
    <w:name w:val="Quote"/>
    <w:basedOn w:val="a"/>
    <w:next w:val="a"/>
    <w:link w:val="Char1"/>
    <w:uiPriority w:val="29"/>
    <w:qFormat/>
    <w:rsid w:val="002A349D"/>
    <w:pPr>
      <w:ind w:left="720" w:right="720"/>
    </w:pPr>
    <w:rPr>
      <w:i/>
    </w:rPr>
  </w:style>
  <w:style w:type="character" w:customStyle="1" w:styleId="Char1">
    <w:name w:val="引用 Char"/>
    <w:link w:val="a7"/>
    <w:uiPriority w:val="29"/>
    <w:rsid w:val="002A349D"/>
    <w:rPr>
      <w:i/>
    </w:rPr>
  </w:style>
  <w:style w:type="paragraph" w:styleId="a8">
    <w:name w:val="Intense Quote"/>
    <w:basedOn w:val="a"/>
    <w:next w:val="a"/>
    <w:link w:val="Char2"/>
    <w:uiPriority w:val="30"/>
    <w:qFormat/>
    <w:rsid w:val="002A349D"/>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2A349D"/>
    <w:rPr>
      <w:i/>
    </w:rPr>
  </w:style>
  <w:style w:type="paragraph" w:styleId="a9">
    <w:name w:val="caption"/>
    <w:basedOn w:val="a"/>
    <w:next w:val="a"/>
    <w:uiPriority w:val="35"/>
    <w:semiHidden/>
    <w:unhideWhenUsed/>
    <w:qFormat/>
    <w:rsid w:val="002A349D"/>
    <w:pPr>
      <w:spacing w:line="276" w:lineRule="auto"/>
    </w:pPr>
    <w:rPr>
      <w:b/>
      <w:bCs/>
      <w:color w:val="4F81BD" w:themeColor="accent1"/>
      <w:sz w:val="18"/>
      <w:szCs w:val="18"/>
    </w:rPr>
  </w:style>
  <w:style w:type="table" w:styleId="aa">
    <w:name w:val="Table Grid"/>
    <w:basedOn w:val="a2"/>
    <w:uiPriority w:val="59"/>
    <w:rsid w:val="002A34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2"/>
    <w:uiPriority w:val="59"/>
    <w:rsid w:val="002A349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2"/>
    <w:uiPriority w:val="59"/>
    <w:rsid w:val="002A349D"/>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2"/>
    <w:uiPriority w:val="99"/>
    <w:rsid w:val="002A349D"/>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2"/>
    <w:uiPriority w:val="99"/>
    <w:rsid w:val="002A349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2"/>
    <w:uiPriority w:val="99"/>
    <w:rsid w:val="002A349D"/>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2"/>
    <w:uiPriority w:val="99"/>
    <w:rsid w:val="002A349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2"/>
    <w:uiPriority w:val="99"/>
    <w:rsid w:val="002A349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2"/>
    <w:uiPriority w:val="99"/>
    <w:rsid w:val="002A349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2"/>
    <w:uiPriority w:val="59"/>
    <w:rsid w:val="002A349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2"/>
    <w:uiPriority w:val="99"/>
    <w:rsid w:val="002A349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2"/>
    <w:uiPriority w:val="99"/>
    <w:rsid w:val="002A349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2"/>
    <w:uiPriority w:val="99"/>
    <w:rsid w:val="002A349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2"/>
    <w:uiPriority w:val="99"/>
    <w:rsid w:val="002A349D"/>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2"/>
    <w:uiPriority w:val="99"/>
    <w:rsid w:val="002A349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2"/>
    <w:uiPriority w:val="99"/>
    <w:rsid w:val="002A349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2"/>
    <w:uiPriority w:val="99"/>
    <w:rsid w:val="002A349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2"/>
    <w:uiPriority w:val="99"/>
    <w:rsid w:val="002A349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2"/>
    <w:uiPriority w:val="99"/>
    <w:rsid w:val="002A349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2"/>
    <w:uiPriority w:val="99"/>
    <w:rsid w:val="002A349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3"/>
    <w:uiPriority w:val="99"/>
    <w:semiHidden/>
    <w:unhideWhenUsed/>
    <w:rsid w:val="002A349D"/>
    <w:pPr>
      <w:spacing w:after="40"/>
    </w:pPr>
    <w:rPr>
      <w:sz w:val="18"/>
    </w:rPr>
  </w:style>
  <w:style w:type="character" w:customStyle="1" w:styleId="Char3">
    <w:name w:val="脚注文本 Char"/>
    <w:link w:val="ab"/>
    <w:uiPriority w:val="99"/>
    <w:rsid w:val="002A349D"/>
    <w:rPr>
      <w:sz w:val="18"/>
    </w:rPr>
  </w:style>
  <w:style w:type="character" w:styleId="ac">
    <w:name w:val="footnote reference"/>
    <w:basedOn w:val="a1"/>
    <w:uiPriority w:val="99"/>
    <w:unhideWhenUsed/>
    <w:rsid w:val="002A349D"/>
    <w:rPr>
      <w:vertAlign w:val="superscript"/>
    </w:rPr>
  </w:style>
  <w:style w:type="paragraph" w:styleId="ad">
    <w:name w:val="endnote text"/>
    <w:basedOn w:val="a"/>
    <w:link w:val="Char4"/>
    <w:uiPriority w:val="99"/>
    <w:semiHidden/>
    <w:unhideWhenUsed/>
    <w:rsid w:val="002A349D"/>
    <w:rPr>
      <w:sz w:val="20"/>
    </w:rPr>
  </w:style>
  <w:style w:type="character" w:customStyle="1" w:styleId="Char4">
    <w:name w:val="尾注文本 Char"/>
    <w:link w:val="ad"/>
    <w:uiPriority w:val="99"/>
    <w:rsid w:val="002A349D"/>
    <w:rPr>
      <w:sz w:val="20"/>
    </w:rPr>
  </w:style>
  <w:style w:type="character" w:styleId="ae">
    <w:name w:val="endnote reference"/>
    <w:basedOn w:val="a1"/>
    <w:uiPriority w:val="99"/>
    <w:semiHidden/>
    <w:unhideWhenUsed/>
    <w:rsid w:val="002A349D"/>
    <w:rPr>
      <w:vertAlign w:val="superscript"/>
    </w:rPr>
  </w:style>
  <w:style w:type="paragraph" w:styleId="10">
    <w:name w:val="toc 1"/>
    <w:basedOn w:val="a"/>
    <w:next w:val="a"/>
    <w:uiPriority w:val="39"/>
    <w:unhideWhenUsed/>
    <w:rsid w:val="002A349D"/>
    <w:pPr>
      <w:spacing w:after="57"/>
    </w:pPr>
  </w:style>
  <w:style w:type="paragraph" w:styleId="20">
    <w:name w:val="toc 2"/>
    <w:basedOn w:val="a"/>
    <w:next w:val="a"/>
    <w:uiPriority w:val="39"/>
    <w:unhideWhenUsed/>
    <w:rsid w:val="002A349D"/>
    <w:pPr>
      <w:spacing w:after="57"/>
      <w:ind w:left="283"/>
    </w:pPr>
  </w:style>
  <w:style w:type="paragraph" w:styleId="30">
    <w:name w:val="toc 3"/>
    <w:basedOn w:val="a"/>
    <w:next w:val="a"/>
    <w:uiPriority w:val="39"/>
    <w:unhideWhenUsed/>
    <w:rsid w:val="002A349D"/>
    <w:pPr>
      <w:spacing w:after="57"/>
      <w:ind w:left="567"/>
    </w:pPr>
  </w:style>
  <w:style w:type="paragraph" w:styleId="40">
    <w:name w:val="toc 4"/>
    <w:basedOn w:val="a"/>
    <w:next w:val="a"/>
    <w:uiPriority w:val="39"/>
    <w:unhideWhenUsed/>
    <w:rsid w:val="002A349D"/>
    <w:pPr>
      <w:spacing w:after="57"/>
      <w:ind w:left="850"/>
    </w:pPr>
  </w:style>
  <w:style w:type="paragraph" w:styleId="50">
    <w:name w:val="toc 5"/>
    <w:basedOn w:val="a"/>
    <w:next w:val="a"/>
    <w:uiPriority w:val="39"/>
    <w:unhideWhenUsed/>
    <w:rsid w:val="002A349D"/>
    <w:pPr>
      <w:spacing w:after="57"/>
      <w:ind w:left="1134"/>
    </w:pPr>
  </w:style>
  <w:style w:type="paragraph" w:styleId="60">
    <w:name w:val="toc 6"/>
    <w:basedOn w:val="a"/>
    <w:next w:val="a"/>
    <w:uiPriority w:val="39"/>
    <w:unhideWhenUsed/>
    <w:rsid w:val="002A349D"/>
    <w:pPr>
      <w:spacing w:after="57"/>
      <w:ind w:left="1417"/>
    </w:pPr>
  </w:style>
  <w:style w:type="paragraph" w:styleId="70">
    <w:name w:val="toc 7"/>
    <w:basedOn w:val="a"/>
    <w:next w:val="a"/>
    <w:uiPriority w:val="39"/>
    <w:unhideWhenUsed/>
    <w:rsid w:val="002A349D"/>
    <w:pPr>
      <w:spacing w:after="57"/>
      <w:ind w:left="1701"/>
    </w:pPr>
  </w:style>
  <w:style w:type="paragraph" w:styleId="80">
    <w:name w:val="toc 8"/>
    <w:basedOn w:val="a"/>
    <w:next w:val="a"/>
    <w:uiPriority w:val="39"/>
    <w:unhideWhenUsed/>
    <w:rsid w:val="002A349D"/>
    <w:pPr>
      <w:spacing w:after="57"/>
      <w:ind w:left="1984"/>
    </w:pPr>
  </w:style>
  <w:style w:type="paragraph" w:styleId="90">
    <w:name w:val="toc 9"/>
    <w:basedOn w:val="a"/>
    <w:next w:val="a"/>
    <w:uiPriority w:val="39"/>
    <w:unhideWhenUsed/>
    <w:rsid w:val="002A349D"/>
    <w:pPr>
      <w:spacing w:after="57"/>
      <w:ind w:left="2268"/>
    </w:pPr>
  </w:style>
  <w:style w:type="paragraph" w:styleId="TOC">
    <w:name w:val="TOC Heading"/>
    <w:uiPriority w:val="39"/>
    <w:unhideWhenUsed/>
    <w:rsid w:val="002A349D"/>
  </w:style>
  <w:style w:type="paragraph" w:styleId="af">
    <w:name w:val="table of figures"/>
    <w:basedOn w:val="a"/>
    <w:next w:val="a"/>
    <w:uiPriority w:val="99"/>
    <w:unhideWhenUsed/>
    <w:rsid w:val="002A349D"/>
  </w:style>
  <w:style w:type="paragraph" w:styleId="a0">
    <w:name w:val="Body Text"/>
    <w:basedOn w:val="a"/>
    <w:link w:val="Char5"/>
    <w:rsid w:val="002A349D"/>
    <w:pPr>
      <w:spacing w:after="120"/>
    </w:pPr>
  </w:style>
  <w:style w:type="character" w:customStyle="1" w:styleId="big1">
    <w:name w:val="big1"/>
    <w:basedOn w:val="a1"/>
    <w:rsid w:val="002A349D"/>
    <w:rPr>
      <w:spacing w:val="360"/>
      <w:sz w:val="22"/>
      <w:szCs w:val="22"/>
    </w:rPr>
  </w:style>
  <w:style w:type="paragraph" w:styleId="af0">
    <w:name w:val="header"/>
    <w:basedOn w:val="a"/>
    <w:link w:val="Char6"/>
    <w:uiPriority w:val="99"/>
    <w:rsid w:val="002A349D"/>
    <w:pPr>
      <w:pBdr>
        <w:bottom w:val="single" w:sz="6" w:space="1" w:color="auto"/>
      </w:pBdr>
      <w:tabs>
        <w:tab w:val="center" w:pos="4153"/>
        <w:tab w:val="right" w:pos="8306"/>
      </w:tabs>
      <w:snapToGrid w:val="0"/>
      <w:jc w:val="center"/>
    </w:pPr>
    <w:rPr>
      <w:sz w:val="18"/>
      <w:szCs w:val="18"/>
    </w:rPr>
  </w:style>
  <w:style w:type="paragraph" w:styleId="af1">
    <w:name w:val="footer"/>
    <w:basedOn w:val="a"/>
    <w:link w:val="Char7"/>
    <w:uiPriority w:val="99"/>
    <w:rsid w:val="002A349D"/>
    <w:pPr>
      <w:tabs>
        <w:tab w:val="center" w:pos="4153"/>
        <w:tab w:val="right" w:pos="8306"/>
      </w:tabs>
      <w:snapToGrid w:val="0"/>
      <w:jc w:val="left"/>
    </w:pPr>
    <w:rPr>
      <w:sz w:val="18"/>
      <w:szCs w:val="18"/>
    </w:rPr>
  </w:style>
  <w:style w:type="character" w:styleId="af2">
    <w:name w:val="page number"/>
    <w:basedOn w:val="a1"/>
    <w:rsid w:val="002A349D"/>
  </w:style>
  <w:style w:type="character" w:styleId="af3">
    <w:name w:val="Hyperlink"/>
    <w:basedOn w:val="a1"/>
    <w:rsid w:val="002A349D"/>
    <w:rPr>
      <w:color w:val="0000FF"/>
      <w:u w:val="single"/>
    </w:rPr>
  </w:style>
  <w:style w:type="paragraph" w:styleId="af4">
    <w:name w:val="Body Text Indent"/>
    <w:basedOn w:val="a"/>
    <w:link w:val="Char8"/>
    <w:rsid w:val="002A349D"/>
    <w:pPr>
      <w:spacing w:line="360" w:lineRule="auto"/>
      <w:ind w:firstLine="480"/>
    </w:pPr>
    <w:rPr>
      <w:sz w:val="24"/>
    </w:rPr>
  </w:style>
  <w:style w:type="paragraph" w:styleId="31">
    <w:name w:val="Body Text Indent 3"/>
    <w:basedOn w:val="a"/>
    <w:link w:val="3Char0"/>
    <w:rsid w:val="002A349D"/>
    <w:pPr>
      <w:tabs>
        <w:tab w:val="left" w:pos="1080"/>
      </w:tabs>
      <w:ind w:firstLine="360"/>
    </w:pPr>
    <w:rPr>
      <w:rFonts w:ascii="仿宋_GB2312" w:eastAsia="仿宋_GB2312" w:hAnsi="宋体"/>
      <w:sz w:val="24"/>
    </w:rPr>
  </w:style>
  <w:style w:type="paragraph" w:styleId="21">
    <w:name w:val="Body Text Indent 2"/>
    <w:basedOn w:val="a"/>
    <w:link w:val="2Char0"/>
    <w:rsid w:val="002A349D"/>
    <w:pPr>
      <w:spacing w:before="60" w:line="360" w:lineRule="auto"/>
      <w:ind w:firstLine="345"/>
    </w:pPr>
    <w:rPr>
      <w:color w:val="3366FF"/>
      <w:sz w:val="24"/>
    </w:rPr>
  </w:style>
  <w:style w:type="paragraph" w:styleId="af5">
    <w:name w:val="Normal Indent"/>
    <w:basedOn w:val="a"/>
    <w:rsid w:val="002A349D"/>
    <w:pPr>
      <w:snapToGrid w:val="0"/>
      <w:ind w:firstLine="420"/>
    </w:pPr>
    <w:rPr>
      <w:rFonts w:eastAsia="楷体_GB2312"/>
      <w:sz w:val="24"/>
      <w:szCs w:val="20"/>
    </w:rPr>
  </w:style>
  <w:style w:type="character" w:styleId="af6">
    <w:name w:val="FollowedHyperlink"/>
    <w:basedOn w:val="a1"/>
    <w:uiPriority w:val="99"/>
    <w:rsid w:val="002A349D"/>
    <w:rPr>
      <w:color w:val="800080"/>
      <w:u w:val="single"/>
    </w:rPr>
  </w:style>
  <w:style w:type="paragraph" w:styleId="af7">
    <w:name w:val="Balloon Text"/>
    <w:basedOn w:val="a"/>
    <w:link w:val="Char9"/>
    <w:semiHidden/>
    <w:rsid w:val="002A349D"/>
    <w:rPr>
      <w:sz w:val="18"/>
      <w:szCs w:val="18"/>
    </w:rPr>
  </w:style>
  <w:style w:type="paragraph" w:styleId="af8">
    <w:name w:val="Normal (Web)"/>
    <w:basedOn w:val="a"/>
    <w:uiPriority w:val="99"/>
    <w:rsid w:val="002A349D"/>
    <w:pPr>
      <w:widowControl/>
      <w:spacing w:before="100" w:beforeAutospacing="1" w:after="100" w:afterAutospacing="1"/>
      <w:jc w:val="left"/>
    </w:pPr>
    <w:rPr>
      <w:rFonts w:ascii="宋体" w:hAnsi="宋体"/>
      <w:color w:val="000000"/>
      <w:sz w:val="24"/>
    </w:rPr>
  </w:style>
  <w:style w:type="paragraph" w:styleId="af9">
    <w:name w:val="Document Map"/>
    <w:basedOn w:val="a"/>
    <w:link w:val="Chara"/>
    <w:semiHidden/>
    <w:rsid w:val="002A349D"/>
    <w:pPr>
      <w:shd w:val="clear" w:color="000080" w:fill="000080"/>
    </w:pPr>
  </w:style>
  <w:style w:type="paragraph" w:styleId="22">
    <w:name w:val="Body Text 2"/>
    <w:basedOn w:val="a"/>
    <w:link w:val="2Char1"/>
    <w:rsid w:val="002A349D"/>
    <w:pPr>
      <w:snapToGrid w:val="0"/>
      <w:spacing w:line="360" w:lineRule="auto"/>
    </w:pPr>
    <w:rPr>
      <w:color w:val="0C6C9C"/>
      <w:sz w:val="18"/>
      <w:szCs w:val="18"/>
    </w:rPr>
  </w:style>
  <w:style w:type="character" w:styleId="afa">
    <w:name w:val="annotation reference"/>
    <w:basedOn w:val="a1"/>
    <w:qFormat/>
    <w:rsid w:val="002A349D"/>
    <w:rPr>
      <w:sz w:val="21"/>
      <w:szCs w:val="21"/>
    </w:rPr>
  </w:style>
  <w:style w:type="paragraph" w:styleId="afb">
    <w:name w:val="annotation text"/>
    <w:basedOn w:val="a"/>
    <w:link w:val="Charb"/>
    <w:qFormat/>
    <w:rsid w:val="002A349D"/>
    <w:pPr>
      <w:jc w:val="left"/>
    </w:pPr>
  </w:style>
  <w:style w:type="paragraph" w:styleId="afc">
    <w:name w:val="annotation subject"/>
    <w:basedOn w:val="afb"/>
    <w:next w:val="afb"/>
    <w:link w:val="Charc"/>
    <w:semiHidden/>
    <w:rsid w:val="002A349D"/>
    <w:rPr>
      <w:b/>
      <w:bCs/>
    </w:rPr>
  </w:style>
  <w:style w:type="character" w:styleId="afd">
    <w:name w:val="Strong"/>
    <w:basedOn w:val="a1"/>
    <w:qFormat/>
    <w:rsid w:val="002A349D"/>
    <w:rPr>
      <w:b/>
      <w:bCs/>
    </w:rPr>
  </w:style>
  <w:style w:type="table" w:styleId="afe">
    <w:name w:val="Table Theme"/>
    <w:basedOn w:val="a2"/>
    <w:rsid w:val="002A349D"/>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
    <w:name w:val="Plain Text"/>
    <w:basedOn w:val="a"/>
    <w:link w:val="Chard"/>
    <w:rsid w:val="002A349D"/>
    <w:rPr>
      <w:rFonts w:ascii="宋体" w:hAnsi="Courier New"/>
      <w:sz w:val="24"/>
      <w:szCs w:val="20"/>
    </w:rPr>
  </w:style>
  <w:style w:type="paragraph" w:styleId="aff0">
    <w:name w:val="Date"/>
    <w:basedOn w:val="a"/>
    <w:next w:val="a"/>
    <w:link w:val="Chare"/>
    <w:rsid w:val="002A349D"/>
    <w:pPr>
      <w:ind w:left="100"/>
    </w:pPr>
  </w:style>
  <w:style w:type="character" w:styleId="HTML">
    <w:name w:val="HTML Typewriter"/>
    <w:basedOn w:val="a1"/>
    <w:rsid w:val="002A349D"/>
    <w:rPr>
      <w:rFonts w:ascii="黑体" w:eastAsia="黑体" w:hAnsi="Courier New" w:cs="Courier New"/>
      <w:sz w:val="20"/>
      <w:szCs w:val="20"/>
    </w:rPr>
  </w:style>
  <w:style w:type="paragraph" w:styleId="aff1">
    <w:name w:val="Revision"/>
    <w:hidden/>
    <w:uiPriority w:val="99"/>
    <w:semiHidden/>
    <w:rsid w:val="002A349D"/>
    <w:rPr>
      <w:sz w:val="21"/>
      <w:szCs w:val="24"/>
    </w:rPr>
  </w:style>
  <w:style w:type="character" w:customStyle="1" w:styleId="da">
    <w:name w:val="da"/>
    <w:basedOn w:val="a1"/>
    <w:qFormat/>
    <w:rsid w:val="002A349D"/>
  </w:style>
  <w:style w:type="character" w:customStyle="1" w:styleId="Char7">
    <w:name w:val="页脚 Char"/>
    <w:basedOn w:val="a1"/>
    <w:link w:val="af1"/>
    <w:uiPriority w:val="99"/>
    <w:rsid w:val="002A349D"/>
    <w:rPr>
      <w:sz w:val="18"/>
      <w:szCs w:val="18"/>
    </w:rPr>
  </w:style>
  <w:style w:type="character" w:customStyle="1" w:styleId="Char5">
    <w:name w:val="正文文本 Char"/>
    <w:basedOn w:val="a1"/>
    <w:link w:val="a0"/>
    <w:rsid w:val="002A349D"/>
    <w:rPr>
      <w:sz w:val="21"/>
      <w:szCs w:val="24"/>
    </w:rPr>
  </w:style>
  <w:style w:type="character" w:customStyle="1" w:styleId="Char6">
    <w:name w:val="页眉 Char"/>
    <w:basedOn w:val="a1"/>
    <w:link w:val="af0"/>
    <w:uiPriority w:val="99"/>
    <w:rsid w:val="002A349D"/>
    <w:rPr>
      <w:sz w:val="18"/>
      <w:szCs w:val="18"/>
    </w:rPr>
  </w:style>
  <w:style w:type="character" w:customStyle="1" w:styleId="3Char">
    <w:name w:val="标题 3 Char"/>
    <w:basedOn w:val="a1"/>
    <w:link w:val="3"/>
    <w:rsid w:val="002A349D"/>
    <w:rPr>
      <w:rFonts w:ascii="仿宋_GB2312" w:eastAsia="仿宋_GB2312"/>
      <w:sz w:val="24"/>
    </w:rPr>
  </w:style>
  <w:style w:type="character" w:customStyle="1" w:styleId="4Char">
    <w:name w:val="标题 4 Char"/>
    <w:basedOn w:val="a1"/>
    <w:link w:val="4"/>
    <w:rsid w:val="002A349D"/>
    <w:rPr>
      <w:rFonts w:ascii="Arial" w:eastAsia="黑体" w:hAnsi="Arial"/>
      <w:b/>
      <w:bCs/>
      <w:sz w:val="28"/>
      <w:szCs w:val="28"/>
    </w:rPr>
  </w:style>
  <w:style w:type="character" w:customStyle="1" w:styleId="5Char">
    <w:name w:val="标题 5 Char"/>
    <w:basedOn w:val="a1"/>
    <w:link w:val="5"/>
    <w:rsid w:val="002A349D"/>
    <w:rPr>
      <w:b/>
      <w:bCs/>
      <w:sz w:val="28"/>
      <w:szCs w:val="28"/>
    </w:rPr>
  </w:style>
  <w:style w:type="character" w:customStyle="1" w:styleId="6Char">
    <w:name w:val="标题 6 Char"/>
    <w:basedOn w:val="a1"/>
    <w:link w:val="6"/>
    <w:rsid w:val="002A349D"/>
    <w:rPr>
      <w:rFonts w:eastAsia="楷体_GB2312"/>
      <w:sz w:val="24"/>
    </w:rPr>
  </w:style>
  <w:style w:type="character" w:customStyle="1" w:styleId="7Char">
    <w:name w:val="标题 7 Char"/>
    <w:basedOn w:val="a1"/>
    <w:link w:val="7"/>
    <w:rsid w:val="002A349D"/>
    <w:rPr>
      <w:b/>
      <w:bCs/>
      <w:sz w:val="24"/>
      <w:szCs w:val="24"/>
    </w:rPr>
  </w:style>
  <w:style w:type="character" w:customStyle="1" w:styleId="8Char">
    <w:name w:val="标题 8 Char"/>
    <w:basedOn w:val="a1"/>
    <w:link w:val="8"/>
    <w:rsid w:val="002A349D"/>
    <w:rPr>
      <w:rFonts w:ascii="Arial" w:eastAsia="黑体" w:hAnsi="Arial"/>
      <w:sz w:val="24"/>
      <w:szCs w:val="24"/>
    </w:rPr>
  </w:style>
  <w:style w:type="character" w:customStyle="1" w:styleId="9Char">
    <w:name w:val="标题 9 Char"/>
    <w:basedOn w:val="a1"/>
    <w:link w:val="9"/>
    <w:rsid w:val="002A349D"/>
    <w:rPr>
      <w:rFonts w:ascii="Arial" w:eastAsia="黑体" w:hAnsi="Arial"/>
      <w:sz w:val="24"/>
      <w:szCs w:val="21"/>
    </w:rPr>
  </w:style>
  <w:style w:type="character" w:customStyle="1" w:styleId="Charb">
    <w:name w:val="批注文字 Char"/>
    <w:basedOn w:val="a1"/>
    <w:link w:val="afb"/>
    <w:qFormat/>
    <w:rsid w:val="002A349D"/>
    <w:rPr>
      <w:sz w:val="21"/>
      <w:szCs w:val="24"/>
    </w:rPr>
  </w:style>
  <w:style w:type="character" w:customStyle="1" w:styleId="Char8">
    <w:name w:val="正文文本缩进 Char"/>
    <w:basedOn w:val="a1"/>
    <w:link w:val="af4"/>
    <w:rsid w:val="002A349D"/>
    <w:rPr>
      <w:sz w:val="24"/>
      <w:szCs w:val="24"/>
    </w:rPr>
  </w:style>
  <w:style w:type="character" w:customStyle="1" w:styleId="Chare">
    <w:name w:val="日期 Char"/>
    <w:basedOn w:val="a1"/>
    <w:link w:val="aff0"/>
    <w:rsid w:val="002A349D"/>
    <w:rPr>
      <w:sz w:val="21"/>
      <w:szCs w:val="24"/>
    </w:rPr>
  </w:style>
  <w:style w:type="character" w:customStyle="1" w:styleId="2Char1">
    <w:name w:val="正文文本 2 Char"/>
    <w:basedOn w:val="a1"/>
    <w:link w:val="22"/>
    <w:rsid w:val="002A349D"/>
    <w:rPr>
      <w:color w:val="0C6C9C"/>
      <w:sz w:val="21"/>
      <w:szCs w:val="18"/>
    </w:rPr>
  </w:style>
  <w:style w:type="character" w:customStyle="1" w:styleId="2Char0">
    <w:name w:val="正文文本缩进 2 Char"/>
    <w:basedOn w:val="a1"/>
    <w:link w:val="21"/>
    <w:rsid w:val="002A349D"/>
    <w:rPr>
      <w:color w:val="3366FF"/>
      <w:sz w:val="24"/>
      <w:szCs w:val="24"/>
    </w:rPr>
  </w:style>
  <w:style w:type="character" w:customStyle="1" w:styleId="3Char0">
    <w:name w:val="正文文本缩进 3 Char"/>
    <w:basedOn w:val="a1"/>
    <w:link w:val="31"/>
    <w:rsid w:val="002A349D"/>
    <w:rPr>
      <w:rFonts w:ascii="仿宋_GB2312" w:eastAsia="仿宋_GB2312" w:hAnsi="宋体"/>
      <w:sz w:val="24"/>
      <w:szCs w:val="24"/>
    </w:rPr>
  </w:style>
  <w:style w:type="character" w:customStyle="1" w:styleId="Chara">
    <w:name w:val="文档结构图 Char"/>
    <w:basedOn w:val="a1"/>
    <w:link w:val="af9"/>
    <w:semiHidden/>
    <w:rsid w:val="002A349D"/>
    <w:rPr>
      <w:sz w:val="21"/>
      <w:szCs w:val="24"/>
      <w:shd w:val="clear" w:color="000080" w:fill="000080"/>
    </w:rPr>
  </w:style>
  <w:style w:type="character" w:customStyle="1" w:styleId="Chard">
    <w:name w:val="纯文本 Char"/>
    <w:basedOn w:val="a1"/>
    <w:link w:val="aff"/>
    <w:rsid w:val="002A349D"/>
    <w:rPr>
      <w:rFonts w:ascii="宋体" w:hAnsi="Courier New"/>
      <w:sz w:val="24"/>
    </w:rPr>
  </w:style>
  <w:style w:type="character" w:customStyle="1" w:styleId="Charc">
    <w:name w:val="批注主题 Char"/>
    <w:basedOn w:val="Charb"/>
    <w:link w:val="afc"/>
    <w:semiHidden/>
    <w:rsid w:val="002A349D"/>
    <w:rPr>
      <w:b/>
      <w:bCs/>
      <w:sz w:val="21"/>
      <w:szCs w:val="24"/>
    </w:rPr>
  </w:style>
  <w:style w:type="character" w:customStyle="1" w:styleId="Char9">
    <w:name w:val="批注框文本 Char"/>
    <w:basedOn w:val="a1"/>
    <w:link w:val="af7"/>
    <w:semiHidden/>
    <w:rsid w:val="002A349D"/>
    <w:rPr>
      <w:sz w:val="18"/>
      <w:szCs w:val="18"/>
    </w:rPr>
  </w:style>
  <w:style w:type="paragraph" w:styleId="aff2">
    <w:name w:val="List Paragraph"/>
    <w:basedOn w:val="a"/>
    <w:uiPriority w:val="34"/>
    <w:qFormat/>
    <w:rsid w:val="002A349D"/>
    <w:pPr>
      <w:ind w:firstLine="420"/>
    </w:pPr>
  </w:style>
  <w:style w:type="paragraph" w:styleId="HTML0">
    <w:name w:val="HTML Preformatted"/>
    <w:basedOn w:val="a"/>
    <w:link w:val="HTMLChar"/>
    <w:uiPriority w:val="99"/>
    <w:unhideWhenUsed/>
    <w:rsid w:val="002A34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1"/>
    <w:link w:val="HTML0"/>
    <w:uiPriority w:val="99"/>
    <w:rsid w:val="002A349D"/>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1800</Words>
  <Characters>10265</Characters>
  <Application>Microsoft Office Word</Application>
  <DocSecurity>4</DocSecurity>
  <Lines>85</Lines>
  <Paragraphs>24</Paragraphs>
  <ScaleCrop>false</ScaleCrop>
  <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2025-12-08T16:03:00Z</dcterms:created>
  <dcterms:modified xsi:type="dcterms:W3CDTF">2025-12-08T16:03:00Z</dcterms:modified>
</cp:coreProperties>
</file>