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68" w:rsidRDefault="007A449A">
      <w:pPr>
        <w:adjustRightInd w:val="0"/>
        <w:spacing w:line="360" w:lineRule="auto"/>
        <w:jc w:val="center"/>
        <w:rPr>
          <w:rFonts w:ascii="宋体" w:hAnsi="宋体"/>
          <w:b/>
          <w:bCs/>
          <w:sz w:val="28"/>
          <w:szCs w:val="28"/>
        </w:rPr>
      </w:pPr>
      <w:r>
        <w:rPr>
          <w:rFonts w:ascii="宋体" w:hAnsi="宋体" w:hint="eastAsia"/>
          <w:b/>
          <w:bCs/>
          <w:sz w:val="28"/>
          <w:szCs w:val="28"/>
        </w:rPr>
        <w:t>关于博时合鑫货币市场基金增加基金份额类别并修改</w:t>
      </w:r>
    </w:p>
    <w:p w:rsidR="002F6968" w:rsidRDefault="007A449A">
      <w:pPr>
        <w:adjustRightInd w:val="0"/>
        <w:spacing w:line="360" w:lineRule="auto"/>
        <w:jc w:val="center"/>
        <w:rPr>
          <w:rFonts w:ascii="宋体" w:hAnsi="宋体"/>
          <w:sz w:val="28"/>
          <w:szCs w:val="28"/>
        </w:rPr>
      </w:pPr>
      <w:r>
        <w:rPr>
          <w:rFonts w:ascii="宋体" w:hAnsi="宋体" w:hint="eastAsia"/>
          <w:b/>
          <w:bCs/>
          <w:sz w:val="28"/>
          <w:szCs w:val="28"/>
        </w:rPr>
        <w:t>基金合同的公告</w:t>
      </w:r>
    </w:p>
    <w:p w:rsidR="002F6968" w:rsidRDefault="007A449A">
      <w:pPr>
        <w:adjustRightInd w:val="0"/>
        <w:spacing w:line="360" w:lineRule="auto"/>
        <w:ind w:firstLineChars="200" w:firstLine="480"/>
        <w:rPr>
          <w:rFonts w:ascii="宋体" w:hAnsi="宋体" w:cs="宋体"/>
          <w:sz w:val="24"/>
          <w:szCs w:val="20"/>
        </w:rPr>
      </w:pPr>
      <w:r>
        <w:rPr>
          <w:rFonts w:ascii="Arial" w:hAnsi="Arial" w:cs="Arial" w:hint="eastAsia"/>
          <w:sz w:val="24"/>
          <w:szCs w:val="20"/>
        </w:rPr>
        <w:t>为更好地满足</w:t>
      </w:r>
      <w:r>
        <w:rPr>
          <w:rFonts w:ascii="宋体" w:hAnsi="宋体" w:cs="宋体" w:hint="eastAsia"/>
          <w:sz w:val="24"/>
          <w:szCs w:val="20"/>
        </w:rPr>
        <w:t>广大投资者的理财需求，提供更灵活的理财服务，更好地服务于投资者，根据《博时合鑫货币市场基金基金合同》（以下简称“基金合同”）的有关约定，博时基金管理有限公司（以下简称“基金管理人”或“本公司”）决定自</w:t>
      </w:r>
      <w:r>
        <w:rPr>
          <w:rFonts w:ascii="宋体" w:hAnsi="宋体" w:cs="宋体" w:hint="eastAsia"/>
          <w:sz w:val="24"/>
          <w:szCs w:val="20"/>
        </w:rPr>
        <w:t>2025</w:t>
      </w:r>
      <w:r>
        <w:rPr>
          <w:rFonts w:ascii="宋体" w:hAnsi="宋体" w:cs="宋体" w:hint="eastAsia"/>
          <w:sz w:val="24"/>
          <w:szCs w:val="20"/>
        </w:rPr>
        <w:t>年</w:t>
      </w:r>
      <w:r>
        <w:rPr>
          <w:rFonts w:ascii="宋体" w:hAnsi="宋体" w:cs="宋体" w:hint="eastAsia"/>
          <w:sz w:val="24"/>
          <w:szCs w:val="20"/>
        </w:rPr>
        <w:t>12</w:t>
      </w:r>
      <w:r>
        <w:rPr>
          <w:rFonts w:ascii="宋体" w:hAnsi="宋体" w:cs="宋体" w:hint="eastAsia"/>
          <w:sz w:val="24"/>
          <w:szCs w:val="20"/>
        </w:rPr>
        <w:t>月</w:t>
      </w:r>
      <w:r>
        <w:rPr>
          <w:rFonts w:ascii="宋体" w:hAnsi="宋体" w:cs="宋体" w:hint="eastAsia"/>
          <w:sz w:val="24"/>
          <w:szCs w:val="20"/>
        </w:rPr>
        <w:t>10</w:t>
      </w:r>
      <w:r>
        <w:rPr>
          <w:rFonts w:ascii="宋体" w:hAnsi="宋体" w:cs="宋体" w:hint="eastAsia"/>
          <w:sz w:val="24"/>
          <w:szCs w:val="20"/>
        </w:rPr>
        <w:t>日起对博时合鑫货币市场基金（以下简称“本基金”）增加</w:t>
      </w:r>
      <w:r>
        <w:rPr>
          <w:rFonts w:ascii="宋体" w:hAnsi="宋体" w:cs="宋体" w:hint="eastAsia"/>
          <w:sz w:val="24"/>
          <w:szCs w:val="20"/>
        </w:rPr>
        <w:t>C</w:t>
      </w:r>
      <w:r>
        <w:rPr>
          <w:rFonts w:ascii="宋体" w:hAnsi="宋体" w:cs="宋体" w:hint="eastAsia"/>
          <w:sz w:val="24"/>
          <w:szCs w:val="20"/>
        </w:rPr>
        <w:t>类基金份额类别，根据不同的销售服务费</w:t>
      </w:r>
      <w:bookmarkStart w:id="0" w:name="_GoBack"/>
      <w:bookmarkEnd w:id="0"/>
      <w:r>
        <w:rPr>
          <w:rFonts w:ascii="宋体" w:hAnsi="宋体" w:cs="宋体" w:hint="eastAsia"/>
          <w:sz w:val="24"/>
          <w:szCs w:val="20"/>
        </w:rPr>
        <w:t>率划分为</w:t>
      </w:r>
      <w:r>
        <w:rPr>
          <w:rFonts w:ascii="宋体" w:hAnsi="宋体" w:cs="宋体" w:hint="eastAsia"/>
          <w:sz w:val="24"/>
          <w:szCs w:val="20"/>
        </w:rPr>
        <w:t>A</w:t>
      </w:r>
      <w:r>
        <w:rPr>
          <w:rFonts w:ascii="宋体" w:hAnsi="宋体" w:cs="宋体" w:hint="eastAsia"/>
          <w:sz w:val="24"/>
          <w:szCs w:val="20"/>
        </w:rPr>
        <w:t>类、</w:t>
      </w:r>
      <w:r>
        <w:rPr>
          <w:rFonts w:ascii="宋体" w:hAnsi="宋体" w:cs="宋体" w:hint="eastAsia"/>
          <w:sz w:val="24"/>
          <w:szCs w:val="20"/>
        </w:rPr>
        <w:t>B</w:t>
      </w:r>
      <w:r>
        <w:rPr>
          <w:rFonts w:ascii="宋体" w:hAnsi="宋体" w:cs="宋体" w:hint="eastAsia"/>
          <w:sz w:val="24"/>
          <w:szCs w:val="20"/>
        </w:rPr>
        <w:t>类、</w:t>
      </w:r>
      <w:r>
        <w:rPr>
          <w:rFonts w:ascii="宋体" w:hAnsi="宋体" w:cs="宋体" w:hint="eastAsia"/>
          <w:sz w:val="24"/>
          <w:szCs w:val="20"/>
        </w:rPr>
        <w:t>C</w:t>
      </w:r>
      <w:r>
        <w:rPr>
          <w:rFonts w:ascii="宋体" w:hAnsi="宋体" w:cs="宋体" w:hint="eastAsia"/>
          <w:sz w:val="24"/>
          <w:szCs w:val="20"/>
        </w:rPr>
        <w:t>类三类基金份额。按照</w:t>
      </w:r>
      <w:r>
        <w:rPr>
          <w:rFonts w:ascii="宋体" w:hAnsi="宋体" w:cs="宋体" w:hint="eastAsia"/>
          <w:sz w:val="24"/>
          <w:szCs w:val="20"/>
        </w:rPr>
        <w:t>0.25%</w:t>
      </w:r>
      <w:r>
        <w:rPr>
          <w:rFonts w:ascii="宋体" w:hAnsi="宋体" w:cs="宋体" w:hint="eastAsia"/>
          <w:sz w:val="24"/>
          <w:szCs w:val="20"/>
        </w:rPr>
        <w:t>年费率计提销售服务费的基金份额类别，称为</w:t>
      </w:r>
      <w:r>
        <w:rPr>
          <w:rFonts w:ascii="宋体" w:hAnsi="宋体" w:cs="宋体" w:hint="eastAsia"/>
          <w:sz w:val="24"/>
          <w:szCs w:val="20"/>
        </w:rPr>
        <w:t>A</w:t>
      </w:r>
      <w:r>
        <w:rPr>
          <w:rFonts w:ascii="宋体" w:hAnsi="宋体" w:cs="宋体" w:hint="eastAsia"/>
          <w:sz w:val="24"/>
          <w:szCs w:val="20"/>
        </w:rPr>
        <w:t>类基金份额（基金代码：</w:t>
      </w:r>
      <w:r>
        <w:rPr>
          <w:rFonts w:ascii="宋体" w:hAnsi="宋体" w:cs="宋体" w:hint="eastAsia"/>
          <w:sz w:val="24"/>
          <w:szCs w:val="20"/>
        </w:rPr>
        <w:t>018907</w:t>
      </w:r>
      <w:r>
        <w:rPr>
          <w:rFonts w:ascii="宋体" w:hAnsi="宋体" w:cs="宋体" w:hint="eastAsia"/>
          <w:sz w:val="24"/>
          <w:szCs w:val="20"/>
        </w:rPr>
        <w:t>）；按照</w:t>
      </w:r>
      <w:r>
        <w:rPr>
          <w:rFonts w:ascii="宋体" w:hAnsi="宋体" w:cs="宋体" w:hint="eastAsia"/>
          <w:sz w:val="24"/>
          <w:szCs w:val="20"/>
        </w:rPr>
        <w:t>0.03%</w:t>
      </w:r>
      <w:r>
        <w:rPr>
          <w:rFonts w:ascii="宋体" w:hAnsi="宋体" w:cs="宋体" w:hint="eastAsia"/>
          <w:sz w:val="24"/>
          <w:szCs w:val="20"/>
        </w:rPr>
        <w:t>年费率计提销售服务费的基金份额类别，称为</w:t>
      </w:r>
      <w:r>
        <w:rPr>
          <w:rFonts w:ascii="宋体" w:hAnsi="宋体" w:cs="宋体" w:hint="eastAsia"/>
          <w:sz w:val="24"/>
          <w:szCs w:val="20"/>
        </w:rPr>
        <w:t>B</w:t>
      </w:r>
      <w:r>
        <w:rPr>
          <w:rFonts w:ascii="宋体" w:hAnsi="宋体" w:cs="宋体" w:hint="eastAsia"/>
          <w:sz w:val="24"/>
          <w:szCs w:val="20"/>
        </w:rPr>
        <w:t>类基金份额（基金代码为：</w:t>
      </w:r>
      <w:r>
        <w:rPr>
          <w:rFonts w:ascii="宋体" w:hAnsi="宋体" w:cs="宋体" w:hint="eastAsia"/>
          <w:sz w:val="24"/>
          <w:szCs w:val="20"/>
        </w:rPr>
        <w:t>003206</w:t>
      </w:r>
      <w:r>
        <w:rPr>
          <w:rFonts w:ascii="宋体" w:hAnsi="宋体" w:cs="宋体" w:hint="eastAsia"/>
          <w:sz w:val="24"/>
          <w:szCs w:val="20"/>
        </w:rPr>
        <w:t>）；按照</w:t>
      </w:r>
      <w:r>
        <w:rPr>
          <w:rFonts w:ascii="宋体" w:hAnsi="宋体" w:cs="宋体" w:hint="eastAsia"/>
          <w:sz w:val="24"/>
          <w:szCs w:val="20"/>
        </w:rPr>
        <w:t>0.15%</w:t>
      </w:r>
      <w:r>
        <w:rPr>
          <w:rFonts w:ascii="宋体" w:hAnsi="宋体" w:cs="宋体" w:hint="eastAsia"/>
          <w:sz w:val="24"/>
          <w:szCs w:val="20"/>
        </w:rPr>
        <w:t>年费率计提销售服务费的基金份额类别，称为</w:t>
      </w:r>
      <w:r>
        <w:rPr>
          <w:rFonts w:ascii="宋体" w:hAnsi="宋体" w:cs="宋体" w:hint="eastAsia"/>
          <w:sz w:val="24"/>
          <w:szCs w:val="20"/>
        </w:rPr>
        <w:t>C</w:t>
      </w:r>
      <w:r>
        <w:rPr>
          <w:rFonts w:ascii="宋体" w:hAnsi="宋体" w:cs="宋体" w:hint="eastAsia"/>
          <w:sz w:val="24"/>
          <w:szCs w:val="20"/>
        </w:rPr>
        <w:t>类基金份额（基金代码为：</w:t>
      </w:r>
      <w:r>
        <w:rPr>
          <w:rFonts w:ascii="宋体" w:hAnsi="宋体" w:cs="宋体" w:hint="eastAsia"/>
          <w:sz w:val="24"/>
          <w:szCs w:val="20"/>
        </w:rPr>
        <w:t>026281</w:t>
      </w:r>
      <w:r>
        <w:rPr>
          <w:rFonts w:ascii="宋体" w:hAnsi="宋体" w:cs="宋体" w:hint="eastAsia"/>
          <w:sz w:val="24"/>
          <w:szCs w:val="20"/>
        </w:rPr>
        <w:t>）。</w:t>
      </w:r>
    </w:p>
    <w:p w:rsidR="002F6968" w:rsidRDefault="007A449A">
      <w:pPr>
        <w:adjustRightInd w:val="0"/>
        <w:spacing w:line="360" w:lineRule="auto"/>
        <w:ind w:firstLineChars="200" w:firstLine="480"/>
        <w:rPr>
          <w:rFonts w:ascii="宋体" w:hAnsi="宋体" w:cs="宋体"/>
          <w:sz w:val="24"/>
          <w:szCs w:val="20"/>
        </w:rPr>
      </w:pPr>
      <w:r>
        <w:rPr>
          <w:rFonts w:ascii="宋体" w:hAnsi="宋体" w:cs="宋体" w:hint="eastAsia"/>
          <w:sz w:val="24"/>
          <w:szCs w:val="20"/>
        </w:rPr>
        <w:t>经与基金托管人招商银行股份有限公司协商一致，本公司对基金合同中有关内容进行相应修订，现将本基金增加基金份额类别的相关内容说明如下：</w:t>
      </w:r>
    </w:p>
    <w:p w:rsidR="002F6968" w:rsidRDefault="007A449A" w:rsidP="007A449A">
      <w:pPr>
        <w:numPr>
          <w:ilvl w:val="0"/>
          <w:numId w:val="1"/>
        </w:numPr>
        <w:snapToGrid w:val="0"/>
        <w:spacing w:beforeLines="50" w:afterLines="50" w:line="360" w:lineRule="auto"/>
        <w:rPr>
          <w:rFonts w:ascii="Calibri" w:hAnsi="Calibri"/>
          <w:b/>
          <w:sz w:val="24"/>
        </w:rPr>
      </w:pPr>
      <w:r>
        <w:rPr>
          <w:rFonts w:ascii="Calibri" w:hAnsi="Calibri" w:hint="eastAsia"/>
          <w:b/>
          <w:sz w:val="24"/>
        </w:rPr>
        <w:t>博时合鑫货币市场基金增加基金份额类别方案概要</w:t>
      </w:r>
    </w:p>
    <w:p w:rsidR="002F6968" w:rsidRDefault="007A449A">
      <w:pPr>
        <w:shd w:val="clear" w:color="auto" w:fill="FFFFFF"/>
        <w:adjustRightInd w:val="0"/>
        <w:snapToGrid w:val="0"/>
        <w:spacing w:line="360" w:lineRule="auto"/>
        <w:ind w:firstLineChars="200" w:firstLine="480"/>
        <w:jc w:val="left"/>
        <w:rPr>
          <w:rFonts w:ascii="宋体" w:hAnsi="宋体" w:cs="宋体"/>
          <w:sz w:val="24"/>
        </w:rPr>
      </w:pPr>
      <w:r>
        <w:rPr>
          <w:rFonts w:ascii="宋体" w:hAnsi="宋体" w:hint="eastAsia"/>
          <w:sz w:val="24"/>
        </w:rPr>
        <w:t>1</w:t>
      </w:r>
      <w:r>
        <w:rPr>
          <w:rFonts w:ascii="宋体" w:hAnsi="宋体" w:hint="eastAsia"/>
          <w:sz w:val="24"/>
        </w:rPr>
        <w:t>、</w:t>
      </w:r>
      <w:r>
        <w:rPr>
          <w:rFonts w:ascii="宋体" w:hAnsi="宋体" w:cs="宋体" w:hint="eastAsia"/>
          <w:sz w:val="24"/>
        </w:rPr>
        <w:t>基金</w:t>
      </w:r>
      <w:r>
        <w:rPr>
          <w:rFonts w:ascii="宋体" w:hAnsi="宋体" w:cs="宋体" w:hint="eastAsia"/>
          <w:sz w:val="24"/>
        </w:rPr>
        <w:t>份额分类</w:t>
      </w:r>
    </w:p>
    <w:p w:rsidR="002F6968" w:rsidRDefault="007A449A">
      <w:pPr>
        <w:shd w:val="clear" w:color="auto" w:fill="FFFFFF"/>
        <w:adjustRightInd w:val="0"/>
        <w:snapToGrid w:val="0"/>
        <w:spacing w:line="360" w:lineRule="auto"/>
        <w:ind w:firstLineChars="200" w:firstLine="480"/>
        <w:jc w:val="left"/>
        <w:rPr>
          <w:rFonts w:ascii="宋体" w:hAnsi="宋体" w:cs="宋体"/>
          <w:bCs/>
          <w:sz w:val="24"/>
          <w:szCs w:val="20"/>
        </w:rPr>
      </w:pPr>
      <w:r>
        <w:rPr>
          <w:rFonts w:ascii="宋体" w:hAnsi="宋体" w:cs="宋体" w:hint="eastAsia"/>
          <w:bCs/>
          <w:sz w:val="24"/>
          <w:szCs w:val="20"/>
        </w:rPr>
        <w:t>本基金分设三类基金份额：</w:t>
      </w:r>
      <w:r>
        <w:rPr>
          <w:rFonts w:ascii="宋体" w:hAnsi="宋体" w:cs="宋体" w:hint="eastAsia"/>
          <w:bCs/>
          <w:sz w:val="24"/>
          <w:szCs w:val="20"/>
        </w:rPr>
        <w:t>A</w:t>
      </w:r>
      <w:r>
        <w:rPr>
          <w:rFonts w:ascii="宋体" w:hAnsi="宋体" w:cs="宋体" w:hint="eastAsia"/>
          <w:bCs/>
          <w:sz w:val="24"/>
          <w:szCs w:val="20"/>
        </w:rPr>
        <w:t>类基金份额、</w:t>
      </w:r>
      <w:r>
        <w:rPr>
          <w:rFonts w:ascii="宋体" w:hAnsi="宋体" w:cs="宋体" w:hint="eastAsia"/>
          <w:bCs/>
          <w:sz w:val="24"/>
          <w:szCs w:val="20"/>
        </w:rPr>
        <w:t>B</w:t>
      </w:r>
      <w:r>
        <w:rPr>
          <w:rFonts w:ascii="宋体" w:hAnsi="宋体" w:cs="宋体" w:hint="eastAsia"/>
          <w:bCs/>
          <w:sz w:val="24"/>
          <w:szCs w:val="20"/>
        </w:rPr>
        <w:t>类基金份额和</w:t>
      </w:r>
      <w:r>
        <w:rPr>
          <w:rFonts w:ascii="宋体" w:hAnsi="宋体" w:cs="宋体" w:hint="eastAsia"/>
          <w:bCs/>
          <w:sz w:val="24"/>
          <w:szCs w:val="20"/>
        </w:rPr>
        <w:t>C</w:t>
      </w:r>
      <w:r>
        <w:rPr>
          <w:rFonts w:ascii="宋体" w:hAnsi="宋体" w:cs="宋体" w:hint="eastAsia"/>
          <w:bCs/>
          <w:sz w:val="24"/>
          <w:szCs w:val="20"/>
        </w:rPr>
        <w:t>类基金份额。三类基金份额分设不同的基金代码，收取不同的销售服务费并分别公布各类基金份额的每万份基金已实现收益和</w:t>
      </w:r>
      <w:r>
        <w:rPr>
          <w:rFonts w:ascii="宋体" w:hAnsi="宋体" w:cs="宋体" w:hint="eastAsia"/>
          <w:bCs/>
          <w:sz w:val="24"/>
          <w:szCs w:val="20"/>
        </w:rPr>
        <w:t>7</w:t>
      </w:r>
      <w:r>
        <w:rPr>
          <w:rFonts w:ascii="宋体" w:hAnsi="宋体" w:cs="宋体" w:hint="eastAsia"/>
          <w:bCs/>
          <w:sz w:val="24"/>
          <w:szCs w:val="20"/>
        </w:rPr>
        <w:t>日年化收益率。</w:t>
      </w:r>
      <w:r>
        <w:rPr>
          <w:rFonts w:ascii="宋体" w:hAnsi="宋体" w:cs="宋体" w:hint="eastAsia"/>
          <w:bCs/>
          <w:sz w:val="24"/>
          <w:szCs w:val="20"/>
        </w:rPr>
        <w:t>A</w:t>
      </w:r>
      <w:r>
        <w:rPr>
          <w:rFonts w:ascii="宋体" w:hAnsi="宋体" w:cs="宋体" w:hint="eastAsia"/>
          <w:bCs/>
          <w:sz w:val="24"/>
          <w:szCs w:val="20"/>
        </w:rPr>
        <w:t>类基金份额指按照</w:t>
      </w:r>
      <w:r>
        <w:rPr>
          <w:rFonts w:ascii="宋体" w:hAnsi="宋体" w:cs="宋体" w:hint="eastAsia"/>
          <w:bCs/>
          <w:sz w:val="24"/>
          <w:szCs w:val="20"/>
        </w:rPr>
        <w:t>0.25%</w:t>
      </w:r>
      <w:r>
        <w:rPr>
          <w:rFonts w:ascii="宋体" w:hAnsi="宋体" w:cs="宋体" w:hint="eastAsia"/>
          <w:bCs/>
          <w:sz w:val="24"/>
          <w:szCs w:val="20"/>
        </w:rPr>
        <w:t>年费率计提销售服务</w:t>
      </w:r>
      <w:r>
        <w:rPr>
          <w:rFonts w:ascii="宋体" w:hAnsi="宋体" w:cs="宋体" w:hint="eastAsia"/>
          <w:bCs/>
          <w:sz w:val="24"/>
          <w:szCs w:val="20"/>
        </w:rPr>
        <w:t>费</w:t>
      </w:r>
      <w:r>
        <w:rPr>
          <w:rFonts w:ascii="宋体" w:hAnsi="宋体" w:cs="宋体" w:hint="eastAsia"/>
          <w:bCs/>
          <w:sz w:val="24"/>
          <w:szCs w:val="20"/>
        </w:rPr>
        <w:t>的基金份额类别；</w:t>
      </w:r>
      <w:r>
        <w:rPr>
          <w:rFonts w:ascii="宋体" w:hAnsi="宋体" w:cs="宋体" w:hint="eastAsia"/>
          <w:bCs/>
          <w:sz w:val="24"/>
          <w:szCs w:val="20"/>
        </w:rPr>
        <w:t>B</w:t>
      </w:r>
      <w:r>
        <w:rPr>
          <w:rFonts w:ascii="宋体" w:hAnsi="宋体" w:cs="宋体" w:hint="eastAsia"/>
          <w:bCs/>
          <w:sz w:val="24"/>
          <w:szCs w:val="20"/>
        </w:rPr>
        <w:t>类基金份额指按照</w:t>
      </w:r>
      <w:r>
        <w:rPr>
          <w:rFonts w:ascii="宋体" w:hAnsi="宋体" w:cs="宋体" w:hint="eastAsia"/>
          <w:bCs/>
          <w:sz w:val="24"/>
          <w:szCs w:val="20"/>
        </w:rPr>
        <w:t>0.03%</w:t>
      </w:r>
      <w:r>
        <w:rPr>
          <w:rFonts w:ascii="宋体" w:hAnsi="宋体" w:cs="宋体" w:hint="eastAsia"/>
          <w:bCs/>
          <w:sz w:val="24"/>
          <w:szCs w:val="20"/>
        </w:rPr>
        <w:t>年费率计提销售服务</w:t>
      </w:r>
      <w:r>
        <w:rPr>
          <w:rFonts w:ascii="宋体" w:hAnsi="宋体" w:cs="宋体" w:hint="eastAsia"/>
          <w:bCs/>
          <w:sz w:val="24"/>
          <w:szCs w:val="20"/>
        </w:rPr>
        <w:t>费</w:t>
      </w:r>
      <w:r>
        <w:rPr>
          <w:rFonts w:ascii="宋体" w:hAnsi="宋体" w:cs="宋体" w:hint="eastAsia"/>
          <w:bCs/>
          <w:sz w:val="24"/>
          <w:szCs w:val="20"/>
        </w:rPr>
        <w:t>的基金份额类别；</w:t>
      </w:r>
      <w:r>
        <w:rPr>
          <w:rFonts w:ascii="宋体" w:hAnsi="宋体" w:cs="宋体" w:hint="eastAsia"/>
          <w:bCs/>
          <w:sz w:val="24"/>
          <w:szCs w:val="20"/>
        </w:rPr>
        <w:t>C</w:t>
      </w:r>
      <w:r>
        <w:rPr>
          <w:rFonts w:ascii="宋体" w:hAnsi="宋体" w:cs="宋体" w:hint="eastAsia"/>
          <w:bCs/>
          <w:sz w:val="24"/>
          <w:szCs w:val="20"/>
        </w:rPr>
        <w:t>类基金份额指按照</w:t>
      </w:r>
      <w:r>
        <w:rPr>
          <w:rFonts w:ascii="宋体" w:hAnsi="宋体" w:cs="宋体" w:hint="eastAsia"/>
          <w:bCs/>
          <w:sz w:val="24"/>
          <w:szCs w:val="20"/>
        </w:rPr>
        <w:t>0.15%</w:t>
      </w:r>
      <w:r>
        <w:rPr>
          <w:rFonts w:ascii="宋体" w:hAnsi="宋体" w:cs="宋体" w:hint="eastAsia"/>
          <w:bCs/>
          <w:sz w:val="24"/>
          <w:szCs w:val="20"/>
        </w:rPr>
        <w:t>年费率计提销售服务</w:t>
      </w:r>
      <w:r>
        <w:rPr>
          <w:rFonts w:ascii="宋体" w:hAnsi="宋体" w:cs="宋体" w:hint="eastAsia"/>
          <w:bCs/>
          <w:sz w:val="24"/>
          <w:szCs w:val="20"/>
        </w:rPr>
        <w:t>费</w:t>
      </w:r>
      <w:r>
        <w:rPr>
          <w:rFonts w:ascii="宋体" w:hAnsi="宋体" w:cs="宋体" w:hint="eastAsia"/>
          <w:bCs/>
          <w:sz w:val="24"/>
          <w:szCs w:val="20"/>
        </w:rPr>
        <w:t>的基金份额类别。</w:t>
      </w:r>
    </w:p>
    <w:p w:rsidR="002F6968" w:rsidRDefault="007A449A">
      <w:pPr>
        <w:shd w:val="clear" w:color="auto" w:fill="FFFFFF"/>
        <w:adjustRightInd w:val="0"/>
        <w:snapToGrid w:val="0"/>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基金费率</w:t>
      </w:r>
    </w:p>
    <w:p w:rsidR="002F6968" w:rsidRDefault="007A449A">
      <w:pPr>
        <w:shd w:val="clear" w:color="auto" w:fill="FFFFFF"/>
        <w:adjustRightInd w:val="0"/>
        <w:snapToGrid w:val="0"/>
        <w:spacing w:line="360" w:lineRule="auto"/>
        <w:ind w:firstLineChars="200" w:firstLine="480"/>
        <w:jc w:val="left"/>
        <w:rPr>
          <w:rFonts w:ascii="宋体" w:hAnsi="宋体"/>
          <w:sz w:val="24"/>
        </w:rPr>
      </w:pPr>
      <w:r>
        <w:rPr>
          <w:rFonts w:ascii="宋体" w:hAnsi="宋体" w:hint="eastAsia"/>
          <w:sz w:val="24"/>
        </w:rPr>
        <w:t>除法律法规另有规定或基金合同另有约定外，本基金各类基金份额均不收取申购费用与赎回费用。</w:t>
      </w:r>
    </w:p>
    <w:p w:rsidR="002F6968" w:rsidRDefault="007A449A" w:rsidP="007A449A">
      <w:pPr>
        <w:shd w:val="clear" w:color="auto" w:fill="FFFFFF"/>
        <w:adjustRightInd w:val="0"/>
        <w:snapToGrid w:val="0"/>
        <w:spacing w:afterLines="50" w:line="360" w:lineRule="auto"/>
        <w:ind w:firstLineChars="200" w:firstLine="480"/>
        <w:jc w:val="left"/>
        <w:rPr>
          <w:rFonts w:ascii="宋体" w:hAnsi="宋体"/>
          <w:sz w:val="24"/>
        </w:rPr>
      </w:pPr>
      <w:r>
        <w:rPr>
          <w:rFonts w:ascii="宋体" w:hAnsi="宋体" w:hint="eastAsia"/>
          <w:sz w:val="24"/>
        </w:rPr>
        <w:t>本基金三类基金份额类别的管理费率、托管费率、销售服务费率与申购、赎回数量限制以及账户最低持有基金份额余额限制</w:t>
      </w:r>
      <w:r>
        <w:rPr>
          <w:rFonts w:ascii="宋体" w:hAnsi="宋体"/>
          <w:sz w:val="24"/>
        </w:rPr>
        <w:t>如下表所示：</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1821"/>
        <w:gridCol w:w="1700"/>
        <w:gridCol w:w="1701"/>
      </w:tblGrid>
      <w:tr w:rsidR="002F6968">
        <w:trPr>
          <w:jc w:val="center"/>
        </w:trPr>
        <w:tc>
          <w:tcPr>
            <w:tcW w:w="1853"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hint="eastAsia"/>
                <w:sz w:val="24"/>
              </w:rPr>
              <w:t>基金分类</w:t>
            </w:r>
          </w:p>
        </w:tc>
        <w:tc>
          <w:tcPr>
            <w:tcW w:w="1097"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hint="eastAsia"/>
                <w:sz w:val="24"/>
              </w:rPr>
              <w:t>A</w:t>
            </w:r>
            <w:r>
              <w:rPr>
                <w:rFonts w:ascii="宋体" w:hAnsi="宋体" w:hint="eastAsia"/>
                <w:sz w:val="24"/>
              </w:rPr>
              <w:t>类基金份额</w:t>
            </w:r>
          </w:p>
        </w:tc>
        <w:tc>
          <w:tcPr>
            <w:tcW w:w="1024"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hint="eastAsia"/>
                <w:sz w:val="24"/>
              </w:rPr>
              <w:t>B</w:t>
            </w:r>
            <w:r>
              <w:rPr>
                <w:rFonts w:ascii="宋体" w:hAnsi="宋体" w:hint="eastAsia"/>
                <w:sz w:val="24"/>
              </w:rPr>
              <w:t>类基金份额</w:t>
            </w:r>
          </w:p>
        </w:tc>
        <w:tc>
          <w:tcPr>
            <w:tcW w:w="1025"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hint="eastAsia"/>
                <w:sz w:val="24"/>
              </w:rPr>
              <w:t>C</w:t>
            </w:r>
            <w:r>
              <w:rPr>
                <w:rFonts w:ascii="宋体" w:hAnsi="宋体" w:hint="eastAsia"/>
                <w:sz w:val="24"/>
              </w:rPr>
              <w:t>类基金份额</w:t>
            </w:r>
          </w:p>
        </w:tc>
      </w:tr>
      <w:tr w:rsidR="002F6968">
        <w:trPr>
          <w:jc w:val="center"/>
        </w:trPr>
        <w:tc>
          <w:tcPr>
            <w:tcW w:w="1853"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sz w:val="24"/>
              </w:rPr>
              <w:t>管理费率（年费率）</w:t>
            </w:r>
          </w:p>
        </w:tc>
        <w:tc>
          <w:tcPr>
            <w:tcW w:w="3146" w:type="pct"/>
            <w:gridSpan w:val="3"/>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sz w:val="24"/>
              </w:rPr>
              <w:t>0.</w:t>
            </w:r>
            <w:r>
              <w:rPr>
                <w:rFonts w:ascii="宋体" w:hAnsi="宋体" w:hint="eastAsia"/>
                <w:sz w:val="24"/>
              </w:rPr>
              <w:t>15</w:t>
            </w:r>
            <w:r>
              <w:rPr>
                <w:rFonts w:ascii="宋体" w:hAnsi="宋体"/>
                <w:sz w:val="24"/>
              </w:rPr>
              <w:t>%</w:t>
            </w:r>
          </w:p>
        </w:tc>
      </w:tr>
      <w:tr w:rsidR="002F6968">
        <w:trPr>
          <w:jc w:val="center"/>
        </w:trPr>
        <w:tc>
          <w:tcPr>
            <w:tcW w:w="1853"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sz w:val="24"/>
              </w:rPr>
              <w:lastRenderedPageBreak/>
              <w:t>托管费率（年费率）</w:t>
            </w:r>
          </w:p>
        </w:tc>
        <w:tc>
          <w:tcPr>
            <w:tcW w:w="3146" w:type="pct"/>
            <w:gridSpan w:val="3"/>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sz w:val="24"/>
              </w:rPr>
              <w:t>0.</w:t>
            </w:r>
            <w:r>
              <w:rPr>
                <w:rFonts w:ascii="宋体" w:hAnsi="宋体" w:hint="eastAsia"/>
                <w:sz w:val="24"/>
              </w:rPr>
              <w:t>05</w:t>
            </w:r>
            <w:r>
              <w:rPr>
                <w:rFonts w:ascii="宋体" w:hAnsi="宋体"/>
                <w:sz w:val="24"/>
              </w:rPr>
              <w:t>%</w:t>
            </w:r>
          </w:p>
        </w:tc>
      </w:tr>
      <w:tr w:rsidR="002F6968">
        <w:trPr>
          <w:jc w:val="center"/>
        </w:trPr>
        <w:tc>
          <w:tcPr>
            <w:tcW w:w="1853"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sz w:val="24"/>
              </w:rPr>
              <w:t>销售服务费率（年费率）</w:t>
            </w:r>
          </w:p>
        </w:tc>
        <w:tc>
          <w:tcPr>
            <w:tcW w:w="1097" w:type="pct"/>
            <w:vAlign w:val="center"/>
          </w:tcPr>
          <w:p w:rsidR="002F6968" w:rsidRDefault="007A449A">
            <w:pPr>
              <w:shd w:val="clear" w:color="auto" w:fill="FFFFFF"/>
              <w:adjustRightInd w:val="0"/>
              <w:snapToGrid w:val="0"/>
              <w:spacing w:line="360" w:lineRule="auto"/>
              <w:jc w:val="center"/>
              <w:rPr>
                <w:rFonts w:ascii="宋体" w:hAnsi="宋体"/>
                <w:sz w:val="24"/>
                <w:highlight w:val="yellow"/>
              </w:rPr>
            </w:pPr>
            <w:r>
              <w:rPr>
                <w:rFonts w:ascii="宋体" w:hAnsi="宋体"/>
                <w:sz w:val="24"/>
              </w:rPr>
              <w:t>0.25%</w:t>
            </w:r>
          </w:p>
        </w:tc>
        <w:tc>
          <w:tcPr>
            <w:tcW w:w="1024" w:type="pct"/>
            <w:vAlign w:val="center"/>
          </w:tcPr>
          <w:p w:rsidR="002F6968" w:rsidRDefault="007A449A">
            <w:pPr>
              <w:shd w:val="clear" w:color="auto" w:fill="FFFFFF"/>
              <w:adjustRightInd w:val="0"/>
              <w:snapToGrid w:val="0"/>
              <w:spacing w:line="360" w:lineRule="auto"/>
              <w:jc w:val="center"/>
              <w:rPr>
                <w:rFonts w:ascii="宋体" w:hAnsi="宋体"/>
                <w:sz w:val="24"/>
                <w:highlight w:val="yellow"/>
              </w:rPr>
            </w:pPr>
            <w:r>
              <w:rPr>
                <w:rFonts w:ascii="宋体" w:hAnsi="宋体"/>
                <w:sz w:val="24"/>
              </w:rPr>
              <w:t>0.</w:t>
            </w:r>
            <w:r>
              <w:rPr>
                <w:rFonts w:ascii="宋体" w:hAnsi="宋体" w:hint="eastAsia"/>
                <w:sz w:val="24"/>
              </w:rPr>
              <w:t>03</w:t>
            </w:r>
            <w:r>
              <w:rPr>
                <w:rFonts w:ascii="宋体" w:hAnsi="宋体"/>
                <w:sz w:val="24"/>
              </w:rPr>
              <w:t>%</w:t>
            </w:r>
          </w:p>
        </w:tc>
        <w:tc>
          <w:tcPr>
            <w:tcW w:w="1025" w:type="pct"/>
            <w:vAlign w:val="center"/>
          </w:tcPr>
          <w:p w:rsidR="002F6968" w:rsidRDefault="007A449A">
            <w:pPr>
              <w:shd w:val="clear" w:color="auto" w:fill="FFFFFF"/>
              <w:adjustRightInd w:val="0"/>
              <w:snapToGrid w:val="0"/>
              <w:spacing w:line="360" w:lineRule="auto"/>
              <w:jc w:val="center"/>
              <w:rPr>
                <w:rFonts w:ascii="宋体" w:hAnsi="宋体"/>
                <w:sz w:val="24"/>
              </w:rPr>
            </w:pPr>
            <w:r>
              <w:rPr>
                <w:rFonts w:ascii="宋体" w:hAnsi="宋体" w:hint="eastAsia"/>
                <w:sz w:val="24"/>
              </w:rPr>
              <w:t>0.15%</w:t>
            </w:r>
          </w:p>
        </w:tc>
      </w:tr>
      <w:tr w:rsidR="002F6968">
        <w:trPr>
          <w:jc w:val="center"/>
        </w:trPr>
        <w:tc>
          <w:tcPr>
            <w:tcW w:w="1853" w:type="pct"/>
            <w:vAlign w:val="center"/>
          </w:tcPr>
          <w:p w:rsidR="002F6968" w:rsidRDefault="007A449A" w:rsidP="007A449A">
            <w:pPr>
              <w:shd w:val="clear" w:color="auto" w:fill="FFFFFF"/>
              <w:adjustRightInd w:val="0"/>
              <w:snapToGrid w:val="0"/>
              <w:spacing w:line="360" w:lineRule="auto"/>
              <w:ind w:firstLineChars="17" w:firstLine="41"/>
              <w:jc w:val="center"/>
              <w:rPr>
                <w:rFonts w:ascii="宋体" w:hAnsi="宋体"/>
                <w:sz w:val="24"/>
              </w:rPr>
            </w:pPr>
            <w:r>
              <w:rPr>
                <w:rFonts w:ascii="宋体" w:hAnsi="宋体" w:hint="eastAsia"/>
                <w:sz w:val="24"/>
              </w:rPr>
              <w:t>每</w:t>
            </w:r>
            <w:r>
              <w:rPr>
                <w:rFonts w:ascii="宋体" w:hAnsi="宋体"/>
                <w:sz w:val="24"/>
              </w:rPr>
              <w:t>次申购最低金额</w:t>
            </w:r>
          </w:p>
        </w:tc>
        <w:tc>
          <w:tcPr>
            <w:tcW w:w="3146" w:type="pct"/>
            <w:gridSpan w:val="3"/>
          </w:tcPr>
          <w:p w:rsidR="002F6968" w:rsidRDefault="007A449A">
            <w:pPr>
              <w:autoSpaceDE w:val="0"/>
              <w:autoSpaceDN w:val="0"/>
              <w:adjustRightInd w:val="0"/>
              <w:spacing w:line="360" w:lineRule="auto"/>
              <w:jc w:val="center"/>
              <w:rPr>
                <w:rFonts w:ascii="宋体" w:cs="宋体"/>
                <w:kern w:val="0"/>
                <w:sz w:val="24"/>
              </w:rPr>
            </w:pPr>
            <w:r>
              <w:rPr>
                <w:rFonts w:ascii="宋体" w:cs="宋体"/>
                <w:kern w:val="0"/>
                <w:sz w:val="24"/>
              </w:rPr>
              <w:t>0.01</w:t>
            </w:r>
            <w:r>
              <w:rPr>
                <w:rFonts w:ascii="宋体" w:cs="宋体" w:hint="eastAsia"/>
                <w:kern w:val="0"/>
                <w:sz w:val="24"/>
              </w:rPr>
              <w:t>元</w:t>
            </w:r>
          </w:p>
        </w:tc>
      </w:tr>
      <w:tr w:rsidR="002F6968">
        <w:trPr>
          <w:jc w:val="center"/>
        </w:trPr>
        <w:tc>
          <w:tcPr>
            <w:tcW w:w="1853" w:type="pct"/>
            <w:vAlign w:val="center"/>
          </w:tcPr>
          <w:p w:rsidR="002F6968" w:rsidRDefault="007A449A">
            <w:pPr>
              <w:shd w:val="clear" w:color="auto" w:fill="FFFFFF"/>
              <w:adjustRightInd w:val="0"/>
              <w:snapToGrid w:val="0"/>
              <w:spacing w:line="360" w:lineRule="auto"/>
              <w:jc w:val="center"/>
              <w:rPr>
                <w:rFonts w:ascii="宋体" w:hAnsi="宋体"/>
                <w:sz w:val="24"/>
                <w:highlight w:val="yellow"/>
              </w:rPr>
            </w:pPr>
            <w:r>
              <w:rPr>
                <w:rFonts w:ascii="宋体" w:hAnsi="宋体" w:hint="eastAsia"/>
                <w:sz w:val="24"/>
              </w:rPr>
              <w:t>每</w:t>
            </w:r>
            <w:r>
              <w:rPr>
                <w:rFonts w:ascii="宋体" w:hAnsi="宋体"/>
                <w:sz w:val="24"/>
              </w:rPr>
              <w:t>次</w:t>
            </w:r>
            <w:r>
              <w:rPr>
                <w:rFonts w:ascii="宋体" w:hAnsi="宋体" w:hint="eastAsia"/>
                <w:sz w:val="24"/>
              </w:rPr>
              <w:t>赎回</w:t>
            </w:r>
            <w:r>
              <w:rPr>
                <w:rFonts w:ascii="宋体" w:hAnsi="宋体"/>
                <w:sz w:val="24"/>
              </w:rPr>
              <w:t>最低</w:t>
            </w:r>
            <w:r>
              <w:rPr>
                <w:rFonts w:ascii="宋体" w:hAnsi="宋体" w:hint="eastAsia"/>
                <w:sz w:val="24"/>
              </w:rPr>
              <w:t>份额</w:t>
            </w:r>
          </w:p>
        </w:tc>
        <w:tc>
          <w:tcPr>
            <w:tcW w:w="3146" w:type="pct"/>
            <w:gridSpan w:val="3"/>
          </w:tcPr>
          <w:p w:rsidR="002F6968" w:rsidRDefault="007A449A">
            <w:pPr>
              <w:autoSpaceDE w:val="0"/>
              <w:autoSpaceDN w:val="0"/>
              <w:adjustRightInd w:val="0"/>
              <w:spacing w:line="360" w:lineRule="auto"/>
              <w:jc w:val="center"/>
              <w:rPr>
                <w:rFonts w:ascii="宋体" w:cs="宋体"/>
                <w:kern w:val="0"/>
                <w:sz w:val="24"/>
              </w:rPr>
            </w:pPr>
            <w:r>
              <w:rPr>
                <w:rFonts w:ascii="宋体" w:cs="宋体"/>
                <w:kern w:val="0"/>
                <w:sz w:val="24"/>
              </w:rPr>
              <w:t>0.01</w:t>
            </w:r>
            <w:r>
              <w:rPr>
                <w:rFonts w:ascii="宋体" w:cs="宋体" w:hint="eastAsia"/>
                <w:kern w:val="0"/>
                <w:sz w:val="24"/>
              </w:rPr>
              <w:t>份</w:t>
            </w:r>
          </w:p>
        </w:tc>
      </w:tr>
      <w:tr w:rsidR="002F6968">
        <w:trPr>
          <w:jc w:val="center"/>
        </w:trPr>
        <w:tc>
          <w:tcPr>
            <w:tcW w:w="1853" w:type="pct"/>
            <w:shd w:val="clear" w:color="auto" w:fill="auto"/>
            <w:vAlign w:val="center"/>
          </w:tcPr>
          <w:p w:rsidR="002F6968" w:rsidRDefault="007A449A">
            <w:pPr>
              <w:shd w:val="clear" w:color="auto" w:fill="FFFFFF"/>
              <w:adjustRightInd w:val="0"/>
              <w:snapToGrid w:val="0"/>
              <w:spacing w:line="360" w:lineRule="auto"/>
              <w:jc w:val="center"/>
              <w:rPr>
                <w:rFonts w:ascii="宋体" w:hAnsi="宋体"/>
                <w:sz w:val="24"/>
                <w:highlight w:val="yellow"/>
              </w:rPr>
            </w:pPr>
            <w:r>
              <w:rPr>
                <w:rFonts w:ascii="宋体" w:hAnsi="宋体"/>
                <w:sz w:val="24"/>
              </w:rPr>
              <w:t>账户最低基金份额余额</w:t>
            </w:r>
          </w:p>
        </w:tc>
        <w:tc>
          <w:tcPr>
            <w:tcW w:w="3146" w:type="pct"/>
            <w:gridSpan w:val="3"/>
            <w:shd w:val="clear" w:color="auto" w:fill="auto"/>
          </w:tcPr>
          <w:p w:rsidR="002F6968" w:rsidRDefault="007A449A">
            <w:pPr>
              <w:autoSpaceDE w:val="0"/>
              <w:autoSpaceDN w:val="0"/>
              <w:adjustRightInd w:val="0"/>
              <w:spacing w:line="360" w:lineRule="auto"/>
              <w:jc w:val="center"/>
              <w:rPr>
                <w:rFonts w:ascii="宋体" w:cs="宋体"/>
                <w:kern w:val="0"/>
                <w:sz w:val="24"/>
              </w:rPr>
            </w:pPr>
            <w:r>
              <w:rPr>
                <w:rFonts w:ascii="宋体" w:cs="宋体" w:hint="eastAsia"/>
                <w:kern w:val="0"/>
                <w:sz w:val="24"/>
              </w:rPr>
              <w:t>0.01</w:t>
            </w:r>
            <w:r>
              <w:rPr>
                <w:rFonts w:ascii="宋体" w:cs="宋体" w:hint="eastAsia"/>
                <w:kern w:val="0"/>
                <w:sz w:val="24"/>
              </w:rPr>
              <w:t>份</w:t>
            </w:r>
          </w:p>
        </w:tc>
      </w:tr>
    </w:tbl>
    <w:p w:rsidR="002F6968" w:rsidRDefault="007A449A">
      <w:pPr>
        <w:shd w:val="clear" w:color="auto" w:fill="FFFFFF"/>
        <w:adjustRightInd w:val="0"/>
        <w:snapToGrid w:val="0"/>
        <w:spacing w:line="360" w:lineRule="auto"/>
        <w:ind w:firstLineChars="200" w:firstLine="480"/>
        <w:jc w:val="left"/>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除法律法规另有规定或基金合同另有约定外，本基金不收取申购费用与赎回费用。</w:t>
      </w:r>
    </w:p>
    <w:p w:rsidR="002F6968" w:rsidRDefault="007A449A">
      <w:pPr>
        <w:shd w:val="clear" w:color="auto" w:fill="FFFFFF"/>
        <w:adjustRightInd w:val="0"/>
        <w:snapToGrid w:val="0"/>
        <w:spacing w:line="360" w:lineRule="auto"/>
        <w:ind w:firstLineChars="400" w:firstLine="960"/>
        <w:jc w:val="left"/>
        <w:rPr>
          <w:rFonts w:ascii="宋体" w:hAnsi="宋体"/>
          <w:sz w:val="24"/>
        </w:rPr>
      </w:pPr>
      <w:r>
        <w:rPr>
          <w:rFonts w:ascii="宋体" w:hAnsi="宋体" w:hint="eastAsia"/>
          <w:sz w:val="24"/>
        </w:rPr>
        <w:t>(2)</w:t>
      </w:r>
      <w:r>
        <w:rPr>
          <w:rFonts w:ascii="宋体" w:hAnsi="宋体" w:hint="eastAsia"/>
          <w:sz w:val="24"/>
        </w:rPr>
        <w:t>各代销机构对</w:t>
      </w:r>
      <w:r>
        <w:rPr>
          <w:rFonts w:ascii="宋体" w:hAnsi="宋体" w:hint="eastAsia"/>
          <w:sz w:val="24"/>
        </w:rPr>
        <w:t>上述</w:t>
      </w:r>
      <w:r>
        <w:rPr>
          <w:rFonts w:ascii="宋体" w:hAnsi="宋体" w:hint="eastAsia"/>
          <w:sz w:val="24"/>
        </w:rPr>
        <w:t>申购最低金额有其他规定的，以各代销机构的业务规定为准。</w:t>
      </w:r>
    </w:p>
    <w:p w:rsidR="002F6968" w:rsidRDefault="007A449A">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其他</w:t>
      </w:r>
    </w:p>
    <w:p w:rsidR="002F6968" w:rsidRDefault="007A449A">
      <w:pPr>
        <w:spacing w:line="360" w:lineRule="auto"/>
        <w:ind w:firstLineChars="200" w:firstLine="480"/>
        <w:rPr>
          <w:rFonts w:ascii="宋体" w:hAnsi="宋体"/>
          <w:sz w:val="24"/>
        </w:rPr>
      </w:pPr>
      <w:r>
        <w:rPr>
          <w:rFonts w:ascii="宋体" w:hAnsi="宋体" w:hint="eastAsia"/>
          <w:sz w:val="24"/>
        </w:rPr>
        <w:t>本基金新增</w:t>
      </w:r>
      <w:r>
        <w:rPr>
          <w:rFonts w:ascii="宋体" w:hAnsi="宋体" w:hint="eastAsia"/>
          <w:sz w:val="24"/>
        </w:rPr>
        <w:t>C</w:t>
      </w:r>
      <w:r>
        <w:rPr>
          <w:rFonts w:ascii="宋体" w:hAnsi="宋体" w:hint="eastAsia"/>
          <w:sz w:val="24"/>
        </w:rPr>
        <w:t>类基金份额将在博时基金管理有限公司</w:t>
      </w:r>
      <w:r>
        <w:rPr>
          <w:rFonts w:ascii="宋体" w:hAnsi="宋体" w:hint="eastAsia"/>
          <w:sz w:val="24"/>
        </w:rPr>
        <w:t>直销中心进行销售</w:t>
      </w:r>
      <w:r>
        <w:rPr>
          <w:rFonts w:ascii="宋体" w:hAnsi="宋体" w:hint="eastAsia"/>
          <w:sz w:val="24"/>
        </w:rPr>
        <w:t>，本公司有权根据具体情况增加或者调整销售机构，敬请关注基金管理人网站。</w:t>
      </w:r>
    </w:p>
    <w:p w:rsidR="002F6968" w:rsidRDefault="007A449A">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本基金</w:t>
      </w:r>
      <w:r>
        <w:rPr>
          <w:rFonts w:ascii="宋体" w:hAnsi="宋体" w:hint="eastAsia"/>
          <w:sz w:val="24"/>
        </w:rPr>
        <w:t>C</w:t>
      </w:r>
      <w:r>
        <w:rPr>
          <w:rFonts w:ascii="宋体" w:hAnsi="宋体" w:hint="eastAsia"/>
          <w:sz w:val="24"/>
        </w:rPr>
        <w:t>类基金份额自本公告生效之日起开通申购、赎回及定期定额投资业务；</w:t>
      </w:r>
    </w:p>
    <w:p w:rsidR="002F6968" w:rsidRDefault="007A449A">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本基金</w:t>
      </w:r>
      <w:r>
        <w:rPr>
          <w:rFonts w:ascii="宋体" w:hAnsi="宋体" w:hint="eastAsia"/>
          <w:sz w:val="24"/>
        </w:rPr>
        <w:t>C</w:t>
      </w:r>
      <w:r>
        <w:rPr>
          <w:rFonts w:ascii="宋体" w:hAnsi="宋体" w:hint="eastAsia"/>
          <w:sz w:val="24"/>
        </w:rPr>
        <w:t>类基金份额自本公告生效之日起开通转换、定期定额投资业务；</w:t>
      </w:r>
    </w:p>
    <w:p w:rsidR="002F6968" w:rsidRDefault="007A449A">
      <w:pPr>
        <w:adjustRightInd w:val="0"/>
        <w:spacing w:line="360" w:lineRule="auto"/>
        <w:ind w:firstLineChars="200" w:firstLine="480"/>
        <w:rPr>
          <w:rFonts w:ascii="Arial" w:hAnsi="Arial" w:cs="Arial"/>
          <w:sz w:val="24"/>
        </w:rPr>
      </w:pPr>
      <w:r>
        <w:rPr>
          <w:rFonts w:ascii="Arial" w:hAnsi="Arial" w:cs="Arial" w:hint="eastAsia"/>
          <w:sz w:val="24"/>
        </w:rPr>
        <w:t>基金管理人有权根据实际情况对上述业务进行调整并按照《公开募集证券投资基金信息披露管理办法》进行披露。</w:t>
      </w:r>
    </w:p>
    <w:p w:rsidR="002F6968" w:rsidRDefault="007A449A" w:rsidP="007A449A">
      <w:pPr>
        <w:numPr>
          <w:ilvl w:val="255"/>
          <w:numId w:val="0"/>
        </w:numPr>
        <w:snapToGrid w:val="0"/>
        <w:spacing w:beforeLines="50" w:afterLines="50" w:line="360" w:lineRule="auto"/>
        <w:rPr>
          <w:rFonts w:ascii="Calibri" w:hAnsi="Calibri"/>
          <w:b/>
          <w:color w:val="000000"/>
          <w:sz w:val="24"/>
        </w:rPr>
      </w:pPr>
      <w:r>
        <w:rPr>
          <w:rFonts w:ascii="Calibri" w:hAnsi="Calibri" w:hint="eastAsia"/>
          <w:b/>
          <w:color w:val="000000"/>
          <w:sz w:val="24"/>
        </w:rPr>
        <w:t>二、基金合同及托管协议的修订</w:t>
      </w:r>
    </w:p>
    <w:p w:rsidR="002F6968" w:rsidRDefault="007A449A">
      <w:pPr>
        <w:numPr>
          <w:ilvl w:val="255"/>
          <w:numId w:val="0"/>
        </w:numPr>
        <w:spacing w:line="360" w:lineRule="auto"/>
        <w:ind w:firstLineChars="200" w:firstLine="480"/>
        <w:rPr>
          <w:rFonts w:ascii="Arial" w:hAnsi="Arial" w:cs="Arial"/>
          <w:sz w:val="24"/>
        </w:rPr>
      </w:pPr>
      <w:r>
        <w:rPr>
          <w:rFonts w:ascii="宋体" w:hAnsi="宋体" w:hint="eastAsia"/>
          <w:sz w:val="24"/>
        </w:rPr>
        <w:t>本次增加</w:t>
      </w:r>
      <w:r>
        <w:rPr>
          <w:rFonts w:ascii="宋体" w:hAnsi="宋体" w:hint="eastAsia"/>
          <w:sz w:val="24"/>
        </w:rPr>
        <w:t>C</w:t>
      </w:r>
      <w:r>
        <w:rPr>
          <w:rFonts w:ascii="宋体" w:hAnsi="宋体" w:hint="eastAsia"/>
          <w:sz w:val="24"/>
        </w:rPr>
        <w:t>类基金份额的修改不损害基金份额持有人的实质利益，该修改无须召开基金份额持有人大会，基金合同和托管协议的具体修订内容详见附件。</w:t>
      </w:r>
    </w:p>
    <w:p w:rsidR="002F6968" w:rsidRDefault="007A449A" w:rsidP="007A449A">
      <w:pPr>
        <w:numPr>
          <w:ilvl w:val="255"/>
          <w:numId w:val="0"/>
        </w:numPr>
        <w:snapToGrid w:val="0"/>
        <w:spacing w:beforeLines="50" w:afterLines="50" w:line="360" w:lineRule="auto"/>
        <w:rPr>
          <w:rFonts w:ascii="Calibri" w:hAnsi="Calibri"/>
          <w:b/>
          <w:color w:val="000000"/>
          <w:sz w:val="24"/>
        </w:rPr>
      </w:pPr>
      <w:r>
        <w:rPr>
          <w:rFonts w:ascii="Calibri" w:hAnsi="Calibri" w:hint="eastAsia"/>
          <w:b/>
          <w:color w:val="000000"/>
          <w:sz w:val="24"/>
        </w:rPr>
        <w:t>三、重要提示</w:t>
      </w:r>
    </w:p>
    <w:p w:rsidR="002F6968" w:rsidRDefault="007A449A">
      <w:pPr>
        <w:numPr>
          <w:ilvl w:val="255"/>
          <w:numId w:val="0"/>
        </w:numPr>
        <w:spacing w:line="360" w:lineRule="auto"/>
        <w:ind w:firstLineChars="200" w:firstLine="480"/>
        <w:rPr>
          <w:rFonts w:ascii="宋体" w:hAnsi="宋体" w:cs="宋体"/>
          <w:sz w:val="24"/>
        </w:rPr>
      </w:pPr>
      <w:r>
        <w:rPr>
          <w:rFonts w:ascii="宋体" w:hAnsi="宋体" w:hint="eastAsia"/>
          <w:sz w:val="24"/>
        </w:rPr>
        <w:t>1</w:t>
      </w:r>
      <w:r>
        <w:rPr>
          <w:rFonts w:ascii="宋体" w:hAnsi="宋体" w:hint="eastAsia"/>
          <w:sz w:val="24"/>
        </w:rPr>
        <w:t>、基金管理人已履行了</w:t>
      </w:r>
      <w:r>
        <w:rPr>
          <w:rFonts w:ascii="宋体" w:hAnsi="宋体" w:cs="宋体" w:hint="eastAsia"/>
          <w:sz w:val="24"/>
        </w:rPr>
        <w:t>规定程序，符合相关法律法规的规定及基金合同的约定。修改后的基金合同与本公告同日登载于基金管理人网站（</w:t>
      </w:r>
      <w:r>
        <w:rPr>
          <w:rFonts w:ascii="宋体" w:hAnsi="宋体" w:cs="宋体" w:hint="eastAsia"/>
          <w:sz w:val="24"/>
        </w:rPr>
        <w:t>www.bosera.com</w:t>
      </w:r>
      <w:r>
        <w:rPr>
          <w:rFonts w:ascii="宋体" w:hAnsi="宋体" w:cs="宋体" w:hint="eastAsia"/>
          <w:sz w:val="24"/>
        </w:rPr>
        <w:t>）及中国证监会基金电子披露网站（</w:t>
      </w:r>
      <w:r>
        <w:rPr>
          <w:rFonts w:ascii="宋体" w:hAnsi="宋体" w:cs="宋体" w:hint="eastAsia"/>
          <w:sz w:val="24"/>
        </w:rPr>
        <w:t>http://eid.csrc.gov.cn/fund</w:t>
      </w:r>
      <w:r>
        <w:rPr>
          <w:rFonts w:ascii="宋体" w:hAnsi="宋体" w:cs="宋体" w:hint="eastAsia"/>
          <w:sz w:val="24"/>
        </w:rPr>
        <w:t>），并于</w:t>
      </w:r>
      <w:r>
        <w:rPr>
          <w:rFonts w:ascii="宋体" w:hAnsi="宋体" w:cs="宋体" w:hint="eastAsia"/>
          <w:sz w:val="24"/>
          <w:szCs w:val="20"/>
        </w:rPr>
        <w:t>2025</w:t>
      </w:r>
      <w:r>
        <w:rPr>
          <w:rFonts w:ascii="宋体" w:hAnsi="宋体" w:cs="宋体" w:hint="eastAsia"/>
          <w:sz w:val="24"/>
          <w:szCs w:val="20"/>
        </w:rPr>
        <w:t>年</w:t>
      </w:r>
      <w:r>
        <w:rPr>
          <w:rFonts w:ascii="宋体" w:hAnsi="宋体" w:cs="宋体" w:hint="eastAsia"/>
          <w:sz w:val="24"/>
          <w:szCs w:val="20"/>
        </w:rPr>
        <w:t>12</w:t>
      </w:r>
      <w:r>
        <w:rPr>
          <w:rFonts w:ascii="宋体" w:hAnsi="宋体" w:cs="宋体" w:hint="eastAsia"/>
          <w:sz w:val="24"/>
          <w:szCs w:val="20"/>
        </w:rPr>
        <w:t>月</w:t>
      </w:r>
      <w:r>
        <w:rPr>
          <w:rFonts w:ascii="宋体" w:hAnsi="宋体" w:cs="宋体" w:hint="eastAsia"/>
          <w:sz w:val="24"/>
          <w:szCs w:val="20"/>
        </w:rPr>
        <w:t>10</w:t>
      </w:r>
      <w:r>
        <w:rPr>
          <w:rFonts w:ascii="宋体" w:hAnsi="宋体" w:cs="宋体" w:hint="eastAsia"/>
          <w:sz w:val="24"/>
          <w:szCs w:val="20"/>
        </w:rPr>
        <w:t>日</w:t>
      </w:r>
      <w:r>
        <w:rPr>
          <w:rFonts w:ascii="宋体" w:hAnsi="宋体" w:cs="宋体" w:hint="eastAsia"/>
          <w:sz w:val="24"/>
        </w:rPr>
        <w:t>生效。</w:t>
      </w:r>
    </w:p>
    <w:p w:rsidR="002F6968" w:rsidRDefault="007A449A">
      <w:pPr>
        <w:numPr>
          <w:ilvl w:val="255"/>
          <w:numId w:val="0"/>
        </w:num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、本基金</w:t>
      </w:r>
      <w:r>
        <w:rPr>
          <w:rFonts w:ascii="宋体" w:hAnsi="宋体" w:cs="宋体" w:hint="eastAsia"/>
          <w:sz w:val="24"/>
        </w:rPr>
        <w:t>C</w:t>
      </w:r>
      <w:r>
        <w:rPr>
          <w:rFonts w:ascii="宋体" w:hAnsi="宋体" w:cs="宋体" w:hint="eastAsia"/>
          <w:sz w:val="24"/>
        </w:rPr>
        <w:t>类基金份额于</w:t>
      </w:r>
      <w:r>
        <w:rPr>
          <w:rFonts w:ascii="宋体" w:hAnsi="宋体" w:cs="宋体" w:hint="eastAsia"/>
          <w:sz w:val="24"/>
        </w:rPr>
        <w:t>2025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10</w:t>
      </w:r>
      <w:r>
        <w:rPr>
          <w:rFonts w:ascii="宋体" w:hAnsi="宋体" w:cs="宋体" w:hint="eastAsia"/>
          <w:sz w:val="24"/>
        </w:rPr>
        <w:t>日生效。</w:t>
      </w:r>
      <w:r>
        <w:rPr>
          <w:rFonts w:ascii="宋体" w:hAnsi="宋体" w:cs="宋体" w:hint="eastAsia"/>
          <w:sz w:val="24"/>
        </w:rPr>
        <w:t>2025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10</w:t>
      </w:r>
      <w:r>
        <w:rPr>
          <w:rFonts w:ascii="宋体" w:hAnsi="宋体" w:cs="宋体" w:hint="eastAsia"/>
          <w:sz w:val="24"/>
        </w:rPr>
        <w:t>日</w:t>
      </w:r>
      <w:r>
        <w:rPr>
          <w:rFonts w:ascii="宋体" w:hAnsi="宋体" w:cs="宋体" w:hint="eastAsia"/>
          <w:sz w:val="24"/>
        </w:rPr>
        <w:t>起，</w:t>
      </w:r>
      <w:r>
        <w:rPr>
          <w:rFonts w:ascii="宋体" w:hAnsi="宋体" w:cs="宋体" w:hint="eastAsia"/>
          <w:sz w:val="24"/>
        </w:rPr>
        <w:t>投资人通过本公司直销</w:t>
      </w:r>
      <w:r>
        <w:rPr>
          <w:rFonts w:ascii="宋体" w:hAnsi="宋体" w:cs="宋体" w:hint="eastAsia"/>
          <w:sz w:val="24"/>
        </w:rPr>
        <w:t>渠道申购本基金单日每个基金账户的申购、转换转入、定期定额投资累计金额应不超过</w:t>
      </w:r>
      <w:r>
        <w:rPr>
          <w:rFonts w:ascii="宋体" w:hAnsi="宋体" w:cs="宋体" w:hint="eastAsia"/>
          <w:sz w:val="24"/>
        </w:rPr>
        <w:t>2000</w:t>
      </w:r>
      <w:r>
        <w:rPr>
          <w:rFonts w:ascii="宋体" w:hAnsi="宋体" w:cs="宋体" w:hint="eastAsia"/>
          <w:sz w:val="24"/>
        </w:rPr>
        <w:t>万元（本基金</w:t>
      </w:r>
      <w:r>
        <w:rPr>
          <w:rFonts w:ascii="宋体" w:hAnsi="宋体" w:cs="宋体" w:hint="eastAsia"/>
          <w:sz w:val="24"/>
        </w:rPr>
        <w:t>A</w:t>
      </w:r>
      <w:r>
        <w:rPr>
          <w:rFonts w:ascii="宋体" w:hAnsi="宋体" w:cs="宋体" w:hint="eastAsia"/>
          <w:sz w:val="24"/>
        </w:rPr>
        <w:t>、</w:t>
      </w:r>
      <w:r>
        <w:rPr>
          <w:rFonts w:ascii="宋体" w:hAnsi="宋体" w:cs="宋体" w:hint="eastAsia"/>
          <w:sz w:val="24"/>
        </w:rPr>
        <w:t>B</w:t>
      </w:r>
      <w:r>
        <w:rPr>
          <w:rFonts w:ascii="宋体" w:hAnsi="宋体" w:cs="宋体" w:hint="eastAsia"/>
          <w:sz w:val="24"/>
        </w:rPr>
        <w:t>、</w:t>
      </w:r>
      <w:r>
        <w:rPr>
          <w:rFonts w:ascii="宋体" w:hAnsi="宋体" w:cs="宋体" w:hint="eastAsia"/>
          <w:sz w:val="24"/>
        </w:rPr>
        <w:t>C</w:t>
      </w:r>
      <w:r>
        <w:rPr>
          <w:rFonts w:ascii="宋体" w:hAnsi="宋体" w:cs="宋体" w:hint="eastAsia"/>
          <w:sz w:val="24"/>
        </w:rPr>
        <w:t>三</w:t>
      </w:r>
      <w:r>
        <w:rPr>
          <w:rFonts w:ascii="宋体" w:hAnsi="宋体" w:cs="宋体" w:hint="eastAsia"/>
          <w:sz w:val="24"/>
        </w:rPr>
        <w:t>类基金份额申请金</w:t>
      </w:r>
      <w:r>
        <w:rPr>
          <w:rFonts w:ascii="宋体" w:hAnsi="宋体" w:cs="宋体" w:hint="eastAsia"/>
          <w:sz w:val="24"/>
        </w:rPr>
        <w:lastRenderedPageBreak/>
        <w:t>额予以合计）。如单日每个基金账户的申购、转换转入、定期定额投资累计金额超过以上情况，本基金管理人有权拒绝。如投资者于</w:t>
      </w:r>
      <w:r>
        <w:rPr>
          <w:rFonts w:ascii="宋体" w:hAnsi="宋体" w:cs="宋体" w:hint="eastAsia"/>
          <w:sz w:val="24"/>
        </w:rPr>
        <w:t>2025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9</w:t>
      </w:r>
      <w:r>
        <w:rPr>
          <w:rFonts w:ascii="宋体" w:hAnsi="宋体" w:cs="宋体" w:hint="eastAsia"/>
          <w:sz w:val="24"/>
        </w:rPr>
        <w:t>日</w:t>
      </w:r>
      <w:r>
        <w:rPr>
          <w:rFonts w:ascii="宋体" w:hAnsi="宋体" w:cs="宋体" w:hint="eastAsia"/>
          <w:sz w:val="24"/>
        </w:rPr>
        <w:t>15</w:t>
      </w:r>
      <w:r>
        <w:rPr>
          <w:rFonts w:ascii="宋体" w:hAnsi="宋体" w:cs="宋体" w:hint="eastAsia"/>
          <w:sz w:val="24"/>
        </w:rPr>
        <w:t>点之后申购、转换转入或定期定额投资上述基金，将适用上述限制安排，敬请投资者注意</w:t>
      </w:r>
      <w:r>
        <w:rPr>
          <w:rFonts w:ascii="宋体" w:hAnsi="宋体" w:cs="宋体" w:hint="eastAsia"/>
          <w:sz w:val="24"/>
        </w:rPr>
        <w:t>。</w:t>
      </w:r>
      <w:r>
        <w:rPr>
          <w:rFonts w:ascii="宋体" w:hAnsi="宋体" w:cs="宋体" w:hint="eastAsia"/>
          <w:sz w:val="24"/>
        </w:rPr>
        <w:t>在本基金暂停大额申购、转换转入、定期定额投资业务期间，其它业务正常办理。本基金恢复办理大额申购、转换转入、定期定额投资业务的时间将另行公告。</w:t>
      </w:r>
    </w:p>
    <w:p w:rsidR="002F6968" w:rsidRDefault="007A449A">
      <w:pPr>
        <w:numPr>
          <w:ilvl w:val="255"/>
          <w:numId w:val="0"/>
        </w:num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、招募说明书、基金产品资</w:t>
      </w:r>
      <w:r>
        <w:rPr>
          <w:rFonts w:ascii="宋体" w:hAnsi="宋体" w:hint="eastAsia"/>
          <w:sz w:val="24"/>
        </w:rPr>
        <w:t>料概要涉及前述内容的，将一并修改，并依照《公开募集证券投资基金信息披露管理办法》的有关规定在规定媒介上公告。</w:t>
      </w:r>
    </w:p>
    <w:p w:rsidR="002F6968" w:rsidRDefault="002F6968" w:rsidP="007A449A">
      <w:pPr>
        <w:numPr>
          <w:ilvl w:val="255"/>
          <w:numId w:val="0"/>
        </w:numPr>
        <w:snapToGrid w:val="0"/>
        <w:spacing w:beforeLines="50" w:afterLines="50" w:line="360" w:lineRule="auto"/>
        <w:rPr>
          <w:rFonts w:ascii="Calibri" w:hAnsi="Calibri"/>
          <w:b/>
          <w:color w:val="000000"/>
          <w:sz w:val="24"/>
        </w:rPr>
      </w:pPr>
    </w:p>
    <w:p w:rsidR="002F6968" w:rsidRDefault="007A449A" w:rsidP="007A449A">
      <w:pPr>
        <w:numPr>
          <w:ilvl w:val="255"/>
          <w:numId w:val="0"/>
        </w:numPr>
        <w:snapToGrid w:val="0"/>
        <w:spacing w:beforeLines="50" w:afterLines="50" w:line="360" w:lineRule="auto"/>
        <w:rPr>
          <w:rFonts w:ascii="Calibri" w:hAnsi="Calibri"/>
          <w:b/>
          <w:color w:val="000000"/>
          <w:sz w:val="24"/>
        </w:rPr>
      </w:pPr>
      <w:r>
        <w:rPr>
          <w:rFonts w:ascii="Calibri" w:hAnsi="Calibri" w:hint="eastAsia"/>
          <w:b/>
          <w:color w:val="000000"/>
          <w:sz w:val="24"/>
        </w:rPr>
        <w:t>四、其他事项</w:t>
      </w:r>
    </w:p>
    <w:p w:rsidR="002F6968" w:rsidRDefault="007A449A">
      <w:pPr>
        <w:numPr>
          <w:ilvl w:val="255"/>
          <w:numId w:val="0"/>
        </w:num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、投资者可通过以下途径咨询有关详情</w:t>
      </w:r>
    </w:p>
    <w:p w:rsidR="002F6968" w:rsidRDefault="007A449A">
      <w:pPr>
        <w:numPr>
          <w:ilvl w:val="255"/>
          <w:numId w:val="0"/>
        </w:num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）本公司客户服务电话：</w:t>
      </w:r>
      <w:r>
        <w:rPr>
          <w:rFonts w:ascii="宋体" w:hAnsi="宋体" w:hint="eastAsia"/>
          <w:sz w:val="24"/>
        </w:rPr>
        <w:t>95105568</w:t>
      </w:r>
      <w:r>
        <w:rPr>
          <w:rFonts w:ascii="宋体" w:hAnsi="宋体" w:hint="eastAsia"/>
          <w:sz w:val="24"/>
        </w:rPr>
        <w:t>（全国免长途话费）；</w:t>
      </w:r>
    </w:p>
    <w:p w:rsidR="002F6968" w:rsidRDefault="007A449A">
      <w:pPr>
        <w:numPr>
          <w:ilvl w:val="255"/>
          <w:numId w:val="0"/>
        </w:num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）本公司网址：</w:t>
      </w:r>
      <w:r>
        <w:rPr>
          <w:rFonts w:ascii="宋体" w:hAnsi="宋体" w:hint="eastAsia"/>
          <w:sz w:val="24"/>
        </w:rPr>
        <w:t>http://www.bosera.com</w:t>
      </w:r>
      <w:r>
        <w:rPr>
          <w:rFonts w:ascii="宋体" w:hAnsi="宋体" w:hint="eastAsia"/>
          <w:sz w:val="24"/>
        </w:rPr>
        <w:t>。</w:t>
      </w:r>
    </w:p>
    <w:p w:rsidR="002F6968" w:rsidRDefault="007A449A">
      <w:pPr>
        <w:numPr>
          <w:ilvl w:val="255"/>
          <w:numId w:val="0"/>
        </w:num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销售机构适当性意见的基础上，根据自身的风险承受能力、投资期限和投资目标，对基金投资作出独立决策，选择合适的基金产品。</w:t>
      </w:r>
      <w:r>
        <w:rPr>
          <w:rFonts w:ascii="宋体" w:hAnsi="宋体" w:hint="eastAsia"/>
          <w:sz w:val="24"/>
        </w:rPr>
        <w:t xml:space="preserve"> </w:t>
      </w:r>
    </w:p>
    <w:p w:rsidR="002F6968" w:rsidRDefault="002F6968">
      <w:pPr>
        <w:numPr>
          <w:ilvl w:val="255"/>
          <w:numId w:val="0"/>
        </w:numPr>
        <w:spacing w:line="360" w:lineRule="auto"/>
        <w:ind w:firstLineChars="200" w:firstLine="480"/>
        <w:rPr>
          <w:rFonts w:ascii="宋体" w:hAnsi="宋体"/>
          <w:sz w:val="24"/>
        </w:rPr>
      </w:pPr>
    </w:p>
    <w:p w:rsidR="002F6968" w:rsidRDefault="007A449A">
      <w:pPr>
        <w:numPr>
          <w:ilvl w:val="255"/>
          <w:numId w:val="0"/>
        </w:numPr>
        <w:spacing w:line="360" w:lineRule="auto"/>
        <w:ind w:firstLineChars="200" w:firstLine="480"/>
        <w:rPr>
          <w:rFonts w:ascii="宋体" w:hAnsi="宋体"/>
          <w:sz w:val="24"/>
        </w:rPr>
      </w:pPr>
      <w:r>
        <w:rPr>
          <w:rFonts w:ascii="宋体" w:hAnsi="宋体" w:hint="eastAsia"/>
          <w:sz w:val="24"/>
        </w:rPr>
        <w:t>特此公告。</w:t>
      </w:r>
    </w:p>
    <w:p w:rsidR="002F6968" w:rsidRDefault="002F6968">
      <w:pPr>
        <w:numPr>
          <w:ilvl w:val="255"/>
          <w:numId w:val="0"/>
        </w:numPr>
        <w:spacing w:line="360" w:lineRule="auto"/>
        <w:ind w:firstLineChars="200" w:firstLine="480"/>
        <w:rPr>
          <w:rFonts w:ascii="宋体" w:hAnsi="宋体"/>
          <w:sz w:val="24"/>
        </w:rPr>
      </w:pPr>
    </w:p>
    <w:p w:rsidR="002F6968" w:rsidRDefault="002F6968">
      <w:pPr>
        <w:numPr>
          <w:ilvl w:val="255"/>
          <w:numId w:val="0"/>
        </w:numPr>
        <w:spacing w:line="360" w:lineRule="auto"/>
        <w:ind w:firstLineChars="200" w:firstLine="480"/>
        <w:rPr>
          <w:rFonts w:ascii="宋体" w:hAnsi="宋体"/>
          <w:sz w:val="24"/>
        </w:rPr>
      </w:pPr>
    </w:p>
    <w:p w:rsidR="002F6968" w:rsidRDefault="002F6968">
      <w:pPr>
        <w:numPr>
          <w:ilvl w:val="255"/>
          <w:numId w:val="0"/>
        </w:numPr>
        <w:spacing w:line="360" w:lineRule="auto"/>
        <w:ind w:firstLineChars="200" w:firstLine="480"/>
        <w:rPr>
          <w:rFonts w:ascii="宋体" w:hAnsi="宋体"/>
          <w:sz w:val="24"/>
        </w:rPr>
      </w:pPr>
    </w:p>
    <w:p w:rsidR="002F6968" w:rsidRDefault="007A449A">
      <w:pPr>
        <w:numPr>
          <w:ilvl w:val="255"/>
          <w:numId w:val="0"/>
        </w:numPr>
        <w:spacing w:line="360" w:lineRule="auto"/>
        <w:ind w:firstLineChars="200" w:firstLine="480"/>
        <w:jc w:val="right"/>
        <w:rPr>
          <w:rFonts w:ascii="宋体" w:hAnsi="宋体"/>
          <w:sz w:val="24"/>
        </w:rPr>
      </w:pPr>
      <w:r>
        <w:rPr>
          <w:rFonts w:ascii="宋体" w:hAnsi="宋体" w:hint="eastAsia"/>
          <w:sz w:val="24"/>
        </w:rPr>
        <w:t>博时基金管理有限公司</w:t>
      </w:r>
    </w:p>
    <w:p w:rsidR="002F6968" w:rsidRDefault="007A449A">
      <w:pPr>
        <w:numPr>
          <w:ilvl w:val="255"/>
          <w:numId w:val="0"/>
        </w:numPr>
        <w:spacing w:line="360" w:lineRule="auto"/>
        <w:ind w:firstLineChars="200" w:firstLine="480"/>
        <w:jc w:val="right"/>
        <w:rPr>
          <w:rFonts w:ascii="宋体" w:hAnsi="宋体"/>
          <w:sz w:val="24"/>
        </w:rPr>
        <w:sectPr w:rsidR="002F6968">
          <w:headerReference w:type="default" r:id="rId9"/>
          <w:footerReference w:type="default" r:id="rId10"/>
          <w:pgSz w:w="11906" w:h="16838"/>
          <w:pgMar w:top="1440" w:right="1800" w:bottom="1440" w:left="1800" w:header="851" w:footer="992" w:gutter="0"/>
          <w:cols w:space="425"/>
          <w:docGrid w:type="lines" w:linePitch="312"/>
        </w:sectPr>
      </w:pP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9</w:t>
      </w:r>
      <w:r>
        <w:rPr>
          <w:rFonts w:ascii="宋体" w:hAnsi="宋体" w:hint="eastAsia"/>
          <w:sz w:val="24"/>
        </w:rPr>
        <w:t>日</w:t>
      </w:r>
    </w:p>
    <w:p w:rsidR="002F6968" w:rsidRDefault="007A449A">
      <w:pPr>
        <w:adjustRightInd w:val="0"/>
        <w:snapToGrid w:val="0"/>
        <w:spacing w:line="480" w:lineRule="auto"/>
        <w:rPr>
          <w:rFonts w:ascii="宋体" w:hAnsi="宋体"/>
          <w:b/>
          <w:sz w:val="28"/>
          <w:szCs w:val="28"/>
        </w:rPr>
      </w:pPr>
      <w:r>
        <w:rPr>
          <w:rFonts w:ascii="宋体" w:hAnsi="宋体" w:hint="eastAsia"/>
          <w:b/>
          <w:sz w:val="28"/>
          <w:szCs w:val="28"/>
        </w:rPr>
        <w:lastRenderedPageBreak/>
        <w:t>对《基金合同》与增加基金份额类别有关的内容进行修改</w:t>
      </w:r>
    </w:p>
    <w:tbl>
      <w:tblPr>
        <w:tblW w:w="5103" w:type="pct"/>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660"/>
        <w:gridCol w:w="4018"/>
        <w:gridCol w:w="4020"/>
      </w:tblGrid>
      <w:tr w:rsidR="002F6968">
        <w:tc>
          <w:tcPr>
            <w:tcW w:w="379" w:type="pct"/>
            <w:vAlign w:val="center"/>
          </w:tcPr>
          <w:p w:rsidR="002F6968" w:rsidRDefault="007A449A">
            <w:pPr>
              <w:jc w:val="center"/>
              <w:rPr>
                <w:rFonts w:asciiTheme="minorEastAsia" w:hAnsiTheme="minorEastAsia" w:cstheme="minorEastAsia"/>
                <w:b/>
                <w:sz w:val="22"/>
              </w:rPr>
            </w:pPr>
            <w:r>
              <w:rPr>
                <w:rFonts w:asciiTheme="minorEastAsia" w:hAnsiTheme="minorEastAsia" w:cstheme="minorEastAsia" w:hint="eastAsia"/>
                <w:b/>
                <w:sz w:val="22"/>
              </w:rPr>
              <w:t>章节</w:t>
            </w:r>
          </w:p>
        </w:tc>
        <w:tc>
          <w:tcPr>
            <w:tcW w:w="2309" w:type="pct"/>
            <w:vAlign w:val="center"/>
          </w:tcPr>
          <w:p w:rsidR="002F6968" w:rsidRDefault="007A449A">
            <w:pPr>
              <w:jc w:val="center"/>
              <w:rPr>
                <w:rFonts w:asciiTheme="minorEastAsia" w:hAnsiTheme="minorEastAsia" w:cstheme="minorEastAsia"/>
                <w:b/>
                <w:sz w:val="22"/>
              </w:rPr>
            </w:pPr>
            <w:r>
              <w:rPr>
                <w:rFonts w:asciiTheme="minorEastAsia" w:hAnsiTheme="minorEastAsia" w:cstheme="minorEastAsia" w:hint="eastAsia"/>
                <w:b/>
                <w:sz w:val="22"/>
              </w:rPr>
              <w:t>原基金合同内容</w:t>
            </w:r>
          </w:p>
        </w:tc>
        <w:tc>
          <w:tcPr>
            <w:tcW w:w="2310" w:type="pct"/>
            <w:vAlign w:val="center"/>
          </w:tcPr>
          <w:p w:rsidR="002F6968" w:rsidRDefault="007A449A">
            <w:pPr>
              <w:jc w:val="center"/>
              <w:rPr>
                <w:rFonts w:asciiTheme="minorEastAsia" w:hAnsiTheme="minorEastAsia" w:cstheme="minorEastAsia"/>
                <w:b/>
                <w:sz w:val="22"/>
              </w:rPr>
            </w:pPr>
            <w:r>
              <w:rPr>
                <w:rFonts w:asciiTheme="minorEastAsia" w:hAnsiTheme="minorEastAsia" w:cstheme="minorEastAsia" w:hint="eastAsia"/>
                <w:b/>
                <w:sz w:val="22"/>
              </w:rPr>
              <w:t>修订后基金合同内容</w:t>
            </w:r>
          </w:p>
        </w:tc>
      </w:tr>
      <w:tr w:rsidR="002F6968">
        <w:trPr>
          <w:trHeight w:val="936"/>
        </w:trPr>
        <w:tc>
          <w:tcPr>
            <w:tcW w:w="379" w:type="pct"/>
          </w:tcPr>
          <w:p w:rsidR="002F6968" w:rsidRDefault="007A449A">
            <w:pPr>
              <w:rPr>
                <w:rFonts w:asciiTheme="minorEastAsia" w:hAnsiTheme="minorEastAsia" w:cstheme="minorEastAsia"/>
                <w:b/>
                <w:sz w:val="22"/>
              </w:rPr>
            </w:pPr>
            <w:r>
              <w:rPr>
                <w:rFonts w:asciiTheme="minorEastAsia" w:hAnsiTheme="minorEastAsia" w:cstheme="minorEastAsia" w:hint="eastAsia"/>
                <w:b/>
                <w:sz w:val="22"/>
              </w:rPr>
              <w:t>第二部分</w:t>
            </w:r>
            <w:r>
              <w:rPr>
                <w:rFonts w:asciiTheme="minorEastAsia" w:hAnsiTheme="minorEastAsia" w:cstheme="minorEastAsia" w:hint="eastAsia"/>
                <w:b/>
                <w:sz w:val="22"/>
              </w:rPr>
              <w:t xml:space="preserve">  </w:t>
            </w:r>
            <w:r>
              <w:rPr>
                <w:rFonts w:asciiTheme="minorEastAsia" w:hAnsiTheme="minorEastAsia" w:cstheme="minorEastAsia" w:hint="eastAsia"/>
                <w:b/>
                <w:sz w:val="22"/>
              </w:rPr>
              <w:t>释义</w:t>
            </w:r>
          </w:p>
        </w:tc>
        <w:tc>
          <w:tcPr>
            <w:tcW w:w="2309" w:type="pct"/>
          </w:tcPr>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52</w:t>
            </w:r>
            <w:r>
              <w:rPr>
                <w:rFonts w:asciiTheme="minorEastAsia" w:hAnsiTheme="minorEastAsia" w:cstheme="minorEastAsia" w:hint="eastAsia"/>
                <w:bCs/>
                <w:sz w:val="22"/>
              </w:rPr>
              <w:t>、基金份额分类：本基金分设</w:t>
            </w:r>
            <w:r>
              <w:rPr>
                <w:rFonts w:asciiTheme="minorEastAsia" w:hAnsiTheme="minorEastAsia" w:cstheme="minorEastAsia" w:hint="eastAsia"/>
                <w:b/>
                <w:strike/>
                <w:sz w:val="22"/>
              </w:rPr>
              <w:t>两</w:t>
            </w:r>
            <w:r>
              <w:rPr>
                <w:rFonts w:asciiTheme="minorEastAsia" w:hAnsiTheme="minorEastAsia" w:cstheme="minorEastAsia" w:hint="eastAsia"/>
                <w:bCs/>
                <w:sz w:val="22"/>
              </w:rPr>
              <w:t>类基金份额，</w:t>
            </w:r>
            <w:r>
              <w:rPr>
                <w:rFonts w:asciiTheme="minorEastAsia" w:hAnsiTheme="minorEastAsia" w:cstheme="minorEastAsia" w:hint="eastAsia"/>
                <w:bCs/>
                <w:sz w:val="22"/>
              </w:rPr>
              <w:t>A</w:t>
            </w:r>
            <w:r>
              <w:rPr>
                <w:rFonts w:asciiTheme="minorEastAsia" w:hAnsiTheme="minorEastAsia" w:cstheme="minorEastAsia" w:hint="eastAsia"/>
                <w:bCs/>
                <w:sz w:val="22"/>
              </w:rPr>
              <w:t>类基金份额</w:t>
            </w:r>
            <w:r>
              <w:rPr>
                <w:rFonts w:asciiTheme="minorEastAsia" w:hAnsiTheme="minorEastAsia" w:cstheme="minorEastAsia" w:hint="eastAsia"/>
                <w:b/>
                <w:strike/>
                <w:sz w:val="22"/>
              </w:rPr>
              <w:t>和</w:t>
            </w:r>
            <w:r>
              <w:rPr>
                <w:rFonts w:asciiTheme="minorEastAsia" w:hAnsiTheme="minorEastAsia" w:cstheme="minorEastAsia" w:hint="eastAsia"/>
                <w:b/>
                <w:sz w:val="22"/>
              </w:rPr>
              <w:t>B</w:t>
            </w:r>
            <w:r>
              <w:rPr>
                <w:rFonts w:asciiTheme="minorEastAsia" w:hAnsiTheme="minorEastAsia" w:cstheme="minorEastAsia" w:hint="eastAsia"/>
                <w:bCs/>
                <w:sz w:val="22"/>
              </w:rPr>
              <w:t>类基金份额。</w:t>
            </w:r>
            <w:r>
              <w:rPr>
                <w:rFonts w:asciiTheme="minorEastAsia" w:hAnsiTheme="minorEastAsia" w:cstheme="minorEastAsia" w:hint="eastAsia"/>
                <w:b/>
                <w:strike/>
                <w:sz w:val="22"/>
              </w:rPr>
              <w:t>两</w:t>
            </w:r>
            <w:r>
              <w:rPr>
                <w:rFonts w:asciiTheme="minorEastAsia" w:hAnsiTheme="minorEastAsia" w:cstheme="minorEastAsia" w:hint="eastAsia"/>
                <w:b/>
                <w:sz w:val="22"/>
              </w:rPr>
              <w:t>类</w:t>
            </w:r>
            <w:r>
              <w:rPr>
                <w:rFonts w:asciiTheme="minorEastAsia" w:hAnsiTheme="minorEastAsia" w:cstheme="minorEastAsia" w:hint="eastAsia"/>
                <w:bCs/>
                <w:sz w:val="22"/>
              </w:rPr>
              <w:t>基金份额分设不同的基金代码，收取不同的销售服务费并分别公布各类基金份额的每万份基金净收益和七日年化收益率。</w:t>
            </w:r>
          </w:p>
          <w:p w:rsidR="002F6968" w:rsidRDefault="002F6968">
            <w:pPr>
              <w:rPr>
                <w:rFonts w:asciiTheme="minorEastAsia" w:hAnsiTheme="minorEastAsia" w:cstheme="minorEastAsia"/>
                <w:bCs/>
                <w:sz w:val="22"/>
              </w:rPr>
            </w:pPr>
          </w:p>
        </w:tc>
        <w:tc>
          <w:tcPr>
            <w:tcW w:w="2310" w:type="pct"/>
          </w:tcPr>
          <w:p w:rsidR="002F6968" w:rsidRDefault="007A449A">
            <w:pPr>
              <w:numPr>
                <w:ilvl w:val="0"/>
                <w:numId w:val="2"/>
              </w:numPr>
              <w:rPr>
                <w:rFonts w:asciiTheme="minorEastAsia" w:hAnsiTheme="minorEastAsia" w:cstheme="minorEastAsia"/>
                <w:bCs/>
                <w:sz w:val="22"/>
              </w:rPr>
            </w:pPr>
            <w:r>
              <w:rPr>
                <w:rFonts w:asciiTheme="minorEastAsia" w:hAnsiTheme="minorEastAsia" w:cstheme="minorEastAsia" w:hint="eastAsia"/>
                <w:bCs/>
                <w:sz w:val="22"/>
              </w:rPr>
              <w:t>基金份额分类：本基金分设</w:t>
            </w:r>
            <w:r>
              <w:rPr>
                <w:rFonts w:asciiTheme="minorEastAsia" w:hAnsiTheme="minorEastAsia" w:cstheme="minorEastAsia" w:hint="eastAsia"/>
                <w:b/>
                <w:sz w:val="22"/>
                <w:u w:val="single"/>
              </w:rPr>
              <w:t>三</w:t>
            </w:r>
            <w:r>
              <w:rPr>
                <w:rFonts w:asciiTheme="minorEastAsia" w:hAnsiTheme="minorEastAsia" w:cstheme="minorEastAsia" w:hint="eastAsia"/>
                <w:bCs/>
                <w:sz w:val="22"/>
              </w:rPr>
              <w:t>类基金份额，</w:t>
            </w:r>
            <w:r>
              <w:rPr>
                <w:rFonts w:asciiTheme="minorEastAsia" w:hAnsiTheme="minorEastAsia" w:cstheme="minorEastAsia" w:hint="eastAsia"/>
                <w:bCs/>
                <w:sz w:val="22"/>
              </w:rPr>
              <w:t>A</w:t>
            </w:r>
            <w:r>
              <w:rPr>
                <w:rFonts w:asciiTheme="minorEastAsia" w:hAnsiTheme="minorEastAsia" w:cstheme="minorEastAsia" w:hint="eastAsia"/>
                <w:bCs/>
                <w:sz w:val="22"/>
              </w:rPr>
              <w:t>类基金份额、</w:t>
            </w:r>
            <w:r>
              <w:rPr>
                <w:rFonts w:asciiTheme="minorEastAsia" w:hAnsiTheme="minorEastAsia" w:cstheme="minorEastAsia" w:hint="eastAsia"/>
                <w:bCs/>
                <w:sz w:val="22"/>
              </w:rPr>
              <w:t>B</w:t>
            </w:r>
            <w:r>
              <w:rPr>
                <w:rFonts w:asciiTheme="minorEastAsia" w:hAnsiTheme="minorEastAsia" w:cstheme="minorEastAsia" w:hint="eastAsia"/>
                <w:bCs/>
                <w:sz w:val="22"/>
              </w:rPr>
              <w:t>类基金份额</w:t>
            </w:r>
            <w:r>
              <w:rPr>
                <w:rFonts w:asciiTheme="minorEastAsia" w:hAnsiTheme="minorEastAsia" w:cstheme="minorEastAsia" w:hint="eastAsia"/>
                <w:b/>
                <w:sz w:val="22"/>
                <w:u w:val="single"/>
              </w:rPr>
              <w:t>和</w:t>
            </w:r>
            <w:r>
              <w:rPr>
                <w:rFonts w:asciiTheme="minorEastAsia" w:hAnsiTheme="minorEastAsia" w:cstheme="minorEastAsia" w:hint="eastAsia"/>
                <w:b/>
                <w:sz w:val="22"/>
                <w:u w:val="single"/>
              </w:rPr>
              <w:t>C</w:t>
            </w:r>
            <w:r>
              <w:rPr>
                <w:rFonts w:asciiTheme="minorEastAsia" w:hAnsiTheme="minorEastAsia" w:cstheme="minorEastAsia" w:hint="eastAsia"/>
                <w:b/>
                <w:sz w:val="22"/>
                <w:u w:val="single"/>
              </w:rPr>
              <w:t>类基金份额</w:t>
            </w:r>
            <w:r>
              <w:rPr>
                <w:rFonts w:asciiTheme="minorEastAsia" w:hAnsiTheme="minorEastAsia" w:cstheme="minorEastAsia" w:hint="eastAsia"/>
                <w:bCs/>
                <w:sz w:val="22"/>
              </w:rPr>
              <w:t>。</w:t>
            </w:r>
            <w:r>
              <w:rPr>
                <w:rFonts w:asciiTheme="minorEastAsia" w:hAnsiTheme="minorEastAsia" w:cstheme="minorEastAsia" w:hint="eastAsia"/>
                <w:b/>
                <w:sz w:val="22"/>
                <w:u w:val="single"/>
              </w:rPr>
              <w:t>三</w:t>
            </w:r>
            <w:r>
              <w:rPr>
                <w:rFonts w:asciiTheme="minorEastAsia" w:hAnsiTheme="minorEastAsia" w:cstheme="minorEastAsia" w:hint="eastAsia"/>
                <w:bCs/>
                <w:sz w:val="22"/>
              </w:rPr>
              <w:t>类基金份额分设不同的基金代码，收取不同的销售服务费并分别公布各类基金份额的每万份基金净收益和七日年化收益率。</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w:t>
            </w:r>
          </w:p>
          <w:p w:rsidR="002F6968" w:rsidRDefault="007A449A">
            <w:pPr>
              <w:rPr>
                <w:rFonts w:asciiTheme="minorEastAsia" w:hAnsiTheme="minorEastAsia" w:cstheme="minorEastAsia"/>
                <w:bCs/>
                <w:sz w:val="22"/>
              </w:rPr>
            </w:pPr>
            <w:r>
              <w:rPr>
                <w:rFonts w:asciiTheme="minorEastAsia" w:hAnsiTheme="minorEastAsia" w:cstheme="minorEastAsia" w:hint="eastAsia"/>
                <w:b/>
                <w:sz w:val="22"/>
                <w:u w:val="single"/>
              </w:rPr>
              <w:t>55</w:t>
            </w:r>
            <w:r>
              <w:rPr>
                <w:rFonts w:asciiTheme="minorEastAsia" w:hAnsiTheme="minorEastAsia" w:cstheme="minorEastAsia" w:hint="eastAsia"/>
                <w:b/>
                <w:sz w:val="22"/>
                <w:u w:val="single"/>
              </w:rPr>
              <w:t>、</w:t>
            </w:r>
            <w:r>
              <w:rPr>
                <w:rFonts w:asciiTheme="minorEastAsia" w:hAnsiTheme="minorEastAsia" w:cstheme="minorEastAsia" w:hint="eastAsia"/>
                <w:b/>
                <w:sz w:val="22"/>
                <w:u w:val="single"/>
              </w:rPr>
              <w:t>C</w:t>
            </w:r>
            <w:r>
              <w:rPr>
                <w:rFonts w:asciiTheme="minorEastAsia" w:hAnsiTheme="minorEastAsia" w:cstheme="minorEastAsia" w:hint="eastAsia"/>
                <w:b/>
                <w:sz w:val="22"/>
                <w:u w:val="single"/>
              </w:rPr>
              <w:t>类基金份额：指按照</w:t>
            </w:r>
            <w:r>
              <w:rPr>
                <w:rFonts w:asciiTheme="minorEastAsia" w:hAnsiTheme="minorEastAsia" w:cstheme="minorEastAsia" w:hint="eastAsia"/>
                <w:b/>
                <w:sz w:val="22"/>
                <w:u w:val="single"/>
              </w:rPr>
              <w:t>0.15%</w:t>
            </w:r>
            <w:r>
              <w:rPr>
                <w:rFonts w:asciiTheme="minorEastAsia" w:hAnsiTheme="minorEastAsia" w:cstheme="minorEastAsia" w:hint="eastAsia"/>
                <w:b/>
                <w:sz w:val="22"/>
                <w:u w:val="single"/>
              </w:rPr>
              <w:t>年费率计提销售服务费的基金份额类别。</w:t>
            </w:r>
          </w:p>
        </w:tc>
      </w:tr>
      <w:tr w:rsidR="002F6968">
        <w:trPr>
          <w:trHeight w:val="2883"/>
        </w:trPr>
        <w:tc>
          <w:tcPr>
            <w:tcW w:w="379" w:type="pct"/>
          </w:tcPr>
          <w:p w:rsidR="002F6968" w:rsidRDefault="007A449A">
            <w:pPr>
              <w:rPr>
                <w:rFonts w:asciiTheme="minorEastAsia" w:hAnsiTheme="minorEastAsia" w:cstheme="minorEastAsia"/>
                <w:b/>
                <w:sz w:val="22"/>
              </w:rPr>
            </w:pPr>
            <w:r>
              <w:rPr>
                <w:rFonts w:asciiTheme="minorEastAsia" w:hAnsiTheme="minorEastAsia" w:cstheme="minorEastAsia" w:hint="eastAsia"/>
                <w:b/>
                <w:sz w:val="22"/>
              </w:rPr>
              <w:t>第三部分</w:t>
            </w:r>
            <w:r>
              <w:rPr>
                <w:rFonts w:asciiTheme="minorEastAsia" w:hAnsiTheme="minorEastAsia" w:cstheme="minorEastAsia" w:hint="eastAsia"/>
                <w:b/>
                <w:sz w:val="22"/>
              </w:rPr>
              <w:t xml:space="preserve">  </w:t>
            </w:r>
            <w:r>
              <w:rPr>
                <w:rFonts w:asciiTheme="minorEastAsia" w:hAnsiTheme="minorEastAsia" w:cstheme="minorEastAsia" w:hint="eastAsia"/>
                <w:b/>
                <w:sz w:val="22"/>
              </w:rPr>
              <w:t>基金的基本情况</w:t>
            </w:r>
          </w:p>
        </w:tc>
        <w:tc>
          <w:tcPr>
            <w:tcW w:w="2309" w:type="pct"/>
          </w:tcPr>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九、基金份额类别设置</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1</w:t>
            </w:r>
            <w:r>
              <w:rPr>
                <w:rFonts w:asciiTheme="minorEastAsia" w:hAnsiTheme="minorEastAsia" w:cstheme="minorEastAsia" w:hint="eastAsia"/>
                <w:bCs/>
                <w:sz w:val="22"/>
              </w:rPr>
              <w:t>、基金份额分类</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本基金对投资者持有的基金份额按照不同的费率计提销售服务费用，因此形成不同的基金份额类别。本基金设</w:t>
            </w:r>
            <w:r>
              <w:rPr>
                <w:rFonts w:asciiTheme="minorEastAsia" w:hAnsiTheme="minorEastAsia" w:cstheme="minorEastAsia" w:hint="eastAsia"/>
                <w:bCs/>
                <w:sz w:val="22"/>
              </w:rPr>
              <w:t>A</w:t>
            </w:r>
            <w:r>
              <w:rPr>
                <w:rFonts w:asciiTheme="minorEastAsia" w:hAnsiTheme="minorEastAsia" w:cstheme="minorEastAsia" w:hint="eastAsia"/>
                <w:bCs/>
                <w:sz w:val="22"/>
              </w:rPr>
              <w:t>类基金份额、</w:t>
            </w:r>
            <w:r>
              <w:rPr>
                <w:rFonts w:asciiTheme="minorEastAsia" w:hAnsiTheme="minorEastAsia" w:cstheme="minorEastAsia" w:hint="eastAsia"/>
                <w:bCs/>
                <w:sz w:val="22"/>
              </w:rPr>
              <w:t>B</w:t>
            </w:r>
            <w:r>
              <w:rPr>
                <w:rFonts w:asciiTheme="minorEastAsia" w:hAnsiTheme="minorEastAsia" w:cstheme="minorEastAsia" w:hint="eastAsia"/>
                <w:bCs/>
                <w:sz w:val="22"/>
              </w:rPr>
              <w:t>类基金份额，</w:t>
            </w:r>
            <w:r>
              <w:rPr>
                <w:rFonts w:asciiTheme="minorEastAsia" w:hAnsiTheme="minorEastAsia" w:cstheme="minorEastAsia" w:hint="eastAsia"/>
                <w:b/>
                <w:strike/>
                <w:sz w:val="22"/>
              </w:rPr>
              <w:t>两</w:t>
            </w:r>
            <w:r>
              <w:rPr>
                <w:rFonts w:asciiTheme="minorEastAsia" w:hAnsiTheme="minorEastAsia" w:cstheme="minorEastAsia" w:hint="eastAsia"/>
                <w:b/>
                <w:sz w:val="22"/>
              </w:rPr>
              <w:t>类</w:t>
            </w:r>
            <w:r>
              <w:rPr>
                <w:rFonts w:asciiTheme="minorEastAsia" w:hAnsiTheme="minorEastAsia" w:cstheme="minorEastAsia" w:hint="eastAsia"/>
                <w:bCs/>
                <w:sz w:val="22"/>
              </w:rPr>
              <w:t>基金份额单独设置基金代码，并分别公布各类基金份额的每万份基金净收益和七日年化收益率。</w:t>
            </w:r>
          </w:p>
        </w:tc>
        <w:tc>
          <w:tcPr>
            <w:tcW w:w="2310" w:type="pct"/>
          </w:tcPr>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九、基金份额类别设置</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1</w:t>
            </w:r>
            <w:r>
              <w:rPr>
                <w:rFonts w:asciiTheme="minorEastAsia" w:hAnsiTheme="minorEastAsia" w:cstheme="minorEastAsia" w:hint="eastAsia"/>
                <w:bCs/>
                <w:sz w:val="22"/>
              </w:rPr>
              <w:t>、基金份额分类</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本基金对投资者持有的基金份额按照不同的费率计提销售服务费用，因此形成不同的基金份额类别。本基金设</w:t>
            </w:r>
            <w:r>
              <w:rPr>
                <w:rFonts w:asciiTheme="minorEastAsia" w:hAnsiTheme="minorEastAsia" w:cstheme="minorEastAsia" w:hint="eastAsia"/>
                <w:bCs/>
                <w:sz w:val="22"/>
              </w:rPr>
              <w:t>A</w:t>
            </w:r>
            <w:r>
              <w:rPr>
                <w:rFonts w:asciiTheme="minorEastAsia" w:hAnsiTheme="minorEastAsia" w:cstheme="minorEastAsia" w:hint="eastAsia"/>
                <w:bCs/>
                <w:sz w:val="22"/>
              </w:rPr>
              <w:t>类基金份额、</w:t>
            </w:r>
            <w:r>
              <w:rPr>
                <w:rFonts w:asciiTheme="minorEastAsia" w:hAnsiTheme="minorEastAsia" w:cstheme="minorEastAsia" w:hint="eastAsia"/>
                <w:bCs/>
                <w:sz w:val="22"/>
              </w:rPr>
              <w:t>B</w:t>
            </w:r>
            <w:r>
              <w:rPr>
                <w:rFonts w:asciiTheme="minorEastAsia" w:hAnsiTheme="minorEastAsia" w:cstheme="minorEastAsia" w:hint="eastAsia"/>
                <w:bCs/>
                <w:sz w:val="22"/>
              </w:rPr>
              <w:t>类基金份额</w:t>
            </w:r>
            <w:r>
              <w:rPr>
                <w:rFonts w:asciiTheme="minorEastAsia" w:hAnsiTheme="minorEastAsia" w:cstheme="minorEastAsia" w:hint="eastAsia"/>
                <w:b/>
                <w:sz w:val="22"/>
                <w:u w:val="single"/>
              </w:rPr>
              <w:t>和</w:t>
            </w:r>
            <w:r>
              <w:rPr>
                <w:rFonts w:asciiTheme="minorEastAsia" w:hAnsiTheme="minorEastAsia" w:cstheme="minorEastAsia" w:hint="eastAsia"/>
                <w:b/>
                <w:sz w:val="22"/>
                <w:u w:val="single"/>
              </w:rPr>
              <w:t>C</w:t>
            </w:r>
            <w:r>
              <w:rPr>
                <w:rFonts w:asciiTheme="minorEastAsia" w:hAnsiTheme="minorEastAsia" w:cstheme="minorEastAsia" w:hint="eastAsia"/>
                <w:b/>
                <w:sz w:val="22"/>
                <w:u w:val="single"/>
              </w:rPr>
              <w:t>类基金份额</w:t>
            </w:r>
            <w:r>
              <w:rPr>
                <w:rFonts w:asciiTheme="minorEastAsia" w:hAnsiTheme="minorEastAsia" w:cstheme="minorEastAsia" w:hint="eastAsia"/>
                <w:bCs/>
                <w:sz w:val="22"/>
              </w:rPr>
              <w:t>，</w:t>
            </w:r>
            <w:r>
              <w:rPr>
                <w:rFonts w:asciiTheme="minorEastAsia" w:hAnsiTheme="minorEastAsia" w:cstheme="minorEastAsia" w:hint="eastAsia"/>
                <w:b/>
                <w:sz w:val="22"/>
                <w:u w:val="single"/>
              </w:rPr>
              <w:t>三</w:t>
            </w:r>
            <w:r>
              <w:rPr>
                <w:rFonts w:asciiTheme="minorEastAsia" w:hAnsiTheme="minorEastAsia" w:cstheme="minorEastAsia" w:hint="eastAsia"/>
                <w:bCs/>
                <w:sz w:val="22"/>
              </w:rPr>
              <w:t>类基金份额单独设置基金代码，并分别公布各类基金份额的每万份基金净收益和七日年化收益率。</w:t>
            </w:r>
          </w:p>
        </w:tc>
      </w:tr>
      <w:tr w:rsidR="002F6968">
        <w:trPr>
          <w:trHeight w:val="512"/>
        </w:trPr>
        <w:tc>
          <w:tcPr>
            <w:tcW w:w="379" w:type="pct"/>
          </w:tcPr>
          <w:p w:rsidR="002F6968" w:rsidRDefault="007A449A">
            <w:pPr>
              <w:rPr>
                <w:rFonts w:asciiTheme="minorEastAsia" w:hAnsiTheme="minorEastAsia" w:cstheme="minorEastAsia"/>
                <w:b/>
                <w:sz w:val="22"/>
              </w:rPr>
            </w:pPr>
            <w:r>
              <w:rPr>
                <w:rFonts w:asciiTheme="minorEastAsia" w:hAnsiTheme="minorEastAsia" w:cstheme="minorEastAsia" w:hint="eastAsia"/>
                <w:b/>
                <w:sz w:val="22"/>
              </w:rPr>
              <w:t>第十五部分</w:t>
            </w:r>
            <w:r>
              <w:rPr>
                <w:rFonts w:asciiTheme="minorEastAsia" w:hAnsiTheme="minorEastAsia" w:cstheme="minorEastAsia" w:hint="eastAsia"/>
                <w:b/>
                <w:sz w:val="22"/>
              </w:rPr>
              <w:t xml:space="preserve">  </w:t>
            </w:r>
            <w:r>
              <w:rPr>
                <w:rFonts w:asciiTheme="minorEastAsia" w:hAnsiTheme="minorEastAsia" w:cstheme="minorEastAsia" w:hint="eastAsia"/>
                <w:b/>
                <w:sz w:val="22"/>
              </w:rPr>
              <w:t>基金费用与税收</w:t>
            </w:r>
          </w:p>
        </w:tc>
        <w:tc>
          <w:tcPr>
            <w:tcW w:w="2309" w:type="pct"/>
          </w:tcPr>
          <w:p w:rsidR="002F6968" w:rsidRDefault="007A449A">
            <w:pPr>
              <w:rPr>
                <w:rFonts w:asciiTheme="minorEastAsia" w:hAnsiTheme="minorEastAsia" w:cstheme="minorEastAsia"/>
                <w:bCs/>
                <w:sz w:val="22"/>
                <w:szCs w:val="20"/>
              </w:rPr>
            </w:pPr>
            <w:r>
              <w:rPr>
                <w:rFonts w:asciiTheme="minorEastAsia" w:hAnsiTheme="minorEastAsia" w:cstheme="minorEastAsia" w:hint="eastAsia"/>
                <w:bCs/>
                <w:sz w:val="22"/>
              </w:rPr>
              <w:t>二、基金费用计提方法、计提标准和支付方式</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3</w:t>
            </w:r>
            <w:r>
              <w:rPr>
                <w:rFonts w:asciiTheme="minorEastAsia" w:hAnsiTheme="minorEastAsia" w:cstheme="minorEastAsia" w:hint="eastAsia"/>
                <w:bCs/>
                <w:sz w:val="22"/>
              </w:rPr>
              <w:t>、基金销售服务费</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本基金</w:t>
            </w:r>
            <w:r>
              <w:rPr>
                <w:rFonts w:asciiTheme="minorEastAsia" w:hAnsiTheme="minorEastAsia" w:cstheme="minorEastAsia" w:hint="eastAsia"/>
                <w:bCs/>
                <w:sz w:val="22"/>
              </w:rPr>
              <w:t>A</w:t>
            </w:r>
            <w:r>
              <w:rPr>
                <w:rFonts w:asciiTheme="minorEastAsia" w:hAnsiTheme="minorEastAsia" w:cstheme="minorEastAsia" w:hint="eastAsia"/>
                <w:bCs/>
                <w:sz w:val="22"/>
              </w:rPr>
              <w:t>类基金份额的年销售服务费率为</w:t>
            </w:r>
            <w:r>
              <w:rPr>
                <w:rFonts w:asciiTheme="minorEastAsia" w:hAnsiTheme="minorEastAsia" w:cstheme="minorEastAsia" w:hint="eastAsia"/>
                <w:bCs/>
                <w:sz w:val="22"/>
              </w:rPr>
              <w:t>0.25%</w:t>
            </w:r>
            <w:r>
              <w:rPr>
                <w:rFonts w:asciiTheme="minorEastAsia" w:hAnsiTheme="minorEastAsia" w:cstheme="minorEastAsia" w:hint="eastAsia"/>
                <w:bCs/>
                <w:sz w:val="22"/>
              </w:rPr>
              <w:t>，</w:t>
            </w:r>
            <w:r>
              <w:rPr>
                <w:rFonts w:asciiTheme="minorEastAsia" w:hAnsiTheme="minorEastAsia" w:cstheme="minorEastAsia" w:hint="eastAsia"/>
                <w:bCs/>
                <w:sz w:val="22"/>
              </w:rPr>
              <w:t>B</w:t>
            </w:r>
            <w:r>
              <w:rPr>
                <w:rFonts w:asciiTheme="minorEastAsia" w:hAnsiTheme="minorEastAsia" w:cstheme="minorEastAsia" w:hint="eastAsia"/>
                <w:bCs/>
                <w:sz w:val="22"/>
              </w:rPr>
              <w:t>类基金份额的年销售服务费率为</w:t>
            </w:r>
            <w:r>
              <w:rPr>
                <w:rFonts w:asciiTheme="minorEastAsia" w:hAnsiTheme="minorEastAsia" w:cstheme="minorEastAsia" w:hint="eastAsia"/>
                <w:bCs/>
                <w:sz w:val="22"/>
              </w:rPr>
              <w:t>0.03%</w:t>
            </w:r>
            <w:r>
              <w:rPr>
                <w:rFonts w:asciiTheme="minorEastAsia" w:hAnsiTheme="minorEastAsia" w:cstheme="minorEastAsia" w:hint="eastAsia"/>
                <w:bCs/>
                <w:sz w:val="22"/>
              </w:rPr>
              <w:t>。</w:t>
            </w:r>
          </w:p>
          <w:p w:rsidR="002F6968" w:rsidRDefault="007A449A">
            <w:pPr>
              <w:rPr>
                <w:rFonts w:asciiTheme="minorEastAsia" w:hAnsiTheme="minorEastAsia" w:cstheme="minorEastAsia"/>
                <w:bCs/>
                <w:sz w:val="22"/>
              </w:rPr>
            </w:pPr>
            <w:r>
              <w:rPr>
                <w:rFonts w:asciiTheme="minorEastAsia" w:hAnsiTheme="minorEastAsia" w:cstheme="minorEastAsia" w:hint="eastAsia"/>
                <w:b/>
                <w:strike/>
                <w:sz w:val="22"/>
              </w:rPr>
              <w:t>两</w:t>
            </w:r>
            <w:r>
              <w:rPr>
                <w:rFonts w:asciiTheme="minorEastAsia" w:hAnsiTheme="minorEastAsia" w:cstheme="minorEastAsia" w:hint="eastAsia"/>
                <w:bCs/>
                <w:sz w:val="22"/>
              </w:rPr>
              <w:t>类基金份额的销售服务费计提的计算公式相同，销售服务费的计算方法如下：</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H</w:t>
            </w:r>
            <w:r>
              <w:rPr>
                <w:rFonts w:asciiTheme="minorEastAsia" w:hAnsiTheme="minorEastAsia" w:cstheme="minorEastAsia" w:hint="eastAsia"/>
                <w:bCs/>
                <w:sz w:val="22"/>
              </w:rPr>
              <w:t>＝</w:t>
            </w:r>
            <w:r>
              <w:rPr>
                <w:rFonts w:asciiTheme="minorEastAsia" w:hAnsiTheme="minorEastAsia" w:cstheme="minorEastAsia" w:hint="eastAsia"/>
                <w:bCs/>
                <w:sz w:val="22"/>
              </w:rPr>
              <w:t>E</w:t>
            </w:r>
            <w:r>
              <w:rPr>
                <w:rFonts w:asciiTheme="minorEastAsia" w:hAnsiTheme="minorEastAsia" w:cstheme="minorEastAsia" w:hint="eastAsia"/>
                <w:bCs/>
                <w:sz w:val="22"/>
              </w:rPr>
              <w:t>×该类基金份额年销售服务费率÷当年天数</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H</w:t>
            </w:r>
            <w:r>
              <w:rPr>
                <w:rFonts w:asciiTheme="minorEastAsia" w:hAnsiTheme="minorEastAsia" w:cstheme="minorEastAsia" w:hint="eastAsia"/>
                <w:bCs/>
                <w:sz w:val="22"/>
              </w:rPr>
              <w:t>为每日该类基金份额应计提的销售服务费</w:t>
            </w:r>
          </w:p>
          <w:p w:rsidR="002F6968" w:rsidRDefault="007A449A">
            <w:pPr>
              <w:rPr>
                <w:rFonts w:asciiTheme="minorEastAsia" w:hAnsiTheme="minorEastAsia" w:cstheme="minorEastAsia"/>
                <w:bCs/>
                <w:sz w:val="22"/>
              </w:rPr>
            </w:pPr>
            <w:r>
              <w:rPr>
                <w:rFonts w:asciiTheme="minorEastAsia" w:hAnsiTheme="minorEastAsia" w:cstheme="minorEastAsia" w:hint="eastAsia"/>
                <w:bCs/>
                <w:sz w:val="22"/>
              </w:rPr>
              <w:t>E</w:t>
            </w:r>
            <w:r>
              <w:rPr>
                <w:rFonts w:asciiTheme="minorEastAsia" w:hAnsiTheme="minorEastAsia" w:cstheme="minorEastAsia" w:hint="eastAsia"/>
                <w:bCs/>
                <w:sz w:val="22"/>
              </w:rPr>
              <w:t>为前一日该类基金份额的基金资产净值</w:t>
            </w:r>
          </w:p>
        </w:tc>
        <w:tc>
          <w:tcPr>
            <w:tcW w:w="2310" w:type="pct"/>
          </w:tcPr>
          <w:p w:rsidR="002F6968" w:rsidRDefault="007A449A">
            <w:pPr>
              <w:rPr>
                <w:rFonts w:asciiTheme="minorEastAsia" w:hAnsiTheme="minorEastAsia" w:cstheme="minorEastAsia"/>
                <w:bCs/>
                <w:sz w:val="22"/>
                <w:szCs w:val="20"/>
              </w:rPr>
            </w:pPr>
            <w:r>
              <w:rPr>
                <w:rFonts w:asciiTheme="minorEastAsia" w:hAnsiTheme="minorEastAsia" w:cstheme="minorEastAsia" w:hint="eastAsia"/>
                <w:bCs/>
                <w:sz w:val="22"/>
              </w:rPr>
              <w:t>二、基金费用计提方法、计提标准和支付方式</w:t>
            </w:r>
          </w:p>
          <w:p w:rsidR="002F6968" w:rsidRDefault="007A449A">
            <w:pPr>
              <w:rPr>
                <w:rFonts w:asciiTheme="minorEastAsia" w:hAnsiTheme="minorEastAsia" w:cstheme="minorEastAsia"/>
                <w:bCs/>
                <w:sz w:val="22"/>
                <w:szCs w:val="20"/>
              </w:rPr>
            </w:pPr>
            <w:r>
              <w:rPr>
                <w:rFonts w:asciiTheme="minorEastAsia" w:hAnsiTheme="minorEastAsia" w:cstheme="minorEastAsia" w:hint="eastAsia"/>
                <w:bCs/>
                <w:sz w:val="22"/>
                <w:szCs w:val="20"/>
              </w:rPr>
              <w:t>3</w:t>
            </w:r>
            <w:r>
              <w:rPr>
                <w:rFonts w:asciiTheme="minorEastAsia" w:hAnsiTheme="minorEastAsia" w:cstheme="minorEastAsia" w:hint="eastAsia"/>
                <w:bCs/>
                <w:sz w:val="22"/>
                <w:szCs w:val="20"/>
              </w:rPr>
              <w:t>、基金销售服务费</w:t>
            </w:r>
          </w:p>
          <w:p w:rsidR="002F6968" w:rsidRDefault="007A449A">
            <w:pPr>
              <w:rPr>
                <w:rFonts w:asciiTheme="minorEastAsia" w:hAnsiTheme="minorEastAsia" w:cstheme="minorEastAsia"/>
                <w:bCs/>
                <w:sz w:val="22"/>
                <w:szCs w:val="20"/>
              </w:rPr>
            </w:pPr>
            <w:r>
              <w:rPr>
                <w:rFonts w:asciiTheme="minorEastAsia" w:hAnsiTheme="minorEastAsia" w:cstheme="minorEastAsia" w:hint="eastAsia"/>
                <w:bCs/>
                <w:sz w:val="22"/>
                <w:szCs w:val="20"/>
              </w:rPr>
              <w:t>本基金</w:t>
            </w:r>
            <w:r>
              <w:rPr>
                <w:rFonts w:asciiTheme="minorEastAsia" w:hAnsiTheme="minorEastAsia" w:cstheme="minorEastAsia" w:hint="eastAsia"/>
                <w:bCs/>
                <w:sz w:val="22"/>
                <w:szCs w:val="20"/>
              </w:rPr>
              <w:t>A</w:t>
            </w:r>
            <w:r>
              <w:rPr>
                <w:rFonts w:asciiTheme="minorEastAsia" w:hAnsiTheme="minorEastAsia" w:cstheme="minorEastAsia" w:hint="eastAsia"/>
                <w:bCs/>
                <w:sz w:val="22"/>
                <w:szCs w:val="20"/>
              </w:rPr>
              <w:t>类基金份额的年销售服务费率为</w:t>
            </w:r>
            <w:r>
              <w:rPr>
                <w:rFonts w:asciiTheme="minorEastAsia" w:hAnsiTheme="minorEastAsia" w:cstheme="minorEastAsia" w:hint="eastAsia"/>
                <w:bCs/>
                <w:sz w:val="22"/>
                <w:szCs w:val="20"/>
              </w:rPr>
              <w:t>0.25%</w:t>
            </w:r>
            <w:r>
              <w:rPr>
                <w:rFonts w:asciiTheme="minorEastAsia" w:hAnsiTheme="minorEastAsia" w:cstheme="minorEastAsia" w:hint="eastAsia"/>
                <w:bCs/>
                <w:sz w:val="22"/>
                <w:szCs w:val="20"/>
              </w:rPr>
              <w:t>，</w:t>
            </w:r>
            <w:r>
              <w:rPr>
                <w:rFonts w:asciiTheme="minorEastAsia" w:hAnsiTheme="minorEastAsia" w:cstheme="minorEastAsia" w:hint="eastAsia"/>
                <w:bCs/>
                <w:sz w:val="22"/>
                <w:szCs w:val="20"/>
              </w:rPr>
              <w:t>B</w:t>
            </w:r>
            <w:r>
              <w:rPr>
                <w:rFonts w:asciiTheme="minorEastAsia" w:hAnsiTheme="minorEastAsia" w:cstheme="minorEastAsia" w:hint="eastAsia"/>
                <w:bCs/>
                <w:sz w:val="22"/>
                <w:szCs w:val="20"/>
              </w:rPr>
              <w:t>类基金份额的年销售服务费率为</w:t>
            </w:r>
            <w:r>
              <w:rPr>
                <w:rFonts w:asciiTheme="minorEastAsia" w:hAnsiTheme="minorEastAsia" w:cstheme="minorEastAsia" w:hint="eastAsia"/>
                <w:bCs/>
                <w:sz w:val="22"/>
                <w:szCs w:val="20"/>
              </w:rPr>
              <w:t>0.03%</w:t>
            </w:r>
            <w:r>
              <w:rPr>
                <w:rFonts w:asciiTheme="minorEastAsia" w:hAnsiTheme="minorEastAsia" w:cstheme="minorEastAsia" w:hint="eastAsia"/>
                <w:b/>
                <w:sz w:val="22"/>
                <w:szCs w:val="20"/>
                <w:u w:val="single"/>
              </w:rPr>
              <w:t>，</w:t>
            </w:r>
            <w:r>
              <w:rPr>
                <w:rFonts w:asciiTheme="minorEastAsia" w:hAnsiTheme="minorEastAsia" w:cstheme="minorEastAsia" w:hint="eastAsia"/>
                <w:b/>
                <w:sz w:val="22"/>
                <w:szCs w:val="20"/>
                <w:u w:val="single"/>
              </w:rPr>
              <w:t>C</w:t>
            </w:r>
            <w:r>
              <w:rPr>
                <w:rFonts w:asciiTheme="minorEastAsia" w:hAnsiTheme="minorEastAsia" w:cstheme="minorEastAsia" w:hint="eastAsia"/>
                <w:b/>
                <w:sz w:val="22"/>
                <w:szCs w:val="20"/>
                <w:u w:val="single"/>
              </w:rPr>
              <w:t>类基金份额的年销售服务费率为</w:t>
            </w:r>
            <w:r>
              <w:rPr>
                <w:rFonts w:asciiTheme="minorEastAsia" w:hAnsiTheme="minorEastAsia" w:cstheme="minorEastAsia" w:hint="eastAsia"/>
                <w:b/>
                <w:sz w:val="22"/>
                <w:szCs w:val="20"/>
                <w:u w:val="single"/>
              </w:rPr>
              <w:t>0.15%</w:t>
            </w:r>
            <w:r>
              <w:rPr>
                <w:rFonts w:asciiTheme="minorEastAsia" w:hAnsiTheme="minorEastAsia" w:cstheme="minorEastAsia" w:hint="eastAsia"/>
                <w:bCs/>
                <w:sz w:val="22"/>
                <w:szCs w:val="20"/>
              </w:rPr>
              <w:t>。</w:t>
            </w:r>
          </w:p>
          <w:p w:rsidR="002F6968" w:rsidRDefault="007A449A">
            <w:pPr>
              <w:rPr>
                <w:rFonts w:asciiTheme="minorEastAsia" w:hAnsiTheme="minorEastAsia" w:cstheme="minorEastAsia"/>
                <w:bCs/>
                <w:sz w:val="22"/>
                <w:szCs w:val="20"/>
              </w:rPr>
            </w:pPr>
            <w:r>
              <w:rPr>
                <w:rFonts w:asciiTheme="minorEastAsia" w:hAnsiTheme="minorEastAsia" w:cstheme="minorEastAsia" w:hint="eastAsia"/>
                <w:b/>
                <w:sz w:val="22"/>
                <w:szCs w:val="20"/>
                <w:u w:val="single"/>
              </w:rPr>
              <w:t>三</w:t>
            </w:r>
            <w:r>
              <w:rPr>
                <w:rFonts w:asciiTheme="minorEastAsia" w:hAnsiTheme="minorEastAsia" w:cstheme="minorEastAsia" w:hint="eastAsia"/>
                <w:bCs/>
                <w:sz w:val="22"/>
                <w:szCs w:val="20"/>
              </w:rPr>
              <w:t>类基金份额的销售服务费计提的计算公式相同，销售服务费的计算方法如下：</w:t>
            </w:r>
          </w:p>
          <w:p w:rsidR="002F6968" w:rsidRDefault="007A449A">
            <w:pPr>
              <w:rPr>
                <w:rFonts w:asciiTheme="minorEastAsia" w:hAnsiTheme="minorEastAsia" w:cstheme="minorEastAsia"/>
                <w:bCs/>
                <w:sz w:val="22"/>
                <w:szCs w:val="20"/>
              </w:rPr>
            </w:pPr>
            <w:r>
              <w:rPr>
                <w:rFonts w:asciiTheme="minorEastAsia" w:hAnsiTheme="minorEastAsia" w:cstheme="minorEastAsia" w:hint="eastAsia"/>
                <w:bCs/>
                <w:sz w:val="22"/>
                <w:szCs w:val="20"/>
              </w:rPr>
              <w:t>H</w:t>
            </w:r>
            <w:r>
              <w:rPr>
                <w:rFonts w:asciiTheme="minorEastAsia" w:hAnsiTheme="minorEastAsia" w:cstheme="minorEastAsia" w:hint="eastAsia"/>
                <w:bCs/>
                <w:sz w:val="22"/>
                <w:szCs w:val="20"/>
              </w:rPr>
              <w:t>＝</w:t>
            </w:r>
            <w:r>
              <w:rPr>
                <w:rFonts w:asciiTheme="minorEastAsia" w:hAnsiTheme="minorEastAsia" w:cstheme="minorEastAsia" w:hint="eastAsia"/>
                <w:bCs/>
                <w:sz w:val="22"/>
                <w:szCs w:val="20"/>
              </w:rPr>
              <w:t>E</w:t>
            </w:r>
            <w:r>
              <w:rPr>
                <w:rFonts w:asciiTheme="minorEastAsia" w:hAnsiTheme="minorEastAsia" w:cstheme="minorEastAsia" w:hint="eastAsia"/>
                <w:bCs/>
                <w:sz w:val="22"/>
                <w:szCs w:val="20"/>
              </w:rPr>
              <w:t>×该类基金份额年销售服务费率÷当年天数</w:t>
            </w:r>
          </w:p>
          <w:p w:rsidR="002F6968" w:rsidRDefault="007A449A">
            <w:pPr>
              <w:rPr>
                <w:rFonts w:asciiTheme="minorEastAsia" w:hAnsiTheme="minorEastAsia" w:cstheme="minorEastAsia"/>
                <w:bCs/>
                <w:sz w:val="22"/>
                <w:szCs w:val="20"/>
              </w:rPr>
            </w:pPr>
            <w:r>
              <w:rPr>
                <w:rFonts w:asciiTheme="minorEastAsia" w:hAnsiTheme="minorEastAsia" w:cstheme="minorEastAsia" w:hint="eastAsia"/>
                <w:bCs/>
                <w:sz w:val="22"/>
                <w:szCs w:val="20"/>
              </w:rPr>
              <w:t>H</w:t>
            </w:r>
            <w:r>
              <w:rPr>
                <w:rFonts w:asciiTheme="minorEastAsia" w:hAnsiTheme="minorEastAsia" w:cstheme="minorEastAsia" w:hint="eastAsia"/>
                <w:bCs/>
                <w:sz w:val="22"/>
                <w:szCs w:val="20"/>
              </w:rPr>
              <w:t>为每日该类基金份额应计提的销售服务费</w:t>
            </w:r>
          </w:p>
          <w:p w:rsidR="002F6968" w:rsidRDefault="007A449A">
            <w:pPr>
              <w:rPr>
                <w:rFonts w:asciiTheme="minorEastAsia" w:hAnsiTheme="minorEastAsia" w:cstheme="minorEastAsia"/>
                <w:bCs/>
                <w:sz w:val="22"/>
                <w:szCs w:val="20"/>
              </w:rPr>
            </w:pPr>
            <w:r>
              <w:rPr>
                <w:rFonts w:asciiTheme="minorEastAsia" w:hAnsiTheme="minorEastAsia" w:cstheme="minorEastAsia" w:hint="eastAsia"/>
                <w:bCs/>
                <w:sz w:val="22"/>
                <w:szCs w:val="20"/>
              </w:rPr>
              <w:t>E</w:t>
            </w:r>
            <w:r>
              <w:rPr>
                <w:rFonts w:asciiTheme="minorEastAsia" w:hAnsiTheme="minorEastAsia" w:cstheme="minorEastAsia" w:hint="eastAsia"/>
                <w:bCs/>
                <w:sz w:val="22"/>
                <w:szCs w:val="20"/>
              </w:rPr>
              <w:t>为前一日该类基金份额的基金资产净值</w:t>
            </w:r>
          </w:p>
        </w:tc>
      </w:tr>
    </w:tbl>
    <w:p w:rsidR="002F6968" w:rsidRDefault="002F6968">
      <w:pPr>
        <w:snapToGrid w:val="0"/>
        <w:spacing w:line="360" w:lineRule="auto"/>
        <w:ind w:firstLineChars="200" w:firstLine="480"/>
        <w:rPr>
          <w:rFonts w:ascii="Arial" w:hAnsi="Arial" w:cs="Arial"/>
          <w:bCs/>
          <w:sz w:val="24"/>
        </w:rPr>
      </w:pPr>
    </w:p>
    <w:p w:rsidR="002F6968" w:rsidRDefault="002F6968">
      <w:pPr>
        <w:wordWrap w:val="0"/>
        <w:spacing w:line="360" w:lineRule="auto"/>
        <w:ind w:firstLineChars="200" w:firstLine="480"/>
        <w:jc w:val="right"/>
        <w:rPr>
          <w:rFonts w:ascii="Arial" w:hAnsi="Arial" w:cs="Arial"/>
          <w:kern w:val="0"/>
          <w:sz w:val="24"/>
        </w:rPr>
      </w:pPr>
    </w:p>
    <w:sectPr w:rsidR="002F6968" w:rsidSect="002F696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968" w:rsidRDefault="002F6968" w:rsidP="002F6968">
      <w:r>
        <w:separator/>
      </w:r>
    </w:p>
  </w:endnote>
  <w:endnote w:type="continuationSeparator" w:id="0">
    <w:p w:rsidR="002F6968" w:rsidRDefault="002F6968" w:rsidP="002F6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68" w:rsidRDefault="002F6968">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filled="f" stroked="f" strokeweight=".5pt">
          <v:textbox style="mso-fit-shape-to-text:t" inset="0,0,0,0">
            <w:txbxContent>
              <w:p w:rsidR="002F6968" w:rsidRDefault="002F6968">
                <w:pPr>
                  <w:pStyle w:val="a6"/>
                </w:pPr>
                <w:r>
                  <w:fldChar w:fldCharType="begin"/>
                </w:r>
                <w:r w:rsidR="007A449A">
                  <w:instrText xml:space="preserve"> PAGE  \* MERGEFORMAT </w:instrText>
                </w:r>
                <w:r>
                  <w:fldChar w:fldCharType="separate"/>
                </w:r>
                <w:r w:rsidR="007A449A">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68" w:rsidRDefault="002F6968">
    <w:pPr>
      <w:pStyle w:val="a6"/>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filled="f" stroked="f" strokeweight=".5pt">
          <v:textbox style="mso-fit-shape-to-text:t" inset="0,0,0,0">
            <w:txbxContent>
              <w:p w:rsidR="002F6968" w:rsidRDefault="002F6968">
                <w:pPr>
                  <w:pStyle w:val="a6"/>
                </w:pPr>
                <w:r>
                  <w:fldChar w:fldCharType="begin"/>
                </w:r>
                <w:r w:rsidR="007A449A">
                  <w:instrText xml:space="preserve"> PAGE  \* MERGEFORMAT </w:instrText>
                </w:r>
                <w:r>
                  <w:fldChar w:fldCharType="separate"/>
                </w:r>
                <w:r w:rsidR="007A449A">
                  <w:t>4</w:t>
                </w:r>
                <w:r>
                  <w:fldChar w:fldCharType="end"/>
                </w:r>
              </w:p>
            </w:txbxContent>
          </v:textbox>
          <w10:wrap anchorx="margin"/>
        </v:shape>
      </w:pict>
    </w:r>
    <w:r w:rsidR="007A449A">
      <w:rPr>
        <w:rFonts w:hint="eastAsia"/>
      </w:rPr>
      <w:t xml:space="preserve">  </w:t>
    </w:r>
  </w:p>
  <w:p w:rsidR="002F6968" w:rsidRDefault="002F69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968" w:rsidRDefault="002F6968" w:rsidP="002F6968">
      <w:r>
        <w:separator/>
      </w:r>
    </w:p>
  </w:footnote>
  <w:footnote w:type="continuationSeparator" w:id="0">
    <w:p w:rsidR="002F6968" w:rsidRDefault="002F6968" w:rsidP="002F6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968" w:rsidRDefault="002F6968">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F3D0B4"/>
    <w:multiLevelType w:val="singleLevel"/>
    <w:tmpl w:val="BEF3D0B4"/>
    <w:lvl w:ilvl="0">
      <w:start w:val="52"/>
      <w:numFmt w:val="decimal"/>
      <w:suff w:val="nothing"/>
      <w:lvlText w:val="%1、"/>
      <w:lvlJc w:val="left"/>
    </w:lvl>
  </w:abstractNum>
  <w:abstractNum w:abstractNumId="1">
    <w:nsid w:val="34D044F2"/>
    <w:multiLevelType w:val="multilevel"/>
    <w:tmpl w:val="34D044F2"/>
    <w:lvl w:ilvl="0">
      <w:start w:val="1"/>
      <w:numFmt w:val="japaneseCounting"/>
      <w:lvlText w:val="%1、"/>
      <w:lvlJc w:val="left"/>
      <w:pPr>
        <w:ind w:left="510" w:hanging="51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544"/>
    <w:rsid w:val="00004004"/>
    <w:rsid w:val="00005622"/>
    <w:rsid w:val="00016923"/>
    <w:rsid w:val="000228FB"/>
    <w:rsid w:val="00023B5D"/>
    <w:rsid w:val="0002534E"/>
    <w:rsid w:val="000344EF"/>
    <w:rsid w:val="000344FB"/>
    <w:rsid w:val="000456F2"/>
    <w:rsid w:val="000523B7"/>
    <w:rsid w:val="0005767A"/>
    <w:rsid w:val="00057869"/>
    <w:rsid w:val="00057DA8"/>
    <w:rsid w:val="0006702A"/>
    <w:rsid w:val="00077D7C"/>
    <w:rsid w:val="000843FA"/>
    <w:rsid w:val="000868FE"/>
    <w:rsid w:val="00092B51"/>
    <w:rsid w:val="000B5FB0"/>
    <w:rsid w:val="000C06BE"/>
    <w:rsid w:val="000D1B8F"/>
    <w:rsid w:val="000D5478"/>
    <w:rsid w:val="000D639C"/>
    <w:rsid w:val="000D74A1"/>
    <w:rsid w:val="000E4F75"/>
    <w:rsid w:val="000E5CCF"/>
    <w:rsid w:val="000F0FA7"/>
    <w:rsid w:val="000F3C90"/>
    <w:rsid w:val="000F56F4"/>
    <w:rsid w:val="000F7F7F"/>
    <w:rsid w:val="00100108"/>
    <w:rsid w:val="00104906"/>
    <w:rsid w:val="001069E4"/>
    <w:rsid w:val="00114416"/>
    <w:rsid w:val="00122259"/>
    <w:rsid w:val="001364B5"/>
    <w:rsid w:val="00145DFC"/>
    <w:rsid w:val="0014710F"/>
    <w:rsid w:val="00147E11"/>
    <w:rsid w:val="001508AE"/>
    <w:rsid w:val="00154B08"/>
    <w:rsid w:val="00162E8F"/>
    <w:rsid w:val="00166AB9"/>
    <w:rsid w:val="00167C92"/>
    <w:rsid w:val="0018054D"/>
    <w:rsid w:val="00183B77"/>
    <w:rsid w:val="00184150"/>
    <w:rsid w:val="0018546B"/>
    <w:rsid w:val="001873FD"/>
    <w:rsid w:val="00191867"/>
    <w:rsid w:val="001A2C65"/>
    <w:rsid w:val="001B75E6"/>
    <w:rsid w:val="001D0C69"/>
    <w:rsid w:val="001D135E"/>
    <w:rsid w:val="001D2D69"/>
    <w:rsid w:val="001D2D74"/>
    <w:rsid w:val="00212D95"/>
    <w:rsid w:val="00235119"/>
    <w:rsid w:val="00236210"/>
    <w:rsid w:val="00242F10"/>
    <w:rsid w:val="00243BDA"/>
    <w:rsid w:val="00244C99"/>
    <w:rsid w:val="00246E56"/>
    <w:rsid w:val="00250716"/>
    <w:rsid w:val="00256378"/>
    <w:rsid w:val="002578F5"/>
    <w:rsid w:val="002640B1"/>
    <w:rsid w:val="002655D2"/>
    <w:rsid w:val="0026660C"/>
    <w:rsid w:val="0028423F"/>
    <w:rsid w:val="002863FD"/>
    <w:rsid w:val="00286785"/>
    <w:rsid w:val="0029677E"/>
    <w:rsid w:val="002A2F06"/>
    <w:rsid w:val="002A402F"/>
    <w:rsid w:val="002C0062"/>
    <w:rsid w:val="002C2ED1"/>
    <w:rsid w:val="002C763D"/>
    <w:rsid w:val="002D18E9"/>
    <w:rsid w:val="002D553D"/>
    <w:rsid w:val="002D6407"/>
    <w:rsid w:val="002D7417"/>
    <w:rsid w:val="002E011D"/>
    <w:rsid w:val="002F6968"/>
    <w:rsid w:val="00306B06"/>
    <w:rsid w:val="0031528C"/>
    <w:rsid w:val="0031732F"/>
    <w:rsid w:val="00320F01"/>
    <w:rsid w:val="00321C03"/>
    <w:rsid w:val="00321C7D"/>
    <w:rsid w:val="00322C9A"/>
    <w:rsid w:val="00330AE6"/>
    <w:rsid w:val="0033148B"/>
    <w:rsid w:val="00334033"/>
    <w:rsid w:val="00335293"/>
    <w:rsid w:val="00337332"/>
    <w:rsid w:val="00364111"/>
    <w:rsid w:val="0036528C"/>
    <w:rsid w:val="00366F3F"/>
    <w:rsid w:val="003714CD"/>
    <w:rsid w:val="00377074"/>
    <w:rsid w:val="003807C2"/>
    <w:rsid w:val="0038240F"/>
    <w:rsid w:val="003859BF"/>
    <w:rsid w:val="0039075C"/>
    <w:rsid w:val="00390C17"/>
    <w:rsid w:val="00390F8D"/>
    <w:rsid w:val="00391E21"/>
    <w:rsid w:val="00393383"/>
    <w:rsid w:val="003A0AAD"/>
    <w:rsid w:val="003B6FFD"/>
    <w:rsid w:val="003C0FDF"/>
    <w:rsid w:val="003C2784"/>
    <w:rsid w:val="003C2CB4"/>
    <w:rsid w:val="003E0BF9"/>
    <w:rsid w:val="003E2D3B"/>
    <w:rsid w:val="003F419D"/>
    <w:rsid w:val="003F449B"/>
    <w:rsid w:val="003F5D50"/>
    <w:rsid w:val="00402507"/>
    <w:rsid w:val="0040364F"/>
    <w:rsid w:val="00414A5E"/>
    <w:rsid w:val="00415AF0"/>
    <w:rsid w:val="00423D1D"/>
    <w:rsid w:val="00424E64"/>
    <w:rsid w:val="00426032"/>
    <w:rsid w:val="004317F1"/>
    <w:rsid w:val="0044293F"/>
    <w:rsid w:val="00444D0F"/>
    <w:rsid w:val="00447AD1"/>
    <w:rsid w:val="004525DB"/>
    <w:rsid w:val="00460F71"/>
    <w:rsid w:val="00471C4E"/>
    <w:rsid w:val="00474F80"/>
    <w:rsid w:val="004825CE"/>
    <w:rsid w:val="00484464"/>
    <w:rsid w:val="00496CA0"/>
    <w:rsid w:val="004A19FA"/>
    <w:rsid w:val="004A1F6B"/>
    <w:rsid w:val="004B26A8"/>
    <w:rsid w:val="004B5EDA"/>
    <w:rsid w:val="004B6CC5"/>
    <w:rsid w:val="004C1700"/>
    <w:rsid w:val="004C76F6"/>
    <w:rsid w:val="004D3726"/>
    <w:rsid w:val="004D55D0"/>
    <w:rsid w:val="004D5DF9"/>
    <w:rsid w:val="004D661C"/>
    <w:rsid w:val="004E32A2"/>
    <w:rsid w:val="004F102F"/>
    <w:rsid w:val="004F21B0"/>
    <w:rsid w:val="004F6A37"/>
    <w:rsid w:val="005024C8"/>
    <w:rsid w:val="005132B1"/>
    <w:rsid w:val="00514EB0"/>
    <w:rsid w:val="00522013"/>
    <w:rsid w:val="00524174"/>
    <w:rsid w:val="00524D15"/>
    <w:rsid w:val="00531AD7"/>
    <w:rsid w:val="00544562"/>
    <w:rsid w:val="005512A4"/>
    <w:rsid w:val="005606E5"/>
    <w:rsid w:val="00564794"/>
    <w:rsid w:val="00566865"/>
    <w:rsid w:val="00570DE8"/>
    <w:rsid w:val="00575B80"/>
    <w:rsid w:val="005850DF"/>
    <w:rsid w:val="00592126"/>
    <w:rsid w:val="0059481A"/>
    <w:rsid w:val="005A3030"/>
    <w:rsid w:val="005A3F89"/>
    <w:rsid w:val="005A558D"/>
    <w:rsid w:val="005B22D9"/>
    <w:rsid w:val="005B22E4"/>
    <w:rsid w:val="005B7B69"/>
    <w:rsid w:val="005C3742"/>
    <w:rsid w:val="005C6A0C"/>
    <w:rsid w:val="005C765B"/>
    <w:rsid w:val="005C7E1F"/>
    <w:rsid w:val="005D0692"/>
    <w:rsid w:val="005E06F4"/>
    <w:rsid w:val="005E309E"/>
    <w:rsid w:val="005E7E36"/>
    <w:rsid w:val="00605FC5"/>
    <w:rsid w:val="006064C1"/>
    <w:rsid w:val="0060745C"/>
    <w:rsid w:val="006306EA"/>
    <w:rsid w:val="006310C5"/>
    <w:rsid w:val="00647161"/>
    <w:rsid w:val="0064746A"/>
    <w:rsid w:val="00652972"/>
    <w:rsid w:val="00652F4C"/>
    <w:rsid w:val="00653EC1"/>
    <w:rsid w:val="00667FF5"/>
    <w:rsid w:val="00672890"/>
    <w:rsid w:val="00672E0F"/>
    <w:rsid w:val="00681936"/>
    <w:rsid w:val="00683EDD"/>
    <w:rsid w:val="00684A4E"/>
    <w:rsid w:val="0068794D"/>
    <w:rsid w:val="006A1755"/>
    <w:rsid w:val="006B599E"/>
    <w:rsid w:val="006B6765"/>
    <w:rsid w:val="006B77E2"/>
    <w:rsid w:val="006C0F29"/>
    <w:rsid w:val="006E3E22"/>
    <w:rsid w:val="006E4015"/>
    <w:rsid w:val="006F0167"/>
    <w:rsid w:val="00702192"/>
    <w:rsid w:val="00707274"/>
    <w:rsid w:val="00707F1B"/>
    <w:rsid w:val="00712043"/>
    <w:rsid w:val="007140AB"/>
    <w:rsid w:val="007143AE"/>
    <w:rsid w:val="00715DCC"/>
    <w:rsid w:val="0071717A"/>
    <w:rsid w:val="007179EB"/>
    <w:rsid w:val="00721FC6"/>
    <w:rsid w:val="00740DF1"/>
    <w:rsid w:val="00743DF4"/>
    <w:rsid w:val="00745DF1"/>
    <w:rsid w:val="0075407E"/>
    <w:rsid w:val="007549A6"/>
    <w:rsid w:val="00756161"/>
    <w:rsid w:val="00756EF6"/>
    <w:rsid w:val="007576CC"/>
    <w:rsid w:val="00762852"/>
    <w:rsid w:val="007673F6"/>
    <w:rsid w:val="00770FBA"/>
    <w:rsid w:val="007720C0"/>
    <w:rsid w:val="00785BA8"/>
    <w:rsid w:val="00785F29"/>
    <w:rsid w:val="00786249"/>
    <w:rsid w:val="0078737E"/>
    <w:rsid w:val="007873E9"/>
    <w:rsid w:val="00791485"/>
    <w:rsid w:val="007919E2"/>
    <w:rsid w:val="00797EA4"/>
    <w:rsid w:val="007A079D"/>
    <w:rsid w:val="007A0E1B"/>
    <w:rsid w:val="007A1F7F"/>
    <w:rsid w:val="007A3147"/>
    <w:rsid w:val="007A449A"/>
    <w:rsid w:val="007B1BCC"/>
    <w:rsid w:val="007B3D0B"/>
    <w:rsid w:val="007B69D8"/>
    <w:rsid w:val="007C336A"/>
    <w:rsid w:val="007D00EC"/>
    <w:rsid w:val="007D77D5"/>
    <w:rsid w:val="007E0D2D"/>
    <w:rsid w:val="007E576E"/>
    <w:rsid w:val="007F1BDC"/>
    <w:rsid w:val="007F6636"/>
    <w:rsid w:val="007F79CE"/>
    <w:rsid w:val="00800C4E"/>
    <w:rsid w:val="0080189D"/>
    <w:rsid w:val="0080578D"/>
    <w:rsid w:val="008069A9"/>
    <w:rsid w:val="00807D46"/>
    <w:rsid w:val="00822674"/>
    <w:rsid w:val="0082568D"/>
    <w:rsid w:val="00827B9D"/>
    <w:rsid w:val="0083086E"/>
    <w:rsid w:val="00831401"/>
    <w:rsid w:val="00832495"/>
    <w:rsid w:val="00834392"/>
    <w:rsid w:val="00835D2D"/>
    <w:rsid w:val="00841F45"/>
    <w:rsid w:val="00845E33"/>
    <w:rsid w:val="00852AC5"/>
    <w:rsid w:val="008547D8"/>
    <w:rsid w:val="008558F3"/>
    <w:rsid w:val="00863A19"/>
    <w:rsid w:val="00866A45"/>
    <w:rsid w:val="008767BC"/>
    <w:rsid w:val="008815AF"/>
    <w:rsid w:val="00881A09"/>
    <w:rsid w:val="00886A2A"/>
    <w:rsid w:val="00894D16"/>
    <w:rsid w:val="00897137"/>
    <w:rsid w:val="008A1936"/>
    <w:rsid w:val="008A2A0A"/>
    <w:rsid w:val="008A47A7"/>
    <w:rsid w:val="008A48B4"/>
    <w:rsid w:val="008B0964"/>
    <w:rsid w:val="008B2733"/>
    <w:rsid w:val="008C1C04"/>
    <w:rsid w:val="008D1B18"/>
    <w:rsid w:val="008E3091"/>
    <w:rsid w:val="008E6884"/>
    <w:rsid w:val="008F5094"/>
    <w:rsid w:val="0090011D"/>
    <w:rsid w:val="00905FE8"/>
    <w:rsid w:val="00911546"/>
    <w:rsid w:val="009133BE"/>
    <w:rsid w:val="009257C5"/>
    <w:rsid w:val="00925D17"/>
    <w:rsid w:val="00925E4A"/>
    <w:rsid w:val="009335D0"/>
    <w:rsid w:val="009339C3"/>
    <w:rsid w:val="0093445C"/>
    <w:rsid w:val="00937919"/>
    <w:rsid w:val="0094457F"/>
    <w:rsid w:val="00945911"/>
    <w:rsid w:val="00953D6E"/>
    <w:rsid w:val="00957C90"/>
    <w:rsid w:val="00960F63"/>
    <w:rsid w:val="00965503"/>
    <w:rsid w:val="00976069"/>
    <w:rsid w:val="0098282D"/>
    <w:rsid w:val="0098352B"/>
    <w:rsid w:val="0098776D"/>
    <w:rsid w:val="009953E5"/>
    <w:rsid w:val="00997950"/>
    <w:rsid w:val="009A1A74"/>
    <w:rsid w:val="009A402C"/>
    <w:rsid w:val="009A7D96"/>
    <w:rsid w:val="009A7E04"/>
    <w:rsid w:val="009B21C3"/>
    <w:rsid w:val="009B244E"/>
    <w:rsid w:val="009C218F"/>
    <w:rsid w:val="009C4BB1"/>
    <w:rsid w:val="009C6B53"/>
    <w:rsid w:val="009E2BAC"/>
    <w:rsid w:val="009E30B6"/>
    <w:rsid w:val="009E401D"/>
    <w:rsid w:val="009E59C0"/>
    <w:rsid w:val="009E73AA"/>
    <w:rsid w:val="009F6251"/>
    <w:rsid w:val="00A473CC"/>
    <w:rsid w:val="00A52651"/>
    <w:rsid w:val="00A53EDB"/>
    <w:rsid w:val="00A60C56"/>
    <w:rsid w:val="00A60E6F"/>
    <w:rsid w:val="00A65B97"/>
    <w:rsid w:val="00A67600"/>
    <w:rsid w:val="00A676EF"/>
    <w:rsid w:val="00A76EEE"/>
    <w:rsid w:val="00A81F7B"/>
    <w:rsid w:val="00A840BA"/>
    <w:rsid w:val="00A86D89"/>
    <w:rsid w:val="00A9207E"/>
    <w:rsid w:val="00A95544"/>
    <w:rsid w:val="00A96D18"/>
    <w:rsid w:val="00AA1098"/>
    <w:rsid w:val="00AA2A8A"/>
    <w:rsid w:val="00AA6882"/>
    <w:rsid w:val="00AB0A92"/>
    <w:rsid w:val="00AB314D"/>
    <w:rsid w:val="00AB4476"/>
    <w:rsid w:val="00AC551D"/>
    <w:rsid w:val="00AC6B39"/>
    <w:rsid w:val="00AD3A83"/>
    <w:rsid w:val="00AD7B6A"/>
    <w:rsid w:val="00AE0246"/>
    <w:rsid w:val="00AE2032"/>
    <w:rsid w:val="00AE7EC8"/>
    <w:rsid w:val="00AF0403"/>
    <w:rsid w:val="00AF7076"/>
    <w:rsid w:val="00B00E9A"/>
    <w:rsid w:val="00B02D86"/>
    <w:rsid w:val="00B056F2"/>
    <w:rsid w:val="00B15F64"/>
    <w:rsid w:val="00B16831"/>
    <w:rsid w:val="00B16CBC"/>
    <w:rsid w:val="00B20E52"/>
    <w:rsid w:val="00B34C87"/>
    <w:rsid w:val="00B51338"/>
    <w:rsid w:val="00B54560"/>
    <w:rsid w:val="00B56773"/>
    <w:rsid w:val="00B604D6"/>
    <w:rsid w:val="00B60E88"/>
    <w:rsid w:val="00B621E6"/>
    <w:rsid w:val="00B629CF"/>
    <w:rsid w:val="00B64681"/>
    <w:rsid w:val="00B647BF"/>
    <w:rsid w:val="00B64874"/>
    <w:rsid w:val="00B67A95"/>
    <w:rsid w:val="00B753C3"/>
    <w:rsid w:val="00B9121A"/>
    <w:rsid w:val="00BB0EE6"/>
    <w:rsid w:val="00BB0F17"/>
    <w:rsid w:val="00BC10B4"/>
    <w:rsid w:val="00BC3DA5"/>
    <w:rsid w:val="00BC3FE9"/>
    <w:rsid w:val="00BE0A12"/>
    <w:rsid w:val="00BE3CCB"/>
    <w:rsid w:val="00BE6293"/>
    <w:rsid w:val="00BF0EAD"/>
    <w:rsid w:val="00C0163A"/>
    <w:rsid w:val="00C10483"/>
    <w:rsid w:val="00C16968"/>
    <w:rsid w:val="00C20757"/>
    <w:rsid w:val="00C22862"/>
    <w:rsid w:val="00C263BE"/>
    <w:rsid w:val="00C3386D"/>
    <w:rsid w:val="00C33A7E"/>
    <w:rsid w:val="00C35760"/>
    <w:rsid w:val="00C37E4F"/>
    <w:rsid w:val="00C37E73"/>
    <w:rsid w:val="00C4031D"/>
    <w:rsid w:val="00C50C17"/>
    <w:rsid w:val="00C51556"/>
    <w:rsid w:val="00C526B0"/>
    <w:rsid w:val="00C544CD"/>
    <w:rsid w:val="00C617EA"/>
    <w:rsid w:val="00C61EB0"/>
    <w:rsid w:val="00C80B6B"/>
    <w:rsid w:val="00C83A05"/>
    <w:rsid w:val="00C83A1F"/>
    <w:rsid w:val="00C955DD"/>
    <w:rsid w:val="00CA1604"/>
    <w:rsid w:val="00CA63D3"/>
    <w:rsid w:val="00CD0B97"/>
    <w:rsid w:val="00CD1284"/>
    <w:rsid w:val="00CD502B"/>
    <w:rsid w:val="00CD5F91"/>
    <w:rsid w:val="00CE1ED3"/>
    <w:rsid w:val="00CE44B5"/>
    <w:rsid w:val="00CE6701"/>
    <w:rsid w:val="00CF3C6D"/>
    <w:rsid w:val="00CF6693"/>
    <w:rsid w:val="00D044F1"/>
    <w:rsid w:val="00D120A5"/>
    <w:rsid w:val="00D169CB"/>
    <w:rsid w:val="00D218DC"/>
    <w:rsid w:val="00D23030"/>
    <w:rsid w:val="00D45B8D"/>
    <w:rsid w:val="00D55B66"/>
    <w:rsid w:val="00D57A63"/>
    <w:rsid w:val="00D6026E"/>
    <w:rsid w:val="00D75DFD"/>
    <w:rsid w:val="00D76D29"/>
    <w:rsid w:val="00D772AF"/>
    <w:rsid w:val="00D779E9"/>
    <w:rsid w:val="00D80D9B"/>
    <w:rsid w:val="00D85B9D"/>
    <w:rsid w:val="00D955F9"/>
    <w:rsid w:val="00DA09EC"/>
    <w:rsid w:val="00DA0D82"/>
    <w:rsid w:val="00DD742B"/>
    <w:rsid w:val="00DE2CF3"/>
    <w:rsid w:val="00DE6606"/>
    <w:rsid w:val="00DF3A42"/>
    <w:rsid w:val="00E0012A"/>
    <w:rsid w:val="00E017CE"/>
    <w:rsid w:val="00E025E4"/>
    <w:rsid w:val="00E0294E"/>
    <w:rsid w:val="00E06F3E"/>
    <w:rsid w:val="00E116C7"/>
    <w:rsid w:val="00E171DA"/>
    <w:rsid w:val="00E27AF4"/>
    <w:rsid w:val="00E30505"/>
    <w:rsid w:val="00E472D3"/>
    <w:rsid w:val="00E47A7E"/>
    <w:rsid w:val="00E57D94"/>
    <w:rsid w:val="00E610A4"/>
    <w:rsid w:val="00E674ED"/>
    <w:rsid w:val="00E74875"/>
    <w:rsid w:val="00E81E8D"/>
    <w:rsid w:val="00E81F06"/>
    <w:rsid w:val="00E85F18"/>
    <w:rsid w:val="00E861CC"/>
    <w:rsid w:val="00E9535A"/>
    <w:rsid w:val="00EA4AF6"/>
    <w:rsid w:val="00EA66F0"/>
    <w:rsid w:val="00EB333E"/>
    <w:rsid w:val="00EB64B2"/>
    <w:rsid w:val="00EC2D94"/>
    <w:rsid w:val="00EC3248"/>
    <w:rsid w:val="00EC5B78"/>
    <w:rsid w:val="00EC661B"/>
    <w:rsid w:val="00EE2497"/>
    <w:rsid w:val="00EE30B8"/>
    <w:rsid w:val="00EE7BFF"/>
    <w:rsid w:val="00EF10E1"/>
    <w:rsid w:val="00EF1A4B"/>
    <w:rsid w:val="00EF30AE"/>
    <w:rsid w:val="00EF5695"/>
    <w:rsid w:val="00F025C6"/>
    <w:rsid w:val="00F0672F"/>
    <w:rsid w:val="00F14806"/>
    <w:rsid w:val="00F31A5A"/>
    <w:rsid w:val="00F41099"/>
    <w:rsid w:val="00F42F58"/>
    <w:rsid w:val="00F435D2"/>
    <w:rsid w:val="00F45B7F"/>
    <w:rsid w:val="00F46B88"/>
    <w:rsid w:val="00F4744C"/>
    <w:rsid w:val="00F569A7"/>
    <w:rsid w:val="00F6129C"/>
    <w:rsid w:val="00F711A0"/>
    <w:rsid w:val="00F723B2"/>
    <w:rsid w:val="00F76AF4"/>
    <w:rsid w:val="00F91068"/>
    <w:rsid w:val="00F91AC3"/>
    <w:rsid w:val="00F9227F"/>
    <w:rsid w:val="00F96EC5"/>
    <w:rsid w:val="00FB14F9"/>
    <w:rsid w:val="00FB16EE"/>
    <w:rsid w:val="00FC1D07"/>
    <w:rsid w:val="00FE4CBF"/>
    <w:rsid w:val="00FF03D8"/>
    <w:rsid w:val="00FF16F0"/>
    <w:rsid w:val="00FF5B59"/>
    <w:rsid w:val="00FF74C9"/>
    <w:rsid w:val="01A728C3"/>
    <w:rsid w:val="02710918"/>
    <w:rsid w:val="03204F7F"/>
    <w:rsid w:val="05EF0F8E"/>
    <w:rsid w:val="094C40C0"/>
    <w:rsid w:val="0BB32087"/>
    <w:rsid w:val="0E825200"/>
    <w:rsid w:val="103C4B2F"/>
    <w:rsid w:val="18364910"/>
    <w:rsid w:val="19AB77D9"/>
    <w:rsid w:val="19B60574"/>
    <w:rsid w:val="1A520524"/>
    <w:rsid w:val="1DD92D32"/>
    <w:rsid w:val="205475AC"/>
    <w:rsid w:val="206E6890"/>
    <w:rsid w:val="218C10B5"/>
    <w:rsid w:val="235606B9"/>
    <w:rsid w:val="240D23E2"/>
    <w:rsid w:val="26A37416"/>
    <w:rsid w:val="2A026AF3"/>
    <w:rsid w:val="2AD01CB4"/>
    <w:rsid w:val="2B0923EE"/>
    <w:rsid w:val="2BA654F0"/>
    <w:rsid w:val="2BE74D30"/>
    <w:rsid w:val="30BD153E"/>
    <w:rsid w:val="35574BA0"/>
    <w:rsid w:val="398131E5"/>
    <w:rsid w:val="3AEB38E3"/>
    <w:rsid w:val="3D151117"/>
    <w:rsid w:val="3F2C09CA"/>
    <w:rsid w:val="3FEB0FD6"/>
    <w:rsid w:val="41445A91"/>
    <w:rsid w:val="47656E44"/>
    <w:rsid w:val="4D0F0A1F"/>
    <w:rsid w:val="4D1A1755"/>
    <w:rsid w:val="4EC81FEE"/>
    <w:rsid w:val="50411544"/>
    <w:rsid w:val="507065D9"/>
    <w:rsid w:val="52893C78"/>
    <w:rsid w:val="547453F8"/>
    <w:rsid w:val="561D1A02"/>
    <w:rsid w:val="58F35278"/>
    <w:rsid w:val="59766941"/>
    <w:rsid w:val="5B2E1AA7"/>
    <w:rsid w:val="5BFD47BF"/>
    <w:rsid w:val="5EF43160"/>
    <w:rsid w:val="605425F4"/>
    <w:rsid w:val="649B7433"/>
    <w:rsid w:val="66B41FE0"/>
    <w:rsid w:val="66DC0EE7"/>
    <w:rsid w:val="682328F6"/>
    <w:rsid w:val="6C7F7636"/>
    <w:rsid w:val="6FDA16F3"/>
    <w:rsid w:val="71F04CD8"/>
    <w:rsid w:val="728903FA"/>
    <w:rsid w:val="72CE3938"/>
    <w:rsid w:val="732C4FD7"/>
    <w:rsid w:val="74A23383"/>
    <w:rsid w:val="74D177C5"/>
    <w:rsid w:val="76A76C9B"/>
    <w:rsid w:val="796954CB"/>
    <w:rsid w:val="79753CD1"/>
    <w:rsid w:val="7CE411C8"/>
    <w:rsid w:val="7EE55C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6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F696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F696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2F69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F6968"/>
    <w:pPr>
      <w:jc w:val="left"/>
    </w:pPr>
    <w:rPr>
      <w:szCs w:val="20"/>
    </w:rPr>
  </w:style>
  <w:style w:type="paragraph" w:styleId="a4">
    <w:name w:val="Body Text Indent"/>
    <w:basedOn w:val="a"/>
    <w:link w:val="Char0"/>
    <w:qFormat/>
    <w:rsid w:val="002F6968"/>
    <w:pPr>
      <w:autoSpaceDE w:val="0"/>
      <w:autoSpaceDN w:val="0"/>
      <w:adjustRightInd w:val="0"/>
      <w:spacing w:line="360" w:lineRule="auto"/>
      <w:ind w:firstLineChars="200" w:firstLine="480"/>
    </w:pPr>
    <w:rPr>
      <w:rFonts w:ascii="宋体" w:hAnsi="宋体"/>
      <w:sz w:val="24"/>
      <w:szCs w:val="20"/>
      <w:lang w:val="zh-CN"/>
    </w:rPr>
  </w:style>
  <w:style w:type="paragraph" w:styleId="a5">
    <w:name w:val="Balloon Text"/>
    <w:basedOn w:val="a"/>
    <w:link w:val="Char1"/>
    <w:uiPriority w:val="99"/>
    <w:unhideWhenUsed/>
    <w:qFormat/>
    <w:rsid w:val="002F6968"/>
    <w:rPr>
      <w:sz w:val="18"/>
      <w:szCs w:val="18"/>
    </w:rPr>
  </w:style>
  <w:style w:type="paragraph" w:styleId="a6">
    <w:name w:val="footer"/>
    <w:basedOn w:val="a"/>
    <w:link w:val="Char2"/>
    <w:uiPriority w:val="99"/>
    <w:unhideWhenUsed/>
    <w:qFormat/>
    <w:rsid w:val="002F696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F696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2F6968"/>
    <w:rPr>
      <w:b/>
      <w:bCs/>
      <w:szCs w:val="24"/>
    </w:rPr>
  </w:style>
  <w:style w:type="table" w:styleId="a9">
    <w:name w:val="Table Grid"/>
    <w:basedOn w:val="a1"/>
    <w:uiPriority w:val="59"/>
    <w:qFormat/>
    <w:rsid w:val="002F6968"/>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qFormat/>
    <w:rsid w:val="002F6968"/>
    <w:rPr>
      <w:sz w:val="21"/>
    </w:rPr>
  </w:style>
  <w:style w:type="character" w:customStyle="1" w:styleId="Char3">
    <w:name w:val="页眉 Char"/>
    <w:basedOn w:val="a0"/>
    <w:link w:val="a7"/>
    <w:uiPriority w:val="99"/>
    <w:qFormat/>
    <w:rsid w:val="002F6968"/>
    <w:rPr>
      <w:sz w:val="18"/>
      <w:szCs w:val="18"/>
    </w:rPr>
  </w:style>
  <w:style w:type="character" w:customStyle="1" w:styleId="Char2">
    <w:name w:val="页脚 Char"/>
    <w:basedOn w:val="a0"/>
    <w:link w:val="a6"/>
    <w:uiPriority w:val="99"/>
    <w:qFormat/>
    <w:rsid w:val="002F6968"/>
    <w:rPr>
      <w:sz w:val="18"/>
      <w:szCs w:val="18"/>
    </w:rPr>
  </w:style>
  <w:style w:type="paragraph" w:styleId="ab">
    <w:name w:val="List Paragraph"/>
    <w:basedOn w:val="a"/>
    <w:uiPriority w:val="34"/>
    <w:qFormat/>
    <w:rsid w:val="002F6968"/>
    <w:pPr>
      <w:ind w:firstLineChars="200" w:firstLine="420"/>
    </w:pPr>
  </w:style>
  <w:style w:type="character" w:customStyle="1" w:styleId="Char1">
    <w:name w:val="批注框文本 Char"/>
    <w:basedOn w:val="a0"/>
    <w:link w:val="a5"/>
    <w:uiPriority w:val="99"/>
    <w:semiHidden/>
    <w:qFormat/>
    <w:rsid w:val="002F6968"/>
    <w:rPr>
      <w:rFonts w:ascii="Times New Roman" w:eastAsia="宋体" w:hAnsi="Times New Roman" w:cs="Times New Roman"/>
      <w:sz w:val="18"/>
      <w:szCs w:val="18"/>
    </w:rPr>
  </w:style>
  <w:style w:type="character" w:customStyle="1" w:styleId="Char">
    <w:name w:val="批注文字 Char"/>
    <w:basedOn w:val="a0"/>
    <w:link w:val="a3"/>
    <w:uiPriority w:val="99"/>
    <w:qFormat/>
    <w:rsid w:val="002F6968"/>
    <w:rPr>
      <w:rFonts w:ascii="Times New Roman" w:eastAsia="宋体" w:hAnsi="Times New Roman" w:cs="Times New Roman"/>
      <w:szCs w:val="20"/>
    </w:rPr>
  </w:style>
  <w:style w:type="paragraph" w:customStyle="1" w:styleId="CharCharCharChar1">
    <w:name w:val="Char Char Char Char1"/>
    <w:basedOn w:val="a"/>
    <w:qFormat/>
    <w:rsid w:val="002F6968"/>
    <w:rPr>
      <w:szCs w:val="20"/>
    </w:rPr>
  </w:style>
  <w:style w:type="paragraph" w:customStyle="1" w:styleId="CharCharCharChar11">
    <w:name w:val="Char Char Char Char11"/>
    <w:basedOn w:val="a"/>
    <w:qFormat/>
    <w:rsid w:val="002F6968"/>
    <w:rPr>
      <w:szCs w:val="20"/>
    </w:rPr>
  </w:style>
  <w:style w:type="paragraph" w:customStyle="1" w:styleId="CharChar">
    <w:name w:val="Char Char"/>
    <w:basedOn w:val="a"/>
    <w:qFormat/>
    <w:rsid w:val="002F6968"/>
    <w:rPr>
      <w:szCs w:val="20"/>
    </w:rPr>
  </w:style>
  <w:style w:type="paragraph" w:customStyle="1" w:styleId="CharChar1">
    <w:name w:val="Char Char1"/>
    <w:basedOn w:val="a"/>
    <w:qFormat/>
    <w:rsid w:val="002F6968"/>
    <w:rPr>
      <w:szCs w:val="20"/>
    </w:rPr>
  </w:style>
  <w:style w:type="paragraph" w:customStyle="1" w:styleId="10">
    <w:name w:val="修订1"/>
    <w:hidden/>
    <w:uiPriority w:val="99"/>
    <w:semiHidden/>
    <w:qFormat/>
    <w:rsid w:val="002F6968"/>
    <w:rPr>
      <w:rFonts w:ascii="Calibri" w:eastAsia="宋体" w:hAnsi="Calibri" w:cs="Times New Roman"/>
      <w:kern w:val="2"/>
      <w:sz w:val="21"/>
      <w:szCs w:val="22"/>
    </w:rPr>
  </w:style>
  <w:style w:type="paragraph" w:customStyle="1" w:styleId="11">
    <w:name w:val="列出段落1"/>
    <w:basedOn w:val="a"/>
    <w:uiPriority w:val="34"/>
    <w:qFormat/>
    <w:rsid w:val="002F6968"/>
    <w:pPr>
      <w:ind w:firstLineChars="200" w:firstLine="420"/>
    </w:pPr>
    <w:rPr>
      <w:rFonts w:ascii="Calibri" w:hAnsi="Calibri"/>
      <w:szCs w:val="22"/>
    </w:rPr>
  </w:style>
  <w:style w:type="paragraph" w:customStyle="1" w:styleId="20">
    <w:name w:val="列出段落2"/>
    <w:basedOn w:val="a"/>
    <w:uiPriority w:val="99"/>
    <w:qFormat/>
    <w:rsid w:val="002F6968"/>
    <w:pPr>
      <w:ind w:firstLineChars="200" w:firstLine="420"/>
    </w:pPr>
    <w:rPr>
      <w:rFonts w:ascii="Calibri" w:hAnsi="Calibri"/>
      <w:szCs w:val="22"/>
    </w:rPr>
  </w:style>
  <w:style w:type="paragraph" w:customStyle="1" w:styleId="CharChar2">
    <w:name w:val="Char Char2"/>
    <w:basedOn w:val="a"/>
    <w:qFormat/>
    <w:rsid w:val="002F6968"/>
    <w:rPr>
      <w:szCs w:val="20"/>
    </w:rPr>
  </w:style>
  <w:style w:type="paragraph" w:customStyle="1" w:styleId="30">
    <w:name w:val="列出段落3"/>
    <w:basedOn w:val="a"/>
    <w:uiPriority w:val="99"/>
    <w:qFormat/>
    <w:rsid w:val="002F6968"/>
    <w:pPr>
      <w:ind w:firstLineChars="200" w:firstLine="420"/>
    </w:pPr>
    <w:rPr>
      <w:rFonts w:ascii="Calibri" w:hAnsi="Calibri"/>
      <w:szCs w:val="22"/>
    </w:rPr>
  </w:style>
  <w:style w:type="paragraph" w:customStyle="1" w:styleId="21">
    <w:name w:val="修订2"/>
    <w:hidden/>
    <w:uiPriority w:val="99"/>
    <w:semiHidden/>
    <w:qFormat/>
    <w:rsid w:val="002F6968"/>
    <w:rPr>
      <w:rFonts w:ascii="Calibri" w:eastAsia="宋体" w:hAnsi="Calibri" w:cs="Times New Roman"/>
      <w:kern w:val="2"/>
      <w:sz w:val="21"/>
      <w:szCs w:val="22"/>
    </w:rPr>
  </w:style>
  <w:style w:type="character" w:customStyle="1" w:styleId="2Char">
    <w:name w:val="标题 2 Char"/>
    <w:basedOn w:val="a0"/>
    <w:link w:val="2"/>
    <w:qFormat/>
    <w:rsid w:val="002F6968"/>
    <w:rPr>
      <w:rFonts w:ascii="Arial" w:eastAsia="黑体" w:hAnsi="Arial" w:cs="Times New Roman"/>
      <w:b/>
      <w:bCs/>
      <w:sz w:val="32"/>
      <w:szCs w:val="32"/>
    </w:rPr>
  </w:style>
  <w:style w:type="character" w:customStyle="1" w:styleId="Char4">
    <w:name w:val="批注主题 Char"/>
    <w:basedOn w:val="Char"/>
    <w:link w:val="a8"/>
    <w:uiPriority w:val="99"/>
    <w:semiHidden/>
    <w:qFormat/>
    <w:rsid w:val="002F6968"/>
    <w:rPr>
      <w:rFonts w:ascii="Times New Roman" w:eastAsia="宋体" w:hAnsi="Times New Roman" w:cs="Times New Roman"/>
      <w:b/>
      <w:bCs/>
      <w:szCs w:val="24"/>
    </w:rPr>
  </w:style>
  <w:style w:type="character" w:customStyle="1" w:styleId="1Char">
    <w:name w:val="标题 1 Char"/>
    <w:basedOn w:val="a0"/>
    <w:link w:val="1"/>
    <w:uiPriority w:val="9"/>
    <w:qFormat/>
    <w:rsid w:val="002F6968"/>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qFormat/>
    <w:rsid w:val="002F6968"/>
    <w:rPr>
      <w:rFonts w:ascii="Times New Roman" w:eastAsia="宋体" w:hAnsi="Times New Roman" w:cs="Times New Roman"/>
      <w:b/>
      <w:bCs/>
      <w:sz w:val="32"/>
      <w:szCs w:val="32"/>
    </w:rPr>
  </w:style>
  <w:style w:type="character" w:customStyle="1" w:styleId="Char0">
    <w:name w:val="正文文本缩进 Char"/>
    <w:basedOn w:val="a0"/>
    <w:link w:val="a4"/>
    <w:qFormat/>
    <w:rsid w:val="002F6968"/>
    <w:rPr>
      <w:rFonts w:ascii="宋体" w:eastAsia="宋体" w:hAnsi="宋体" w:cs="Times New Roman"/>
      <w:sz w:val="24"/>
      <w:szCs w:val="20"/>
      <w:lang w:val="zh-CN" w:eastAsia="zh-CN"/>
    </w:rPr>
  </w:style>
  <w:style w:type="character" w:customStyle="1" w:styleId="read">
    <w:name w:val="read"/>
    <w:basedOn w:val="a0"/>
    <w:qFormat/>
    <w:rsid w:val="002F6968"/>
  </w:style>
  <w:style w:type="paragraph" w:customStyle="1" w:styleId="31">
    <w:name w:val="修订3"/>
    <w:hidden/>
    <w:uiPriority w:val="99"/>
    <w:semiHidden/>
    <w:qFormat/>
    <w:rsid w:val="002F6968"/>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22349-EA8B-4034-8B10-BE76ECE6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2611</Characters>
  <Application>Microsoft Office Word</Application>
  <DocSecurity>4</DocSecurity>
  <Lines>21</Lines>
  <Paragraphs>6</Paragraphs>
  <ScaleCrop>false</ScaleCrop>
  <Company>Microsoft</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cp:lastPrinted>2017-10-12T08:39:00Z</cp:lastPrinted>
  <dcterms:created xsi:type="dcterms:W3CDTF">2025-12-08T16:02:00Z</dcterms:created>
  <dcterms:modified xsi:type="dcterms:W3CDTF">2025-12-08T16:02:00Z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AB689307918745589F583CC4FBD78772_13</vt:lpwstr>
  </property>
</Properties>
</file>