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543ACF">
      <w:pPr>
        <w:jc w:val="center"/>
        <w:rPr>
          <w:rFonts w:ascii="宋体" w:hAnsi="宋体"/>
          <w:b/>
          <w:sz w:val="48"/>
          <w:szCs w:val="48"/>
        </w:rPr>
      </w:pPr>
      <w:bookmarkStart w:id="0" w:name="t_3_0_0002_a2_fm1"/>
      <w:bookmarkStart w:id="1" w:name="t_3_0_table"/>
      <w:bookmarkEnd w:id="0"/>
      <w:bookmarkEnd w:id="1"/>
      <w:r>
        <w:rPr>
          <w:rFonts w:ascii="宋体" w:hAnsi="宋体" w:hint="eastAsia"/>
          <w:b/>
          <w:sz w:val="48"/>
          <w:szCs w:val="48"/>
        </w:rPr>
        <w:t>关于</w:t>
      </w:r>
      <w:r>
        <w:rPr>
          <w:rFonts w:ascii="宋体" w:hAnsi="宋体" w:hint="eastAsia"/>
          <w:b/>
          <w:sz w:val="48"/>
          <w:szCs w:val="48"/>
        </w:rPr>
        <w:t>红土创新丰泽中短债债券型证券投资基金限制大额申购业务的</w:t>
      </w:r>
      <w:r>
        <w:rPr>
          <w:rFonts w:ascii="宋体" w:hAnsi="宋体"/>
          <w:b/>
          <w:sz w:val="48"/>
          <w:szCs w:val="48"/>
        </w:rPr>
        <w:t>公告</w:t>
      </w:r>
    </w:p>
    <w:p w:rsidR="00EA2271" w:rsidRDefault="00EA2271">
      <w:pPr>
        <w:jc w:val="center"/>
        <w:rPr>
          <w:rFonts w:ascii="宋体" w:hAnsi="宋体"/>
          <w:sz w:val="30"/>
        </w:rPr>
      </w:pPr>
    </w:p>
    <w:p w:rsidR="00EA2271" w:rsidRDefault="00EA2271">
      <w:pPr>
        <w:jc w:val="center"/>
        <w:rPr>
          <w:rFonts w:ascii="宋体" w:hAnsi="宋体"/>
          <w:sz w:val="30"/>
        </w:rPr>
      </w:pPr>
    </w:p>
    <w:p w:rsidR="00EA2271" w:rsidRDefault="00EA2271">
      <w:pPr>
        <w:jc w:val="center"/>
        <w:rPr>
          <w:rFonts w:ascii="宋体" w:hAnsi="宋体"/>
          <w:sz w:val="30"/>
        </w:rPr>
      </w:pPr>
    </w:p>
    <w:p w:rsidR="00EA2271" w:rsidRDefault="00EA2271">
      <w:pPr>
        <w:jc w:val="center"/>
        <w:rPr>
          <w:rFonts w:ascii="宋体" w:hAnsi="宋体"/>
          <w:sz w:val="30"/>
        </w:rPr>
      </w:pPr>
    </w:p>
    <w:p w:rsidR="00EA2271" w:rsidRDefault="00EA2271">
      <w:pPr>
        <w:jc w:val="center"/>
        <w:rPr>
          <w:rFonts w:ascii="宋体" w:hAnsi="宋体"/>
          <w:sz w:val="30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543ACF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12</w:t>
      </w:r>
      <w:r>
        <w:rPr>
          <w:rFonts w:ascii="宋体" w:hAnsi="宋体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9</w:t>
      </w:r>
      <w:r>
        <w:rPr>
          <w:rFonts w:ascii="宋体" w:hAnsi="宋体"/>
          <w:b/>
          <w:sz w:val="28"/>
          <w:szCs w:val="28"/>
        </w:rPr>
        <w:t>日</w:t>
      </w: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EA2271">
      <w:pPr>
        <w:rPr>
          <w:sz w:val="24"/>
        </w:rPr>
      </w:pPr>
    </w:p>
    <w:p w:rsidR="00EA2271" w:rsidRDefault="00543ACF">
      <w:pPr>
        <w:pStyle w:val="2"/>
        <w:numPr>
          <w:ilvl w:val="0"/>
          <w:numId w:val="1"/>
        </w:numPr>
        <w:spacing w:after="0"/>
        <w:rPr>
          <w:rFonts w:ascii="宋体" w:eastAsia="宋体" w:hAnsi="宋体"/>
          <w:sz w:val="24"/>
        </w:rPr>
      </w:pPr>
      <w:bookmarkStart w:id="3" w:name="t_3_1_1_table"/>
      <w:bookmarkEnd w:id="3"/>
      <w:r>
        <w:rPr>
          <w:rFonts w:ascii="宋体" w:eastAsia="宋体" w:hAnsi="宋体" w:hint="eastAsia"/>
          <w:sz w:val="24"/>
        </w:rPr>
        <w:lastRenderedPageBreak/>
        <w:t xml:space="preserve"> </w:t>
      </w:r>
      <w:bookmarkStart w:id="4" w:name="m01"/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3261"/>
        <w:gridCol w:w="2163"/>
        <w:gridCol w:w="1695"/>
      </w:tblGrid>
      <w:tr w:rsidR="00EA2271">
        <w:tc>
          <w:tcPr>
            <w:tcW w:w="4962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5" w:name="m01_tab"/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858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6" w:name="t_3_1_1_0009_a1_fm1"/>
            <w:bookmarkEnd w:id="6"/>
            <w:r>
              <w:rPr>
                <w:rFonts w:ascii="宋体" w:hAnsi="宋体" w:hint="eastAsia"/>
                <w:szCs w:val="21"/>
              </w:rPr>
              <w:t>红土创新丰泽中短债债券型证券投资基金</w:t>
            </w:r>
          </w:p>
        </w:tc>
      </w:tr>
      <w:tr w:rsidR="00EA2271">
        <w:tc>
          <w:tcPr>
            <w:tcW w:w="4962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858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7" w:name="t_3_1_1_0011_a1_fm1"/>
            <w:bookmarkEnd w:id="7"/>
            <w:r>
              <w:rPr>
                <w:rFonts w:ascii="宋体" w:hAnsi="宋体" w:hint="eastAsia"/>
                <w:szCs w:val="21"/>
              </w:rPr>
              <w:t>红土创新丰泽中短债</w:t>
            </w:r>
          </w:p>
        </w:tc>
      </w:tr>
      <w:tr w:rsidR="00EA2271">
        <w:tc>
          <w:tcPr>
            <w:tcW w:w="4962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858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8" w:name="t_1_1_0012_a1_fm1"/>
            <w:bookmarkEnd w:id="8"/>
            <w:r>
              <w:rPr>
                <w:rFonts w:ascii="宋体" w:hAnsi="宋体" w:hint="eastAsia"/>
                <w:szCs w:val="21"/>
              </w:rPr>
              <w:t>015844</w:t>
            </w:r>
          </w:p>
        </w:tc>
      </w:tr>
      <w:tr w:rsidR="00EA2271">
        <w:tc>
          <w:tcPr>
            <w:tcW w:w="4962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858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9" w:name="t_3_1_1_0186_a1_fm1"/>
            <w:bookmarkEnd w:id="9"/>
            <w:r>
              <w:rPr>
                <w:rFonts w:ascii="宋体" w:hAnsi="宋体" w:hint="eastAsia"/>
                <w:szCs w:val="21"/>
              </w:rPr>
              <w:t>红土创新基金管理有限公司</w:t>
            </w:r>
          </w:p>
        </w:tc>
      </w:tr>
      <w:tr w:rsidR="00EA2271">
        <w:tc>
          <w:tcPr>
            <w:tcW w:w="4962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858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10" w:name="t_3_1_1_2631_a1_fm1"/>
            <w:bookmarkEnd w:id="10"/>
            <w:r>
              <w:rPr>
                <w:rFonts w:ascii="宋体" w:hAnsi="宋体" w:hint="eastAsia"/>
                <w:szCs w:val="21"/>
              </w:rPr>
              <w:t>根据有关法律法规及</w:t>
            </w:r>
            <w:r>
              <w:rPr>
                <w:rFonts w:ascii="宋体" w:hAnsi="宋体" w:hint="eastAsia"/>
                <w:szCs w:val="21"/>
              </w:rPr>
              <w:t>《红土创新丰泽中短债债券型证券投资基金基金合同》、《红土创新丰泽中短债债券型证券投资基金招募说明书》</w:t>
            </w:r>
            <w:r>
              <w:rPr>
                <w:rFonts w:ascii="宋体" w:hAnsi="宋体" w:hint="eastAsia"/>
                <w:szCs w:val="21"/>
              </w:rPr>
              <w:t>等的规定</w:t>
            </w:r>
          </w:p>
        </w:tc>
      </w:tr>
      <w:tr w:rsidR="00EA2271">
        <w:tc>
          <w:tcPr>
            <w:tcW w:w="1701" w:type="dxa"/>
            <w:vMerge w:val="restart"/>
            <w:vAlign w:val="center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3261" w:type="dxa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暂停大额申购（含基金转换转入和定投业务）起始日</w:t>
            </w:r>
          </w:p>
        </w:tc>
        <w:tc>
          <w:tcPr>
            <w:tcW w:w="3858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11" w:name="t_3_1_1_2797_a1_fm1"/>
            <w:bookmarkEnd w:id="11"/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A2271">
        <w:tc>
          <w:tcPr>
            <w:tcW w:w="1701" w:type="dxa"/>
            <w:vMerge/>
          </w:tcPr>
          <w:p w:rsidR="00EA2271" w:rsidRDefault="00EA227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限制申购（含基金转换转入和定投业务）金额（单位：人民币元）</w:t>
            </w:r>
          </w:p>
        </w:tc>
        <w:tc>
          <w:tcPr>
            <w:tcW w:w="3858" w:type="dxa"/>
            <w:gridSpan w:val="2"/>
          </w:tcPr>
          <w:p w:rsidR="00EA2271" w:rsidRDefault="00543ACF">
            <w:pPr>
              <w:jc w:val="left"/>
              <w:rPr>
                <w:rFonts w:ascii="宋体" w:hAnsi="宋体"/>
                <w:szCs w:val="21"/>
              </w:rPr>
            </w:pPr>
            <w:bookmarkStart w:id="12" w:name="t_3_1_1_2801_a1_fm2210"/>
            <w:bookmarkEnd w:id="12"/>
            <w:r>
              <w:rPr>
                <w:rFonts w:ascii="宋体" w:hAnsi="宋体" w:hint="eastAsia"/>
                <w:szCs w:val="21"/>
              </w:rPr>
              <w:t>单个基金账户当日累计</w:t>
            </w:r>
            <w:r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万以上（不含</w:t>
            </w:r>
            <w:r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万）</w:t>
            </w:r>
          </w:p>
        </w:tc>
      </w:tr>
      <w:tr w:rsidR="00EA2271">
        <w:tc>
          <w:tcPr>
            <w:tcW w:w="1701" w:type="dxa"/>
            <w:vMerge/>
          </w:tcPr>
          <w:p w:rsidR="00EA2271" w:rsidRDefault="00EA227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13" w:name="t_3_1_3_fj_table"/>
            <w:bookmarkEnd w:id="13"/>
            <w:r>
              <w:rPr>
                <w:rFonts w:ascii="宋体" w:hAnsi="宋体" w:hint="eastAsia"/>
                <w:szCs w:val="21"/>
              </w:rPr>
              <w:t>暂停大额申购（含基金转换转入和定投业务）的原因说明</w:t>
            </w:r>
          </w:p>
        </w:tc>
        <w:tc>
          <w:tcPr>
            <w:tcW w:w="3858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14" w:name="t_3_1_3_fj_2805_a1_fm1"/>
            <w:bookmarkEnd w:id="14"/>
            <w:r>
              <w:rPr>
                <w:rFonts w:ascii="宋体" w:hAnsi="宋体" w:hint="eastAsia"/>
                <w:szCs w:val="21"/>
              </w:rPr>
              <w:t>保护基金份额持有人的利益</w:t>
            </w:r>
          </w:p>
        </w:tc>
      </w:tr>
      <w:tr w:rsidR="00EA2271">
        <w:tc>
          <w:tcPr>
            <w:tcW w:w="4962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下属分级基金的基金简称</w:t>
            </w:r>
          </w:p>
        </w:tc>
        <w:tc>
          <w:tcPr>
            <w:tcW w:w="2163" w:type="dxa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15" w:name="t_3_1_3_fj_0011A_a1_fm1"/>
            <w:bookmarkEnd w:id="15"/>
            <w:r>
              <w:rPr>
                <w:rFonts w:ascii="宋体" w:hAnsi="宋体" w:hint="eastAsia"/>
                <w:szCs w:val="21"/>
              </w:rPr>
              <w:t>红土创新丰泽中短债</w:t>
            </w:r>
            <w:r>
              <w:rPr>
                <w:rFonts w:ascii="宋体" w:hAnsi="宋体" w:hint="eastAsia"/>
                <w:szCs w:val="21"/>
              </w:rPr>
              <w:t xml:space="preserve"> A</w:t>
            </w:r>
          </w:p>
        </w:tc>
        <w:tc>
          <w:tcPr>
            <w:tcW w:w="1695" w:type="dxa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16" w:name="t_3_1_3_fj_0011B_a1_fm1"/>
            <w:bookmarkStart w:id="17" w:name="t_3_1_3_fj_0011C_a1_fm1"/>
            <w:bookmarkEnd w:id="16"/>
            <w:bookmarkEnd w:id="17"/>
            <w:r>
              <w:rPr>
                <w:rFonts w:ascii="宋体" w:hAnsi="宋体" w:hint="eastAsia"/>
                <w:szCs w:val="21"/>
              </w:rPr>
              <w:t>红土创新丰泽中短债</w:t>
            </w:r>
            <w:r>
              <w:rPr>
                <w:rFonts w:ascii="宋体" w:hAnsi="宋体" w:hint="eastAsia"/>
                <w:szCs w:val="21"/>
              </w:rPr>
              <w:t xml:space="preserve"> C</w:t>
            </w:r>
          </w:p>
        </w:tc>
      </w:tr>
      <w:tr w:rsidR="00EA2271">
        <w:tc>
          <w:tcPr>
            <w:tcW w:w="4962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下属分级基金的交易代码</w:t>
            </w:r>
          </w:p>
        </w:tc>
        <w:tc>
          <w:tcPr>
            <w:tcW w:w="2163" w:type="dxa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18" w:name="t_3_1_3_fj_0012A_a1_fm1"/>
            <w:bookmarkEnd w:id="18"/>
            <w:r>
              <w:rPr>
                <w:rFonts w:ascii="宋体" w:hAnsi="宋体" w:hint="eastAsia"/>
                <w:szCs w:val="21"/>
              </w:rPr>
              <w:t>015844</w:t>
            </w:r>
          </w:p>
        </w:tc>
        <w:tc>
          <w:tcPr>
            <w:tcW w:w="1695" w:type="dxa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015845</w:t>
            </w:r>
          </w:p>
        </w:tc>
      </w:tr>
      <w:tr w:rsidR="00EA2271">
        <w:tc>
          <w:tcPr>
            <w:tcW w:w="4962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该分级基金是否暂停大额申购（含基金转换转入和定投业务）</w:t>
            </w:r>
          </w:p>
        </w:tc>
        <w:tc>
          <w:tcPr>
            <w:tcW w:w="2163" w:type="dxa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19" w:name="t_3_1_3_fj_2810A_a1_fm1"/>
            <w:bookmarkEnd w:id="19"/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695" w:type="dxa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bookmarkStart w:id="20" w:name="t_3_1_3_fj_2810C_a1_fm1"/>
            <w:bookmarkStart w:id="21" w:name="t_3_1_3_fj_2810B_a1_fm1"/>
            <w:bookmarkEnd w:id="20"/>
            <w:bookmarkEnd w:id="21"/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EA2271">
        <w:tc>
          <w:tcPr>
            <w:tcW w:w="4962" w:type="dxa"/>
            <w:gridSpan w:val="2"/>
          </w:tcPr>
          <w:p w:rsidR="00EA2271" w:rsidRDefault="00543A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下属分级基金的限制申购（含基金转换转入和定投业务）金额（单位：人民币元）</w:t>
            </w:r>
          </w:p>
        </w:tc>
        <w:tc>
          <w:tcPr>
            <w:tcW w:w="2163" w:type="dxa"/>
          </w:tcPr>
          <w:p w:rsidR="00EA2271" w:rsidRDefault="00543ACF">
            <w:pPr>
              <w:jc w:val="left"/>
              <w:rPr>
                <w:rFonts w:ascii="宋体" w:hAnsi="宋体"/>
                <w:szCs w:val="21"/>
              </w:rPr>
            </w:pPr>
            <w:bookmarkStart w:id="22" w:name="t_3_1_3_fj_2800A_a1_fm2210"/>
            <w:bookmarkEnd w:id="22"/>
            <w:r>
              <w:rPr>
                <w:rFonts w:ascii="宋体" w:hAnsi="宋体" w:hint="eastAsia"/>
                <w:szCs w:val="21"/>
              </w:rPr>
              <w:t>单个基金账户当日累计</w:t>
            </w:r>
            <w:r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万以上（不含</w:t>
            </w:r>
            <w:r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万）</w:t>
            </w:r>
          </w:p>
        </w:tc>
        <w:tc>
          <w:tcPr>
            <w:tcW w:w="1695" w:type="dxa"/>
          </w:tcPr>
          <w:p w:rsidR="00EA2271" w:rsidRDefault="00543ACF">
            <w:pPr>
              <w:jc w:val="left"/>
              <w:rPr>
                <w:rFonts w:ascii="宋体" w:hAnsi="宋体"/>
                <w:szCs w:val="21"/>
              </w:rPr>
            </w:pPr>
            <w:bookmarkStart w:id="23" w:name="t_3_1_3_fj_2800B_a1_fm2210"/>
            <w:bookmarkStart w:id="24" w:name="t_3_1_3_fj_2800C_a1_fm2210"/>
            <w:bookmarkEnd w:id="23"/>
            <w:bookmarkEnd w:id="24"/>
            <w:r>
              <w:rPr>
                <w:rFonts w:ascii="宋体" w:hAnsi="宋体" w:hint="eastAsia"/>
                <w:szCs w:val="21"/>
              </w:rPr>
              <w:t>单个基金账户当日累计</w:t>
            </w:r>
            <w:r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万以上（不含</w:t>
            </w:r>
            <w:r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万）</w:t>
            </w:r>
          </w:p>
        </w:tc>
      </w:tr>
    </w:tbl>
    <w:p w:rsidR="00EA2271" w:rsidRDefault="00EA2271">
      <w:pPr>
        <w:spacing w:line="360" w:lineRule="auto"/>
        <w:jc w:val="left"/>
        <w:rPr>
          <w:rFonts w:ascii="宋体" w:hAnsi="宋体"/>
          <w:szCs w:val="21"/>
        </w:rPr>
      </w:pPr>
      <w:bookmarkStart w:id="25" w:name="t_3_1_4_fj_table"/>
      <w:bookmarkStart w:id="26" w:name="t_3_1_4_fj_2803_a1_fm1"/>
      <w:bookmarkEnd w:id="5"/>
      <w:bookmarkEnd w:id="25"/>
      <w:bookmarkEnd w:id="26"/>
    </w:p>
    <w:bookmarkEnd w:id="4"/>
    <w:p w:rsidR="00EA2271" w:rsidRDefault="00543ACF" w:rsidP="00543ACF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bookmarkStart w:id="27" w:name="t_3_2_table"/>
      <w:bookmarkEnd w:id="27"/>
      <w:r>
        <w:rPr>
          <w:rFonts w:ascii="宋体" w:eastAsia="宋体" w:hAnsi="宋体" w:hint="eastAsia"/>
          <w:sz w:val="24"/>
        </w:rPr>
        <w:t>其他需要提示的事项</w:t>
      </w:r>
    </w:p>
    <w:p w:rsidR="00EA2271" w:rsidRDefault="00543ACF">
      <w:pPr>
        <w:spacing w:line="276" w:lineRule="auto"/>
        <w:ind w:firstLineChars="200" w:firstLine="420"/>
        <w:jc w:val="left"/>
        <w:rPr>
          <w:rFonts w:ascii="宋体" w:hAnsi="宋体"/>
          <w:szCs w:val="21"/>
        </w:rPr>
      </w:pPr>
      <w:bookmarkStart w:id="28" w:name="t_3_2_2646_a1_fm1"/>
      <w:bookmarkStart w:id="29" w:name="OLE_LINK1"/>
      <w:bookmarkStart w:id="30" w:name="OLE_LINK2"/>
      <w:bookmarkEnd w:id="28"/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/>
          <w:szCs w:val="21"/>
        </w:rPr>
        <w:t>日</w:t>
      </w:r>
      <w:r>
        <w:rPr>
          <w:rFonts w:ascii="宋体" w:hAnsi="宋体" w:hint="eastAsia"/>
          <w:szCs w:val="21"/>
        </w:rPr>
        <w:t>起</w:t>
      </w:r>
      <w:r>
        <w:rPr>
          <w:rFonts w:ascii="宋体" w:hAnsi="宋体" w:hint="eastAsia"/>
          <w:szCs w:val="21"/>
        </w:rPr>
        <w:t>，本基金单日每个基金账户的申购、转换转入、定期定额投资累计金额应不超过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 xml:space="preserve">00 </w:t>
      </w:r>
      <w:r>
        <w:rPr>
          <w:rFonts w:ascii="宋体" w:hAnsi="宋体" w:hint="eastAsia"/>
          <w:szCs w:val="21"/>
        </w:rPr>
        <w:t>万元（本基金</w:t>
      </w:r>
      <w:r>
        <w:rPr>
          <w:rFonts w:ascii="宋体" w:hAnsi="宋体" w:hint="eastAsia"/>
          <w:szCs w:val="21"/>
        </w:rPr>
        <w:t xml:space="preserve"> A,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两类基金份额申请金额予以合计）。如单日每个基金账户的申购、转换转入、定期定额投资累计金额超过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 xml:space="preserve">00 </w:t>
      </w:r>
      <w:r>
        <w:rPr>
          <w:rFonts w:ascii="宋体" w:hAnsi="宋体" w:hint="eastAsia"/>
          <w:szCs w:val="21"/>
        </w:rPr>
        <w:t>万元，本基金管理人有权拒绝。</w:t>
      </w:r>
    </w:p>
    <w:bookmarkEnd w:id="29"/>
    <w:bookmarkEnd w:id="30"/>
    <w:p w:rsidR="00EA2271" w:rsidRDefault="00543ACF">
      <w:pPr>
        <w:spacing w:line="276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）在本基金暂停大额申购、转换转入、定期定额投资业务期间，其它业务正常办理。本基金恢复办理大额申购、转换转入、定期定额投资业务</w:t>
      </w:r>
      <w:r>
        <w:rPr>
          <w:rFonts w:ascii="宋体" w:hAnsi="宋体" w:hint="eastAsia"/>
          <w:szCs w:val="21"/>
        </w:rPr>
        <w:t>的日期请以届时发布的公告为准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 xml:space="preserve"> </w:t>
      </w:r>
      <w:bookmarkStart w:id="31" w:name="_GoBack"/>
      <w:bookmarkEnd w:id="31"/>
    </w:p>
    <w:p w:rsidR="00EA2271" w:rsidRDefault="00543ACF">
      <w:pPr>
        <w:spacing w:line="276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投资人可访问本公司网站</w:t>
      </w:r>
      <w:r>
        <w:rPr>
          <w:rFonts w:ascii="宋体" w:hAnsi="宋体"/>
          <w:szCs w:val="21"/>
        </w:rPr>
        <w:t>(www.htcxfund.com)</w:t>
      </w:r>
      <w:r>
        <w:rPr>
          <w:rFonts w:ascii="宋体" w:hAnsi="宋体"/>
          <w:szCs w:val="21"/>
        </w:rPr>
        <w:t>或拨打客户服务电话（</w:t>
      </w:r>
      <w:r>
        <w:rPr>
          <w:rFonts w:ascii="宋体" w:hAnsi="宋体"/>
          <w:szCs w:val="21"/>
        </w:rPr>
        <w:t>400</w:t>
      </w:r>
      <w:r>
        <w:rPr>
          <w:rFonts w:ascii="宋体" w:hAnsi="宋体"/>
          <w:szCs w:val="21"/>
        </w:rPr>
        <w:t>－</w:t>
      </w:r>
      <w:r>
        <w:rPr>
          <w:rFonts w:ascii="宋体" w:hAnsi="宋体"/>
          <w:szCs w:val="21"/>
        </w:rPr>
        <w:t>060</w:t>
      </w:r>
      <w:r>
        <w:rPr>
          <w:rFonts w:ascii="宋体" w:hAnsi="宋体"/>
          <w:szCs w:val="21"/>
        </w:rPr>
        <w:t>－</w:t>
      </w:r>
      <w:r>
        <w:rPr>
          <w:rFonts w:ascii="宋体" w:hAnsi="宋体"/>
          <w:szCs w:val="21"/>
        </w:rPr>
        <w:t>3333</w:t>
      </w:r>
      <w:r>
        <w:rPr>
          <w:rFonts w:ascii="宋体" w:hAnsi="宋体"/>
          <w:szCs w:val="21"/>
        </w:rPr>
        <w:t>）咨询相关情况。</w:t>
      </w:r>
    </w:p>
    <w:p w:rsidR="00EA2271" w:rsidRDefault="00543ACF">
      <w:pPr>
        <w:spacing w:line="276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EA2271" w:rsidRDefault="00EA2271">
      <w:pPr>
        <w:spacing w:line="276" w:lineRule="auto"/>
        <w:jc w:val="left"/>
        <w:rPr>
          <w:rFonts w:ascii="宋体" w:hAnsi="宋体"/>
          <w:szCs w:val="21"/>
        </w:rPr>
      </w:pPr>
    </w:p>
    <w:p w:rsidR="00EA2271" w:rsidRDefault="00EA2271">
      <w:pPr>
        <w:spacing w:line="276" w:lineRule="auto"/>
        <w:jc w:val="left"/>
        <w:rPr>
          <w:rFonts w:ascii="宋体" w:hAnsi="宋体"/>
          <w:szCs w:val="21"/>
        </w:rPr>
      </w:pPr>
    </w:p>
    <w:p w:rsidR="00EA2271" w:rsidRDefault="00543ACF">
      <w:pPr>
        <w:spacing w:line="276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红土创新基金管理有限公司</w:t>
      </w:r>
    </w:p>
    <w:p w:rsidR="00EA2271" w:rsidRDefault="00543ACF">
      <w:pPr>
        <w:spacing w:line="276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 w:val="24"/>
          <w:szCs w:val="30"/>
        </w:rPr>
        <w:t>20</w:t>
      </w:r>
      <w:r>
        <w:rPr>
          <w:rFonts w:ascii="宋体" w:hAnsi="宋体" w:hint="eastAsia"/>
          <w:sz w:val="24"/>
          <w:szCs w:val="30"/>
        </w:rPr>
        <w:t>2</w:t>
      </w:r>
      <w:r>
        <w:rPr>
          <w:rFonts w:ascii="宋体" w:hAnsi="宋体" w:hint="eastAsia"/>
          <w:sz w:val="24"/>
          <w:szCs w:val="30"/>
        </w:rPr>
        <w:t>5</w:t>
      </w:r>
      <w:r>
        <w:rPr>
          <w:rFonts w:ascii="宋体" w:hAnsi="宋体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12</w:t>
      </w:r>
      <w:r>
        <w:rPr>
          <w:rFonts w:ascii="宋体" w:hAnsi="宋体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9</w:t>
      </w:r>
      <w:r>
        <w:rPr>
          <w:rFonts w:ascii="宋体" w:hAnsi="宋体"/>
          <w:sz w:val="24"/>
          <w:szCs w:val="30"/>
        </w:rPr>
        <w:t>日</w:t>
      </w:r>
    </w:p>
    <w:sectPr w:rsidR="00EA2271" w:rsidSect="00EA2271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271" w:rsidRDefault="00EA2271" w:rsidP="00EA2271">
      <w:r>
        <w:separator/>
      </w:r>
    </w:p>
  </w:endnote>
  <w:endnote w:type="continuationSeparator" w:id="0">
    <w:p w:rsidR="00EA2271" w:rsidRDefault="00EA2271" w:rsidP="00EA2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271" w:rsidRDefault="00543ACF">
    <w:pPr>
      <w:pStyle w:val="a3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EA2271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EA2271">
      <w:fldChar w:fldCharType="separate"/>
    </w:r>
    <w:r>
      <w:rPr>
        <w:noProof/>
      </w:rPr>
      <w:t>1</w:t>
    </w:r>
    <w:r w:rsidR="00EA2271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271" w:rsidRDefault="00EA2271" w:rsidP="00EA2271">
      <w:r>
        <w:separator/>
      </w:r>
    </w:p>
  </w:footnote>
  <w:footnote w:type="continuationSeparator" w:id="0">
    <w:p w:rsidR="00EA2271" w:rsidRDefault="00EA2271" w:rsidP="00EA2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271" w:rsidRDefault="00543ACF">
    <w:pPr>
      <w:pStyle w:val="a4"/>
      <w:jc w:val="right"/>
    </w:pPr>
    <w:r>
      <w:rPr>
        <w:rFonts w:hint="eastAsia"/>
      </w:rPr>
      <w:t>关于</w:t>
    </w:r>
    <w:r>
      <w:rPr>
        <w:rFonts w:hint="eastAsia"/>
      </w:rPr>
      <w:t>红土创新丰泽中短债债券型</w:t>
    </w:r>
    <w:r>
      <w:rPr>
        <w:rFonts w:hint="eastAsia"/>
      </w:rPr>
      <w:t>证券投资基金限制大额申购业务的公告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7628"/>
    <w:multiLevelType w:val="multilevel"/>
    <w:tmpl w:val="2152762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55A6A"/>
    <w:rsid w:val="001F4D0A"/>
    <w:rsid w:val="002C7F99"/>
    <w:rsid w:val="003570E4"/>
    <w:rsid w:val="00543ACF"/>
    <w:rsid w:val="00555A6A"/>
    <w:rsid w:val="00572054"/>
    <w:rsid w:val="006E7611"/>
    <w:rsid w:val="00757D95"/>
    <w:rsid w:val="007A6D7F"/>
    <w:rsid w:val="0080568F"/>
    <w:rsid w:val="008323C0"/>
    <w:rsid w:val="009A48FC"/>
    <w:rsid w:val="009C35EA"/>
    <w:rsid w:val="00DA74A2"/>
    <w:rsid w:val="00EA2271"/>
    <w:rsid w:val="00EB778B"/>
    <w:rsid w:val="00EE0BC4"/>
    <w:rsid w:val="12B50F43"/>
    <w:rsid w:val="1434512F"/>
    <w:rsid w:val="33DF4F8F"/>
    <w:rsid w:val="3E475B76"/>
    <w:rsid w:val="49AA74F2"/>
    <w:rsid w:val="52232EA0"/>
    <w:rsid w:val="7B48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71"/>
    <w:pPr>
      <w:widowControl w:val="0"/>
      <w:jc w:val="both"/>
    </w:pPr>
    <w:rPr>
      <w:rFonts w:ascii="Calibri" w:hAnsi="Calibri"/>
      <w:kern w:val="2"/>
      <w:sz w:val="21"/>
    </w:rPr>
  </w:style>
  <w:style w:type="paragraph" w:styleId="2">
    <w:name w:val="heading 2"/>
    <w:basedOn w:val="a"/>
    <w:next w:val="a"/>
    <w:link w:val="2Char"/>
    <w:qFormat/>
    <w:rsid w:val="00EA227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A22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paragraph" w:styleId="a4">
    <w:name w:val="header"/>
    <w:basedOn w:val="a"/>
    <w:link w:val="Char10"/>
    <w:rsid w:val="00EA2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2Char">
    <w:name w:val="标题 2 Char"/>
    <w:basedOn w:val="a0"/>
    <w:link w:val="2"/>
    <w:qFormat/>
    <w:rsid w:val="00EA2271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页眉 Char"/>
    <w:link w:val="a4"/>
    <w:rsid w:val="00EA2271"/>
    <w:rPr>
      <w:sz w:val="18"/>
    </w:rPr>
  </w:style>
  <w:style w:type="character" w:customStyle="1" w:styleId="Char0">
    <w:name w:val="页脚 Char"/>
    <w:link w:val="a3"/>
    <w:qFormat/>
    <w:rsid w:val="00EA2271"/>
    <w:rPr>
      <w:sz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A2271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A227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4</DocSecurity>
  <Lines>6</Lines>
  <Paragraphs>1</Paragraphs>
  <ScaleCrop>false</ScaleCrop>
  <Company>Lenovo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dcterms:created xsi:type="dcterms:W3CDTF">2025-12-08T16:01:00Z</dcterms:created>
  <dcterms:modified xsi:type="dcterms:W3CDTF">2025-12-08T16:01:00Z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