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5A" w:rsidRDefault="00AD6A5A"/>
    <w:p w:rsidR="00AD6A5A" w:rsidRDefault="00F10444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博时北证</w:t>
      </w:r>
      <w:r>
        <w:rPr>
          <w:rFonts w:ascii="宋体" w:eastAsia="宋体" w:hAnsi="宋体" w:hint="eastAsia"/>
          <w:b/>
          <w:sz w:val="30"/>
        </w:rPr>
        <w:t>50</w:t>
      </w:r>
      <w:r>
        <w:rPr>
          <w:rFonts w:ascii="宋体" w:eastAsia="宋体" w:hAnsi="宋体" w:hint="eastAsia"/>
          <w:b/>
          <w:sz w:val="30"/>
        </w:rPr>
        <w:t>成份指数型发起式证券投资基金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大额申购、转换转入、定期定额投资业务的公告</w:t>
      </w:r>
    </w:p>
    <w:p w:rsidR="00AD6A5A" w:rsidRDefault="00F10444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12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9</w:t>
      </w:r>
      <w:r>
        <w:rPr>
          <w:rFonts w:ascii="宋体" w:eastAsia="宋体" w:hAnsi="宋体"/>
          <w:b/>
          <w:sz w:val="24"/>
        </w:rPr>
        <w:t>日</w:t>
      </w:r>
    </w:p>
    <w:p w:rsidR="00AD6A5A" w:rsidRDefault="00AD6A5A">
      <w:pPr>
        <w:jc w:val="center"/>
        <w:rPr>
          <w:rFonts w:ascii="宋体" w:eastAsia="宋体" w:hAnsi="宋体"/>
          <w:b/>
          <w:sz w:val="24"/>
        </w:rPr>
      </w:pPr>
      <w:bookmarkStart w:id="0" w:name="_GoBack"/>
      <w:bookmarkEnd w:id="0"/>
    </w:p>
    <w:p w:rsidR="00AD6A5A" w:rsidRDefault="00F10444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AD6A5A">
        <w:tc>
          <w:tcPr>
            <w:tcW w:w="4260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博时北证</w:t>
            </w:r>
            <w:r>
              <w:rPr>
                <w:rFonts w:ascii="宋体" w:eastAsia="宋体" w:hAnsi="宋体"/>
                <w:sz w:val="24"/>
              </w:rPr>
              <w:t>50</w:t>
            </w:r>
            <w:r>
              <w:rPr>
                <w:rFonts w:ascii="宋体" w:eastAsia="宋体" w:hAnsi="宋体"/>
                <w:sz w:val="24"/>
              </w:rPr>
              <w:t>成份指数型发起式证券投资基金</w:t>
            </w:r>
          </w:p>
        </w:tc>
      </w:tr>
      <w:tr w:rsidR="00AD6A5A">
        <w:tc>
          <w:tcPr>
            <w:tcW w:w="4260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博时北证</w:t>
            </w:r>
            <w:r>
              <w:rPr>
                <w:rFonts w:ascii="宋体" w:eastAsia="宋体" w:hAnsi="宋体"/>
                <w:sz w:val="24"/>
              </w:rPr>
              <w:t>50</w:t>
            </w:r>
            <w:r>
              <w:rPr>
                <w:rFonts w:ascii="宋体" w:eastAsia="宋体" w:hAnsi="宋体"/>
                <w:sz w:val="24"/>
              </w:rPr>
              <w:t>成份指数发起式</w:t>
            </w:r>
          </w:p>
        </w:tc>
      </w:tr>
      <w:tr w:rsidR="00AD6A5A">
        <w:tc>
          <w:tcPr>
            <w:tcW w:w="4260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018128</w:t>
            </w:r>
          </w:p>
        </w:tc>
      </w:tr>
      <w:tr w:rsidR="00AD6A5A">
        <w:tc>
          <w:tcPr>
            <w:tcW w:w="4260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AD6A5A">
        <w:tc>
          <w:tcPr>
            <w:tcW w:w="4260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根据有关法律法规及《博时北证</w:t>
            </w:r>
            <w:r>
              <w:rPr>
                <w:rFonts w:ascii="宋体" w:eastAsia="宋体" w:hAnsi="宋体"/>
                <w:sz w:val="24"/>
              </w:rPr>
              <w:t>50</w:t>
            </w:r>
            <w:r>
              <w:rPr>
                <w:rFonts w:ascii="宋体" w:eastAsia="宋体" w:hAnsi="宋体"/>
                <w:sz w:val="24"/>
              </w:rPr>
              <w:t>成份指数型发起式证券投资基金基金合同》、《博时北证</w:t>
            </w:r>
            <w:r>
              <w:rPr>
                <w:rFonts w:ascii="宋体" w:eastAsia="宋体" w:hAnsi="宋体"/>
                <w:sz w:val="24"/>
              </w:rPr>
              <w:t>50</w:t>
            </w:r>
            <w:r>
              <w:rPr>
                <w:rFonts w:ascii="宋体" w:eastAsia="宋体" w:hAnsi="宋体"/>
                <w:sz w:val="24"/>
              </w:rPr>
              <w:t>成份指数型发起式证券投资基金招募说明书》等的规定</w:t>
            </w:r>
          </w:p>
        </w:tc>
      </w:tr>
      <w:tr w:rsidR="00AD6A5A">
        <w:tc>
          <w:tcPr>
            <w:tcW w:w="2130" w:type="dxa"/>
            <w:vMerge w:val="restart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AD6A5A">
        <w:tc>
          <w:tcPr>
            <w:tcW w:w="2130" w:type="dxa"/>
            <w:vMerge/>
            <w:vAlign w:val="center"/>
          </w:tcPr>
          <w:p w:rsidR="00AD6A5A" w:rsidRDefault="00AD6A5A"/>
        </w:tc>
        <w:tc>
          <w:tcPr>
            <w:tcW w:w="2130" w:type="dxa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AD6A5A">
        <w:tc>
          <w:tcPr>
            <w:tcW w:w="2130" w:type="dxa"/>
            <w:vMerge/>
            <w:vAlign w:val="center"/>
          </w:tcPr>
          <w:p w:rsidR="00AD6A5A" w:rsidRDefault="00AD6A5A"/>
        </w:tc>
        <w:tc>
          <w:tcPr>
            <w:tcW w:w="2130" w:type="dxa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AD6A5A">
        <w:tc>
          <w:tcPr>
            <w:tcW w:w="2130" w:type="dxa"/>
            <w:vMerge/>
            <w:vAlign w:val="center"/>
          </w:tcPr>
          <w:p w:rsidR="00AD6A5A" w:rsidRDefault="00AD6A5A"/>
        </w:tc>
        <w:tc>
          <w:tcPr>
            <w:tcW w:w="2130" w:type="dxa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1,000.00</w:t>
            </w:r>
          </w:p>
        </w:tc>
      </w:tr>
      <w:tr w:rsidR="00AD6A5A">
        <w:tc>
          <w:tcPr>
            <w:tcW w:w="2130" w:type="dxa"/>
            <w:vMerge/>
            <w:vAlign w:val="center"/>
          </w:tcPr>
          <w:p w:rsidR="00AD6A5A" w:rsidRDefault="00AD6A5A"/>
        </w:tc>
        <w:tc>
          <w:tcPr>
            <w:tcW w:w="2130" w:type="dxa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1,000.00</w:t>
            </w:r>
          </w:p>
        </w:tc>
      </w:tr>
      <w:tr w:rsidR="00AD6A5A">
        <w:tc>
          <w:tcPr>
            <w:tcW w:w="2130" w:type="dxa"/>
            <w:vMerge/>
            <w:vAlign w:val="center"/>
          </w:tcPr>
          <w:p w:rsidR="00AD6A5A" w:rsidRDefault="00AD6A5A"/>
        </w:tc>
        <w:tc>
          <w:tcPr>
            <w:tcW w:w="2130" w:type="dxa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1,000.00</w:t>
            </w:r>
          </w:p>
        </w:tc>
      </w:tr>
      <w:tr w:rsidR="00AD6A5A">
        <w:tc>
          <w:tcPr>
            <w:tcW w:w="2130" w:type="dxa"/>
            <w:vMerge/>
            <w:vAlign w:val="center"/>
          </w:tcPr>
          <w:p w:rsidR="00AD6A5A" w:rsidRDefault="00AD6A5A"/>
        </w:tc>
        <w:tc>
          <w:tcPr>
            <w:tcW w:w="2130" w:type="dxa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AD6A5A">
        <w:tc>
          <w:tcPr>
            <w:tcW w:w="4260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博时北证</w:t>
            </w:r>
            <w:r>
              <w:rPr>
                <w:rFonts w:ascii="宋体" w:eastAsia="宋体" w:hAnsi="宋体"/>
                <w:sz w:val="24"/>
              </w:rPr>
              <w:t>50</w:t>
            </w:r>
            <w:r>
              <w:rPr>
                <w:rFonts w:ascii="宋体" w:eastAsia="宋体" w:hAnsi="宋体"/>
                <w:sz w:val="24"/>
              </w:rPr>
              <w:t>成份指数发起式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博时北证</w:t>
            </w:r>
            <w:r>
              <w:rPr>
                <w:rFonts w:ascii="宋体" w:eastAsia="宋体" w:hAnsi="宋体"/>
                <w:sz w:val="24"/>
              </w:rPr>
              <w:t>50</w:t>
            </w:r>
            <w:r>
              <w:rPr>
                <w:rFonts w:ascii="宋体" w:eastAsia="宋体" w:hAnsi="宋体"/>
                <w:sz w:val="24"/>
              </w:rPr>
              <w:t>成份指数发起式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AD6A5A">
        <w:tc>
          <w:tcPr>
            <w:tcW w:w="4260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018128</w:t>
            </w:r>
          </w:p>
        </w:tc>
        <w:tc>
          <w:tcPr>
            <w:tcW w:w="2131" w:type="dxa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018129</w:t>
            </w:r>
          </w:p>
        </w:tc>
      </w:tr>
      <w:tr w:rsidR="00AD6A5A">
        <w:tc>
          <w:tcPr>
            <w:tcW w:w="4260" w:type="dxa"/>
            <w:gridSpan w:val="2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AD6A5A" w:rsidRDefault="00F1044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AD6A5A" w:rsidRDefault="00AD6A5A"/>
    <w:p w:rsidR="00AD6A5A" w:rsidRDefault="00F10444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AD6A5A" w:rsidRDefault="00F10444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日起，本基金单日每个基金账户的申购、转换转入、定期定额投资累计金额应不超过</w:t>
      </w:r>
      <w:r>
        <w:rPr>
          <w:rFonts w:hint="eastAsia"/>
        </w:rPr>
        <w:t>0.1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0.1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12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9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AD6A5A" w:rsidRDefault="00F10444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</w:t>
      </w:r>
      <w:r>
        <w:rPr>
          <w:rFonts w:hint="eastAsia"/>
        </w:rPr>
        <w:t>申购、转换转入、定期定额投资业务期间，其它业务正常办理。本基金恢复办理大额申购、转换转入、定期定额投资业务的时间将另行公告。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AD6A5A" w:rsidRDefault="00F10444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AD6A5A" w:rsidRDefault="00F10444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AD6A5A" w:rsidRDefault="00AD6A5A">
      <w:pPr>
        <w:pStyle w:val="a3"/>
        <w:spacing w:before="0" w:beforeAutospacing="0" w:after="0" w:afterAutospacing="0" w:line="360" w:lineRule="auto"/>
        <w:ind w:firstLine="420"/>
      </w:pPr>
    </w:p>
    <w:p w:rsidR="00AD6A5A" w:rsidRDefault="00AD6A5A">
      <w:pPr>
        <w:pStyle w:val="a3"/>
        <w:spacing w:before="0" w:beforeAutospacing="0" w:after="0" w:afterAutospacing="0" w:line="360" w:lineRule="auto"/>
        <w:ind w:firstLine="420"/>
      </w:pPr>
    </w:p>
    <w:p w:rsidR="00AD6A5A" w:rsidRDefault="00AD6A5A">
      <w:pPr>
        <w:pStyle w:val="a3"/>
        <w:spacing w:before="0" w:beforeAutospacing="0" w:after="0" w:afterAutospacing="0" w:line="360" w:lineRule="auto"/>
        <w:ind w:firstLine="420"/>
      </w:pPr>
    </w:p>
    <w:p w:rsidR="00AD6A5A" w:rsidRDefault="00F10444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AD6A5A" w:rsidRDefault="00F10444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12</w:t>
      </w:r>
      <w:r>
        <w:t>月</w:t>
      </w:r>
      <w:r>
        <w:t>9</w:t>
      </w:r>
      <w:r>
        <w:t>日</w:t>
      </w:r>
    </w:p>
    <w:sectPr w:rsidR="00AD6A5A" w:rsidSect="00AD6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08D8"/>
    <w:rsid w:val="00496462"/>
    <w:rsid w:val="005208D8"/>
    <w:rsid w:val="00AD6A5A"/>
    <w:rsid w:val="00F10444"/>
    <w:rsid w:val="3C87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5A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D6A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A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AD6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D6A5A"/>
    <w:rPr>
      <w:b/>
      <w:bCs/>
    </w:rPr>
  </w:style>
  <w:style w:type="character" w:customStyle="1" w:styleId="3Char">
    <w:name w:val="标题 3 Char"/>
    <w:basedOn w:val="a0"/>
    <w:link w:val="3"/>
    <w:uiPriority w:val="9"/>
    <w:rsid w:val="00AD6A5A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4</DocSecurity>
  <Lines>6</Lines>
  <Paragraphs>1</Paragraphs>
  <ScaleCrop>false</ScaleCrop>
  <Company>mycompany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2025-12-08T16:02:00Z</dcterms:created>
  <dcterms:modified xsi:type="dcterms:W3CDTF">2025-12-08T16:02:00Z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155B3BBFA72045CABD399D341C6C1C4D</vt:lpwstr>
  </property>
</Properties>
</file>