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950" w:rsidRPr="00FE34D1" w:rsidRDefault="00D25B3C">
      <w:pPr>
        <w:pStyle w:val="aa"/>
        <w:spacing w:line="360" w:lineRule="auto"/>
        <w:ind w:left="0" w:firstLine="0"/>
        <w:jc w:val="center"/>
        <w:rPr>
          <w:b/>
          <w:bCs/>
          <w:color w:val="000000"/>
          <w:kern w:val="0"/>
          <w:sz w:val="28"/>
          <w:szCs w:val="28"/>
        </w:rPr>
      </w:pPr>
      <w:r w:rsidRPr="00FE34D1">
        <w:rPr>
          <w:rFonts w:hint="eastAsia"/>
          <w:b/>
          <w:bCs/>
          <w:color w:val="000000"/>
          <w:kern w:val="0"/>
          <w:sz w:val="28"/>
          <w:szCs w:val="28"/>
        </w:rPr>
        <w:t>海富通基金管理有限公司</w:t>
      </w:r>
    </w:p>
    <w:p w:rsidR="00B01950" w:rsidRPr="00FE34D1" w:rsidRDefault="00D25B3C">
      <w:pPr>
        <w:pStyle w:val="aa"/>
        <w:spacing w:line="360" w:lineRule="auto"/>
        <w:ind w:left="0" w:firstLine="0"/>
        <w:jc w:val="center"/>
        <w:rPr>
          <w:b/>
          <w:bCs/>
          <w:color w:val="000000"/>
          <w:kern w:val="0"/>
          <w:sz w:val="28"/>
          <w:szCs w:val="28"/>
        </w:rPr>
      </w:pPr>
      <w:r w:rsidRPr="00FE34D1">
        <w:rPr>
          <w:rFonts w:hint="eastAsia"/>
          <w:b/>
          <w:bCs/>
          <w:color w:val="000000"/>
          <w:kern w:val="0"/>
          <w:sz w:val="28"/>
          <w:szCs w:val="28"/>
        </w:rPr>
        <w:t>关于旗下上交所</w:t>
      </w:r>
      <w:r w:rsidRPr="00FE34D1">
        <w:rPr>
          <w:rFonts w:hint="eastAsia"/>
          <w:b/>
          <w:bCs/>
          <w:color w:val="000000"/>
          <w:kern w:val="0"/>
          <w:sz w:val="28"/>
          <w:szCs w:val="28"/>
        </w:rPr>
        <w:t>ETF</w:t>
      </w:r>
      <w:r w:rsidRPr="00FE34D1">
        <w:rPr>
          <w:rFonts w:hint="eastAsia"/>
          <w:b/>
          <w:bCs/>
          <w:color w:val="000000"/>
          <w:kern w:val="0"/>
          <w:sz w:val="28"/>
          <w:szCs w:val="28"/>
        </w:rPr>
        <w:t>申购赎回清单版本更新的公告</w:t>
      </w:r>
    </w:p>
    <w:p w:rsidR="00B01950" w:rsidRPr="00FE34D1" w:rsidRDefault="00D25B3C">
      <w:pPr>
        <w:pStyle w:val="a9"/>
        <w:spacing w:beforeAutospacing="0" w:afterAutospacing="0" w:line="360" w:lineRule="auto"/>
        <w:ind w:firstLine="480"/>
        <w:jc w:val="both"/>
        <w:rPr>
          <w:rFonts w:ascii="宋体" w:eastAsia="宋体" w:hAnsi="宋体" w:cs="宋体"/>
          <w:color w:val="000000"/>
          <w:szCs w:val="24"/>
        </w:rPr>
      </w:pPr>
      <w:r w:rsidRPr="00FE34D1">
        <w:rPr>
          <w:rFonts w:ascii="宋体" w:eastAsia="宋体" w:hAnsi="宋体" w:cs="宋体" w:hint="eastAsia"/>
          <w:color w:val="000000"/>
          <w:szCs w:val="24"/>
        </w:rPr>
        <w:t>根据上海证券交易所</w:t>
      </w:r>
      <w:r w:rsidR="00EC5F5F" w:rsidRPr="00FE34D1">
        <w:rPr>
          <w:rFonts w:ascii="宋体" w:eastAsia="宋体" w:hAnsi="宋体" w:cs="宋体" w:hint="eastAsia"/>
          <w:color w:val="000000"/>
          <w:szCs w:val="24"/>
        </w:rPr>
        <w:t>（以下简称“上交所”）</w:t>
      </w:r>
      <w:r w:rsidRPr="00FE34D1">
        <w:rPr>
          <w:rFonts w:ascii="宋体" w:eastAsia="宋体" w:hAnsi="宋体" w:cs="宋体" w:hint="eastAsia"/>
          <w:color w:val="000000"/>
          <w:szCs w:val="24"/>
        </w:rPr>
        <w:t>最新</w:t>
      </w:r>
      <w:r w:rsidRPr="00FE34D1">
        <w:rPr>
          <w:rFonts w:ascii="宋体" w:eastAsia="宋体" w:hAnsi="宋体" w:cs="宋体" w:hint="eastAsia"/>
          <w:color w:val="000000"/>
          <w:szCs w:val="24"/>
        </w:rPr>
        <w:t>ETF</w:t>
      </w:r>
      <w:r w:rsidRPr="00FE34D1">
        <w:rPr>
          <w:rFonts w:ascii="宋体" w:eastAsia="宋体" w:hAnsi="宋体" w:cs="宋体" w:hint="eastAsia"/>
          <w:color w:val="000000"/>
          <w:szCs w:val="24"/>
        </w:rPr>
        <w:t>申购赎回清单格式规则，自</w:t>
      </w:r>
      <w:r w:rsidRPr="00FE34D1">
        <w:rPr>
          <w:rFonts w:ascii="宋体" w:eastAsia="宋体" w:hAnsi="宋体" w:cs="宋体" w:hint="eastAsia"/>
          <w:color w:val="000000"/>
          <w:szCs w:val="24"/>
        </w:rPr>
        <w:t>2025</w:t>
      </w:r>
      <w:r w:rsidRPr="00FE34D1">
        <w:rPr>
          <w:rFonts w:ascii="宋体" w:eastAsia="宋体" w:hAnsi="宋体" w:cs="宋体" w:hint="eastAsia"/>
          <w:color w:val="000000"/>
          <w:szCs w:val="24"/>
        </w:rPr>
        <w:t>年</w:t>
      </w:r>
      <w:r w:rsidRPr="00FE34D1">
        <w:rPr>
          <w:rFonts w:ascii="宋体" w:eastAsia="宋体" w:hAnsi="宋体" w:cs="宋体" w:hint="eastAsia"/>
          <w:color w:val="000000"/>
          <w:szCs w:val="24"/>
        </w:rPr>
        <w:t>12</w:t>
      </w:r>
      <w:r w:rsidRPr="00FE34D1">
        <w:rPr>
          <w:rFonts w:ascii="宋体" w:eastAsia="宋体" w:hAnsi="宋体" w:cs="宋体" w:hint="eastAsia"/>
          <w:color w:val="000000"/>
          <w:szCs w:val="24"/>
        </w:rPr>
        <w:t>月</w:t>
      </w:r>
      <w:r w:rsidRPr="00FE34D1">
        <w:rPr>
          <w:rFonts w:ascii="宋体" w:eastAsia="宋体" w:hAnsi="宋体" w:cs="宋体" w:hint="eastAsia"/>
          <w:color w:val="000000"/>
          <w:szCs w:val="24"/>
        </w:rPr>
        <w:t>8</w:t>
      </w:r>
      <w:r w:rsidRPr="00FE34D1">
        <w:rPr>
          <w:rFonts w:ascii="宋体" w:eastAsia="宋体" w:hAnsi="宋体" w:cs="宋体" w:hint="eastAsia"/>
          <w:color w:val="000000"/>
          <w:szCs w:val="24"/>
        </w:rPr>
        <w:t>日起，海富通基金管理有限公司（以下简称“本公司”）对旗下部分上交所</w:t>
      </w:r>
      <w:r w:rsidRPr="00FE34D1">
        <w:rPr>
          <w:rFonts w:ascii="宋体" w:eastAsia="宋体" w:hAnsi="宋体" w:cs="宋体" w:hint="eastAsia"/>
          <w:color w:val="000000"/>
          <w:szCs w:val="24"/>
        </w:rPr>
        <w:t>ETF</w:t>
      </w:r>
      <w:r w:rsidRPr="00FE34D1">
        <w:rPr>
          <w:rFonts w:ascii="宋体" w:eastAsia="宋体" w:hAnsi="宋体" w:cs="宋体" w:hint="eastAsia"/>
          <w:color w:val="000000"/>
          <w:szCs w:val="24"/>
        </w:rPr>
        <w:t>申购赎回清单进行版本更新，具体如下：</w:t>
      </w:r>
    </w:p>
    <w:p w:rsidR="00B01950" w:rsidRPr="00FE34D1" w:rsidRDefault="00D25B3C">
      <w:pPr>
        <w:pStyle w:val="a9"/>
        <w:spacing w:beforeAutospacing="0" w:afterAutospacing="0" w:line="360" w:lineRule="auto"/>
        <w:ind w:firstLine="480"/>
        <w:jc w:val="both"/>
        <w:rPr>
          <w:rFonts w:ascii="宋体" w:eastAsia="宋体" w:hAnsi="宋体" w:cs="宋体"/>
          <w:b/>
          <w:bCs/>
          <w:color w:val="000000"/>
          <w:szCs w:val="24"/>
        </w:rPr>
      </w:pPr>
      <w:r w:rsidRPr="00FE34D1">
        <w:rPr>
          <w:rFonts w:ascii="宋体" w:eastAsia="宋体" w:hAnsi="宋体" w:cs="宋体" w:hint="eastAsia"/>
          <w:b/>
          <w:bCs/>
          <w:color w:val="000000"/>
          <w:szCs w:val="24"/>
        </w:rPr>
        <w:t>一、本公司旗下拟更新申购赎回清单版本的基金列表</w:t>
      </w:r>
    </w:p>
    <w:tbl>
      <w:tblPr>
        <w:tblW w:w="93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tblPr>
      <w:tblGrid>
        <w:gridCol w:w="575"/>
        <w:gridCol w:w="993"/>
        <w:gridCol w:w="4677"/>
        <w:gridCol w:w="1418"/>
        <w:gridCol w:w="1701"/>
      </w:tblGrid>
      <w:tr w:rsidR="009138CC" w:rsidRPr="00FE34D1" w:rsidTr="00EC5F5F">
        <w:trPr>
          <w:trHeight w:val="311"/>
        </w:trPr>
        <w:tc>
          <w:tcPr>
            <w:tcW w:w="575" w:type="dxa"/>
          </w:tcPr>
          <w:p w:rsidR="009138CC" w:rsidRPr="00FE34D1" w:rsidRDefault="009138CC">
            <w:pPr>
              <w:pStyle w:val="a9"/>
              <w:widowControl/>
              <w:spacing w:beforeAutospacing="0" w:afterAutospacing="0"/>
              <w:jc w:val="center"/>
              <w:rPr>
                <w:rFonts w:ascii="宋体" w:eastAsia="宋体" w:hAnsi="宋体" w:cs="宋体"/>
                <w:b/>
                <w:bCs/>
                <w:color w:val="000000"/>
                <w:sz w:val="21"/>
                <w:szCs w:val="21"/>
              </w:rPr>
            </w:pPr>
            <w:r w:rsidRPr="00FE34D1">
              <w:rPr>
                <w:rFonts w:ascii="宋体" w:eastAsia="宋体" w:hAnsi="宋体" w:cs="宋体" w:hint="eastAsia"/>
                <w:b/>
                <w:bCs/>
                <w:color w:val="000000"/>
                <w:sz w:val="21"/>
                <w:szCs w:val="21"/>
              </w:rPr>
              <w:t>序号</w:t>
            </w:r>
          </w:p>
        </w:tc>
        <w:tc>
          <w:tcPr>
            <w:tcW w:w="993" w:type="dxa"/>
          </w:tcPr>
          <w:p w:rsidR="009138CC" w:rsidRPr="00FE34D1" w:rsidRDefault="009138CC">
            <w:pPr>
              <w:pStyle w:val="a9"/>
              <w:widowControl/>
              <w:spacing w:beforeAutospacing="0" w:afterAutospacing="0"/>
              <w:jc w:val="center"/>
              <w:rPr>
                <w:rFonts w:ascii="宋体" w:eastAsia="宋体" w:hAnsi="宋体" w:cs="宋体"/>
                <w:b/>
                <w:bCs/>
                <w:color w:val="000000"/>
                <w:sz w:val="21"/>
                <w:szCs w:val="21"/>
              </w:rPr>
            </w:pPr>
            <w:r w:rsidRPr="00FE34D1">
              <w:rPr>
                <w:rFonts w:ascii="宋体" w:eastAsia="宋体" w:hAnsi="宋体" w:cs="宋体" w:hint="eastAsia"/>
                <w:b/>
                <w:bCs/>
                <w:color w:val="000000"/>
                <w:sz w:val="21"/>
                <w:szCs w:val="21"/>
              </w:rPr>
              <w:t>基金代码</w:t>
            </w:r>
          </w:p>
        </w:tc>
        <w:tc>
          <w:tcPr>
            <w:tcW w:w="4677" w:type="dxa"/>
          </w:tcPr>
          <w:p w:rsidR="009138CC" w:rsidRPr="00FE34D1" w:rsidRDefault="009138CC">
            <w:pPr>
              <w:pStyle w:val="a9"/>
              <w:widowControl/>
              <w:spacing w:beforeAutospacing="0" w:afterAutospacing="0"/>
              <w:jc w:val="center"/>
              <w:rPr>
                <w:rFonts w:ascii="宋体" w:eastAsia="宋体" w:hAnsi="宋体" w:cs="宋体"/>
                <w:b/>
                <w:bCs/>
                <w:color w:val="000000"/>
                <w:sz w:val="21"/>
                <w:szCs w:val="21"/>
              </w:rPr>
            </w:pPr>
            <w:r w:rsidRPr="00FE34D1">
              <w:rPr>
                <w:rFonts w:ascii="宋体" w:eastAsia="宋体" w:hAnsi="宋体" w:cs="宋体" w:hint="eastAsia"/>
                <w:b/>
                <w:bCs/>
                <w:color w:val="000000"/>
                <w:sz w:val="21"/>
                <w:szCs w:val="21"/>
              </w:rPr>
              <w:t>基金名称</w:t>
            </w:r>
          </w:p>
        </w:tc>
        <w:tc>
          <w:tcPr>
            <w:tcW w:w="1418" w:type="dxa"/>
          </w:tcPr>
          <w:p w:rsidR="009138CC" w:rsidRPr="00FE34D1" w:rsidRDefault="009138CC">
            <w:pPr>
              <w:pStyle w:val="a9"/>
              <w:widowControl/>
              <w:spacing w:beforeAutospacing="0" w:afterAutospacing="0"/>
              <w:jc w:val="center"/>
              <w:rPr>
                <w:rFonts w:ascii="宋体" w:eastAsia="宋体" w:hAnsi="宋体" w:cs="宋体"/>
                <w:b/>
                <w:bCs/>
                <w:color w:val="000000"/>
                <w:sz w:val="21"/>
                <w:szCs w:val="21"/>
              </w:rPr>
            </w:pPr>
            <w:r w:rsidRPr="00FE34D1">
              <w:rPr>
                <w:rFonts w:ascii="宋体" w:eastAsia="宋体" w:hAnsi="宋体" w:cs="宋体" w:hint="eastAsia"/>
                <w:b/>
                <w:bCs/>
                <w:color w:val="000000"/>
                <w:sz w:val="21"/>
                <w:szCs w:val="21"/>
              </w:rPr>
              <w:t>场内简称</w:t>
            </w:r>
          </w:p>
        </w:tc>
        <w:tc>
          <w:tcPr>
            <w:tcW w:w="1701" w:type="dxa"/>
          </w:tcPr>
          <w:p w:rsidR="009138CC" w:rsidRPr="00FE34D1" w:rsidRDefault="009138CC">
            <w:pPr>
              <w:pStyle w:val="a9"/>
              <w:widowControl/>
              <w:spacing w:beforeAutospacing="0" w:afterAutospacing="0"/>
              <w:jc w:val="center"/>
              <w:rPr>
                <w:rFonts w:ascii="宋体" w:eastAsia="宋体" w:hAnsi="宋体" w:cs="宋体"/>
                <w:b/>
                <w:bCs/>
                <w:color w:val="000000"/>
                <w:sz w:val="21"/>
                <w:szCs w:val="21"/>
              </w:rPr>
            </w:pPr>
            <w:r w:rsidRPr="00FE34D1">
              <w:rPr>
                <w:rFonts w:ascii="宋体" w:eastAsia="宋体" w:hAnsi="宋体" w:cs="宋体" w:hint="eastAsia"/>
                <w:b/>
                <w:bCs/>
                <w:color w:val="000000"/>
                <w:sz w:val="21"/>
                <w:szCs w:val="21"/>
              </w:rPr>
              <w:t>扩位证券简称</w:t>
            </w:r>
          </w:p>
        </w:tc>
      </w:tr>
      <w:tr w:rsidR="009138CC" w:rsidRPr="00FE34D1" w:rsidTr="00EC5F5F">
        <w:trPr>
          <w:trHeight w:val="623"/>
        </w:trPr>
        <w:tc>
          <w:tcPr>
            <w:tcW w:w="575" w:type="dxa"/>
          </w:tcPr>
          <w:p w:rsidR="009138CC" w:rsidRPr="00FE34D1" w:rsidRDefault="009138CC">
            <w:pPr>
              <w:pStyle w:val="a9"/>
              <w:widowControl/>
              <w:spacing w:beforeAutospacing="0" w:afterAutospacing="0"/>
              <w:jc w:val="center"/>
              <w:rPr>
                <w:rFonts w:ascii="宋体" w:eastAsia="宋体" w:hAnsi="宋体" w:cs="宋体"/>
                <w:color w:val="000000"/>
                <w:sz w:val="21"/>
                <w:szCs w:val="21"/>
              </w:rPr>
            </w:pPr>
            <w:r w:rsidRPr="00FE34D1">
              <w:rPr>
                <w:rFonts w:ascii="宋体" w:eastAsia="宋体" w:hAnsi="宋体" w:cs="宋体" w:hint="eastAsia"/>
                <w:color w:val="000000"/>
                <w:sz w:val="21"/>
                <w:szCs w:val="21"/>
              </w:rPr>
              <w:t>1</w:t>
            </w:r>
          </w:p>
        </w:tc>
        <w:tc>
          <w:tcPr>
            <w:tcW w:w="993" w:type="dxa"/>
          </w:tcPr>
          <w:p w:rsidR="009138CC" w:rsidRPr="00FE34D1" w:rsidRDefault="009138CC">
            <w:pPr>
              <w:pStyle w:val="a9"/>
              <w:widowControl/>
              <w:spacing w:beforeAutospacing="0" w:afterAutospacing="0"/>
              <w:jc w:val="center"/>
              <w:rPr>
                <w:rFonts w:ascii="宋体" w:eastAsia="宋体" w:hAnsi="宋体" w:cs="宋体"/>
                <w:color w:val="000000"/>
                <w:sz w:val="21"/>
                <w:szCs w:val="21"/>
              </w:rPr>
            </w:pPr>
            <w:r w:rsidRPr="00FE34D1">
              <w:rPr>
                <w:rFonts w:ascii="宋体" w:eastAsia="宋体" w:hAnsi="宋体" w:cs="宋体" w:hint="eastAsia"/>
                <w:color w:val="000000"/>
                <w:sz w:val="21"/>
                <w:szCs w:val="21"/>
              </w:rPr>
              <w:t>563860</w:t>
            </w:r>
          </w:p>
        </w:tc>
        <w:tc>
          <w:tcPr>
            <w:tcW w:w="4677" w:type="dxa"/>
          </w:tcPr>
          <w:p w:rsidR="009138CC" w:rsidRPr="00FE34D1" w:rsidRDefault="009138CC">
            <w:pPr>
              <w:pStyle w:val="a9"/>
              <w:widowControl/>
              <w:spacing w:beforeAutospacing="0" w:afterAutospacing="0"/>
              <w:jc w:val="center"/>
              <w:rPr>
                <w:rFonts w:ascii="宋体" w:eastAsia="宋体" w:hAnsi="宋体" w:cs="宋体"/>
                <w:color w:val="000000"/>
                <w:sz w:val="21"/>
                <w:szCs w:val="21"/>
              </w:rPr>
            </w:pPr>
            <w:r w:rsidRPr="00FE34D1">
              <w:rPr>
                <w:rFonts w:ascii="宋体" w:eastAsia="宋体" w:hAnsi="宋体" w:cs="宋体" w:hint="eastAsia"/>
                <w:color w:val="000000"/>
                <w:sz w:val="21"/>
                <w:szCs w:val="21"/>
              </w:rPr>
              <w:t>海富通中证A500交易型开放式指数证券投资基金</w:t>
            </w:r>
          </w:p>
        </w:tc>
        <w:tc>
          <w:tcPr>
            <w:tcW w:w="1418" w:type="dxa"/>
          </w:tcPr>
          <w:p w:rsidR="009138CC" w:rsidRPr="00FE34D1" w:rsidRDefault="009138CC">
            <w:pPr>
              <w:pStyle w:val="a9"/>
              <w:widowControl/>
              <w:spacing w:beforeAutospacing="0" w:afterAutospacing="0"/>
              <w:jc w:val="center"/>
              <w:rPr>
                <w:rFonts w:ascii="宋体" w:eastAsia="宋体" w:hAnsi="宋体" w:cs="宋体"/>
                <w:color w:val="000000"/>
                <w:sz w:val="21"/>
                <w:szCs w:val="21"/>
              </w:rPr>
            </w:pPr>
            <w:r w:rsidRPr="00FE34D1">
              <w:rPr>
                <w:rFonts w:ascii="宋体" w:eastAsia="宋体" w:hAnsi="宋体" w:cs="宋体"/>
                <w:color w:val="000000"/>
                <w:sz w:val="21"/>
                <w:szCs w:val="21"/>
              </w:rPr>
              <w:t>A500海富</w:t>
            </w:r>
          </w:p>
        </w:tc>
        <w:tc>
          <w:tcPr>
            <w:tcW w:w="1701" w:type="dxa"/>
          </w:tcPr>
          <w:p w:rsidR="009138CC" w:rsidRPr="00FE34D1" w:rsidRDefault="009138CC">
            <w:pPr>
              <w:pStyle w:val="a9"/>
              <w:widowControl/>
              <w:spacing w:beforeAutospacing="0" w:afterAutospacing="0"/>
              <w:jc w:val="center"/>
              <w:rPr>
                <w:rFonts w:ascii="宋体" w:eastAsia="宋体" w:hAnsi="宋体" w:cs="宋体"/>
                <w:color w:val="000000"/>
                <w:sz w:val="21"/>
                <w:szCs w:val="21"/>
              </w:rPr>
            </w:pPr>
            <w:r w:rsidRPr="00FE34D1">
              <w:rPr>
                <w:rFonts w:ascii="宋体" w:eastAsia="宋体" w:hAnsi="宋体" w:cs="宋体"/>
                <w:color w:val="000000"/>
                <w:sz w:val="21"/>
                <w:szCs w:val="21"/>
              </w:rPr>
              <w:t>A500ETF海富通</w:t>
            </w:r>
          </w:p>
        </w:tc>
      </w:tr>
      <w:tr w:rsidR="009138CC" w:rsidRPr="00FE34D1" w:rsidTr="00EC5F5F">
        <w:trPr>
          <w:trHeight w:val="661"/>
        </w:trPr>
        <w:tc>
          <w:tcPr>
            <w:tcW w:w="575" w:type="dxa"/>
          </w:tcPr>
          <w:p w:rsidR="009138CC" w:rsidRPr="00FE34D1" w:rsidRDefault="009138CC">
            <w:pPr>
              <w:pStyle w:val="a9"/>
              <w:widowControl/>
              <w:spacing w:beforeAutospacing="0" w:afterAutospacing="0"/>
              <w:jc w:val="center"/>
              <w:rPr>
                <w:rFonts w:ascii="宋体" w:eastAsia="宋体" w:hAnsi="宋体" w:cs="宋体"/>
                <w:color w:val="000000"/>
                <w:sz w:val="21"/>
                <w:szCs w:val="21"/>
              </w:rPr>
            </w:pPr>
            <w:r w:rsidRPr="00FE34D1">
              <w:rPr>
                <w:rFonts w:ascii="宋体" w:eastAsia="宋体" w:hAnsi="宋体" w:cs="宋体" w:hint="eastAsia"/>
                <w:color w:val="000000"/>
                <w:sz w:val="21"/>
                <w:szCs w:val="21"/>
              </w:rPr>
              <w:t>2</w:t>
            </w:r>
          </w:p>
        </w:tc>
        <w:tc>
          <w:tcPr>
            <w:tcW w:w="993" w:type="dxa"/>
          </w:tcPr>
          <w:p w:rsidR="009138CC" w:rsidRPr="00FE34D1" w:rsidRDefault="009138CC">
            <w:pPr>
              <w:pStyle w:val="a9"/>
              <w:widowControl/>
              <w:spacing w:beforeAutospacing="0" w:afterAutospacing="0"/>
              <w:jc w:val="center"/>
              <w:rPr>
                <w:rFonts w:ascii="宋体" w:eastAsia="宋体" w:hAnsi="宋体" w:cs="宋体"/>
                <w:color w:val="000000"/>
                <w:sz w:val="21"/>
                <w:szCs w:val="21"/>
              </w:rPr>
            </w:pPr>
            <w:r w:rsidRPr="00FE34D1">
              <w:rPr>
                <w:rFonts w:ascii="宋体" w:eastAsia="宋体" w:hAnsi="宋体" w:cs="宋体" w:hint="eastAsia"/>
                <w:color w:val="000000"/>
                <w:sz w:val="21"/>
                <w:szCs w:val="21"/>
              </w:rPr>
              <w:t>511060</w:t>
            </w:r>
          </w:p>
        </w:tc>
        <w:tc>
          <w:tcPr>
            <w:tcW w:w="4677" w:type="dxa"/>
          </w:tcPr>
          <w:p w:rsidR="009138CC" w:rsidRPr="00FE34D1" w:rsidRDefault="009138CC">
            <w:pPr>
              <w:pStyle w:val="a9"/>
              <w:widowControl/>
              <w:spacing w:beforeAutospacing="0" w:afterAutospacing="0"/>
              <w:jc w:val="center"/>
              <w:rPr>
                <w:rFonts w:ascii="宋体" w:eastAsia="宋体" w:hAnsi="宋体" w:cs="宋体"/>
                <w:color w:val="000000"/>
                <w:sz w:val="21"/>
                <w:szCs w:val="21"/>
              </w:rPr>
            </w:pPr>
            <w:r w:rsidRPr="00FE34D1">
              <w:rPr>
                <w:rFonts w:ascii="宋体" w:eastAsia="宋体" w:hAnsi="宋体" w:cs="宋体" w:hint="eastAsia"/>
                <w:color w:val="000000"/>
                <w:sz w:val="21"/>
                <w:szCs w:val="21"/>
              </w:rPr>
              <w:t>海富通上证5年期地方政府债交易型开放式指数证券投资基金</w:t>
            </w:r>
          </w:p>
        </w:tc>
        <w:tc>
          <w:tcPr>
            <w:tcW w:w="1418" w:type="dxa"/>
          </w:tcPr>
          <w:p w:rsidR="009138CC" w:rsidRPr="00FE34D1" w:rsidRDefault="00915816">
            <w:pPr>
              <w:pStyle w:val="a9"/>
              <w:widowControl/>
              <w:spacing w:beforeAutospacing="0" w:afterAutospacing="0"/>
              <w:jc w:val="center"/>
              <w:rPr>
                <w:rFonts w:ascii="宋体" w:eastAsia="宋体" w:hAnsi="宋体" w:cs="宋体"/>
                <w:color w:val="000000"/>
                <w:sz w:val="21"/>
                <w:szCs w:val="21"/>
              </w:rPr>
            </w:pPr>
            <w:r w:rsidRPr="00FE34D1">
              <w:rPr>
                <w:rFonts w:ascii="宋体" w:eastAsia="宋体" w:hAnsi="宋体" w:cs="宋体"/>
                <w:color w:val="000000"/>
                <w:sz w:val="21"/>
                <w:szCs w:val="21"/>
              </w:rPr>
              <w:t>5年地债</w:t>
            </w:r>
          </w:p>
        </w:tc>
        <w:tc>
          <w:tcPr>
            <w:tcW w:w="1701" w:type="dxa"/>
          </w:tcPr>
          <w:p w:rsidR="009138CC" w:rsidRPr="00FE34D1" w:rsidRDefault="00915816">
            <w:pPr>
              <w:pStyle w:val="a9"/>
              <w:widowControl/>
              <w:spacing w:beforeAutospacing="0" w:afterAutospacing="0"/>
              <w:jc w:val="center"/>
              <w:rPr>
                <w:rFonts w:ascii="宋体" w:eastAsia="宋体" w:hAnsi="宋体" w:cs="宋体"/>
                <w:color w:val="000000"/>
                <w:sz w:val="21"/>
                <w:szCs w:val="21"/>
              </w:rPr>
            </w:pPr>
            <w:r w:rsidRPr="00FE34D1">
              <w:rPr>
                <w:rFonts w:ascii="宋体" w:eastAsia="宋体" w:hAnsi="宋体" w:cs="宋体"/>
                <w:color w:val="000000"/>
                <w:sz w:val="21"/>
                <w:szCs w:val="21"/>
              </w:rPr>
              <w:t>5年地方债ETF</w:t>
            </w:r>
          </w:p>
        </w:tc>
      </w:tr>
      <w:tr w:rsidR="009138CC" w:rsidRPr="00FE34D1" w:rsidTr="00EC5F5F">
        <w:trPr>
          <w:trHeight w:val="661"/>
        </w:trPr>
        <w:tc>
          <w:tcPr>
            <w:tcW w:w="575" w:type="dxa"/>
          </w:tcPr>
          <w:p w:rsidR="009138CC" w:rsidRPr="00FE34D1" w:rsidRDefault="009138CC">
            <w:pPr>
              <w:pStyle w:val="a9"/>
              <w:widowControl/>
              <w:spacing w:beforeAutospacing="0" w:afterAutospacing="0"/>
              <w:jc w:val="center"/>
              <w:rPr>
                <w:rFonts w:ascii="宋体" w:eastAsia="宋体" w:hAnsi="宋体" w:cs="宋体"/>
                <w:color w:val="000000"/>
                <w:sz w:val="21"/>
                <w:szCs w:val="21"/>
              </w:rPr>
            </w:pPr>
            <w:r w:rsidRPr="00FE34D1">
              <w:rPr>
                <w:rFonts w:ascii="宋体" w:eastAsia="宋体" w:hAnsi="宋体" w:cs="宋体" w:hint="eastAsia"/>
                <w:color w:val="000000"/>
                <w:sz w:val="21"/>
                <w:szCs w:val="21"/>
              </w:rPr>
              <w:t>3</w:t>
            </w:r>
          </w:p>
        </w:tc>
        <w:tc>
          <w:tcPr>
            <w:tcW w:w="993" w:type="dxa"/>
          </w:tcPr>
          <w:p w:rsidR="009138CC" w:rsidRPr="00FE34D1" w:rsidRDefault="009138CC">
            <w:pPr>
              <w:pStyle w:val="a9"/>
              <w:widowControl/>
              <w:spacing w:beforeAutospacing="0" w:afterAutospacing="0"/>
              <w:jc w:val="center"/>
              <w:rPr>
                <w:rFonts w:ascii="宋体" w:eastAsia="宋体" w:hAnsi="宋体" w:cs="宋体"/>
                <w:color w:val="000000"/>
                <w:sz w:val="21"/>
                <w:szCs w:val="21"/>
              </w:rPr>
            </w:pPr>
            <w:r w:rsidRPr="00FE34D1">
              <w:rPr>
                <w:rFonts w:ascii="宋体" w:eastAsia="宋体" w:hAnsi="宋体" w:cs="宋体" w:hint="eastAsia"/>
                <w:color w:val="000000"/>
                <w:sz w:val="21"/>
                <w:szCs w:val="21"/>
              </w:rPr>
              <w:t>511180</w:t>
            </w:r>
          </w:p>
        </w:tc>
        <w:tc>
          <w:tcPr>
            <w:tcW w:w="4677" w:type="dxa"/>
          </w:tcPr>
          <w:p w:rsidR="009138CC" w:rsidRPr="00FE34D1" w:rsidRDefault="009138CC">
            <w:pPr>
              <w:pStyle w:val="a9"/>
              <w:widowControl/>
              <w:spacing w:beforeAutospacing="0" w:afterAutospacing="0"/>
              <w:jc w:val="center"/>
              <w:rPr>
                <w:rFonts w:ascii="宋体" w:eastAsia="宋体" w:hAnsi="宋体" w:cs="宋体"/>
                <w:color w:val="000000"/>
                <w:sz w:val="21"/>
                <w:szCs w:val="21"/>
              </w:rPr>
            </w:pPr>
            <w:r w:rsidRPr="00FE34D1">
              <w:rPr>
                <w:rFonts w:ascii="宋体" w:eastAsia="宋体" w:hAnsi="宋体" w:cs="宋体" w:hint="eastAsia"/>
                <w:color w:val="000000"/>
                <w:sz w:val="21"/>
                <w:szCs w:val="21"/>
              </w:rPr>
              <w:t>海富通上证投资级可转债及可交换债券交易型开放式指数证券投资基金</w:t>
            </w:r>
          </w:p>
        </w:tc>
        <w:tc>
          <w:tcPr>
            <w:tcW w:w="1418" w:type="dxa"/>
          </w:tcPr>
          <w:p w:rsidR="009138CC" w:rsidRPr="00FE34D1" w:rsidRDefault="00915816">
            <w:pPr>
              <w:pStyle w:val="a9"/>
              <w:widowControl/>
              <w:spacing w:beforeAutospacing="0" w:afterAutospacing="0"/>
              <w:jc w:val="center"/>
              <w:rPr>
                <w:rFonts w:ascii="宋体" w:eastAsia="宋体" w:hAnsi="宋体" w:cs="宋体"/>
                <w:color w:val="000000"/>
                <w:sz w:val="21"/>
                <w:szCs w:val="21"/>
              </w:rPr>
            </w:pPr>
            <w:r w:rsidRPr="00FE34D1">
              <w:rPr>
                <w:rFonts w:ascii="宋体" w:eastAsia="宋体" w:hAnsi="宋体" w:cs="宋体"/>
                <w:color w:val="000000"/>
                <w:sz w:val="21"/>
                <w:szCs w:val="21"/>
              </w:rPr>
              <w:t>上证转债</w:t>
            </w:r>
          </w:p>
        </w:tc>
        <w:tc>
          <w:tcPr>
            <w:tcW w:w="1701" w:type="dxa"/>
          </w:tcPr>
          <w:p w:rsidR="009138CC" w:rsidRPr="00FE34D1" w:rsidRDefault="00915816">
            <w:pPr>
              <w:pStyle w:val="a9"/>
              <w:widowControl/>
              <w:spacing w:beforeAutospacing="0" w:afterAutospacing="0"/>
              <w:jc w:val="center"/>
              <w:rPr>
                <w:rFonts w:ascii="宋体" w:eastAsia="宋体" w:hAnsi="宋体" w:cs="宋体"/>
                <w:color w:val="000000"/>
                <w:sz w:val="21"/>
                <w:szCs w:val="21"/>
              </w:rPr>
            </w:pPr>
            <w:r w:rsidRPr="00FE34D1">
              <w:rPr>
                <w:rFonts w:ascii="宋体" w:eastAsia="宋体" w:hAnsi="宋体" w:cs="宋体"/>
                <w:color w:val="000000"/>
                <w:sz w:val="21"/>
                <w:szCs w:val="21"/>
              </w:rPr>
              <w:t>上证可转债ETF</w:t>
            </w:r>
          </w:p>
        </w:tc>
      </w:tr>
      <w:tr w:rsidR="009138CC" w:rsidRPr="00FE34D1" w:rsidTr="00EC5F5F">
        <w:trPr>
          <w:trHeight w:val="659"/>
        </w:trPr>
        <w:tc>
          <w:tcPr>
            <w:tcW w:w="575" w:type="dxa"/>
          </w:tcPr>
          <w:p w:rsidR="009138CC" w:rsidRPr="00FE34D1" w:rsidRDefault="009138CC">
            <w:pPr>
              <w:pStyle w:val="a9"/>
              <w:widowControl/>
              <w:spacing w:beforeAutospacing="0" w:afterAutospacing="0"/>
              <w:jc w:val="center"/>
              <w:rPr>
                <w:rFonts w:ascii="宋体" w:eastAsia="宋体" w:hAnsi="宋体" w:cs="宋体"/>
                <w:color w:val="000000"/>
                <w:sz w:val="21"/>
                <w:szCs w:val="21"/>
              </w:rPr>
            </w:pPr>
            <w:r w:rsidRPr="00FE34D1">
              <w:rPr>
                <w:rFonts w:ascii="宋体" w:eastAsia="宋体" w:hAnsi="宋体" w:cs="宋体" w:hint="eastAsia"/>
                <w:color w:val="000000"/>
                <w:sz w:val="21"/>
                <w:szCs w:val="21"/>
              </w:rPr>
              <w:t>4</w:t>
            </w:r>
          </w:p>
        </w:tc>
        <w:tc>
          <w:tcPr>
            <w:tcW w:w="993" w:type="dxa"/>
          </w:tcPr>
          <w:p w:rsidR="009138CC" w:rsidRPr="00FE34D1" w:rsidRDefault="009138CC">
            <w:pPr>
              <w:pStyle w:val="a9"/>
              <w:widowControl/>
              <w:spacing w:beforeAutospacing="0" w:afterAutospacing="0"/>
              <w:jc w:val="center"/>
              <w:rPr>
                <w:rFonts w:ascii="宋体" w:eastAsia="宋体" w:hAnsi="宋体" w:cs="宋体"/>
                <w:color w:val="000000"/>
                <w:sz w:val="21"/>
                <w:szCs w:val="21"/>
              </w:rPr>
            </w:pPr>
            <w:r w:rsidRPr="00FE34D1">
              <w:rPr>
                <w:rFonts w:ascii="宋体" w:eastAsia="宋体" w:hAnsi="宋体" w:cs="宋体" w:hint="eastAsia"/>
                <w:color w:val="000000"/>
                <w:sz w:val="21"/>
                <w:szCs w:val="21"/>
              </w:rPr>
              <w:t>511190</w:t>
            </w:r>
          </w:p>
        </w:tc>
        <w:tc>
          <w:tcPr>
            <w:tcW w:w="4677" w:type="dxa"/>
          </w:tcPr>
          <w:p w:rsidR="009138CC" w:rsidRPr="00FE34D1" w:rsidRDefault="009138CC">
            <w:pPr>
              <w:pStyle w:val="a9"/>
              <w:widowControl/>
              <w:spacing w:beforeAutospacing="0" w:afterAutospacing="0"/>
              <w:jc w:val="center"/>
              <w:rPr>
                <w:rFonts w:ascii="宋体" w:eastAsia="宋体" w:hAnsi="宋体" w:cs="宋体"/>
                <w:color w:val="000000"/>
                <w:sz w:val="21"/>
                <w:szCs w:val="21"/>
              </w:rPr>
            </w:pPr>
            <w:r w:rsidRPr="00FE34D1">
              <w:rPr>
                <w:rFonts w:ascii="宋体" w:eastAsia="宋体" w:hAnsi="宋体" w:cs="宋体" w:hint="eastAsia"/>
                <w:color w:val="000000"/>
                <w:sz w:val="21"/>
                <w:szCs w:val="21"/>
              </w:rPr>
              <w:t>海富通上证基准做市公司债交易型开放式指数证券投资基金</w:t>
            </w:r>
          </w:p>
        </w:tc>
        <w:tc>
          <w:tcPr>
            <w:tcW w:w="1418" w:type="dxa"/>
          </w:tcPr>
          <w:p w:rsidR="009138CC" w:rsidRPr="00FE34D1" w:rsidRDefault="00915816">
            <w:pPr>
              <w:pStyle w:val="a9"/>
              <w:widowControl/>
              <w:spacing w:beforeAutospacing="0" w:afterAutospacing="0"/>
              <w:jc w:val="center"/>
              <w:rPr>
                <w:rFonts w:ascii="宋体" w:eastAsia="宋体" w:hAnsi="宋体" w:cs="宋体"/>
                <w:color w:val="000000"/>
                <w:sz w:val="21"/>
                <w:szCs w:val="21"/>
              </w:rPr>
            </w:pPr>
            <w:r w:rsidRPr="00FE34D1">
              <w:rPr>
                <w:rFonts w:ascii="宋体" w:eastAsia="宋体" w:hAnsi="宋体" w:cs="宋体"/>
                <w:color w:val="000000"/>
                <w:sz w:val="21"/>
                <w:szCs w:val="21"/>
              </w:rPr>
              <w:t>信用债</w:t>
            </w:r>
          </w:p>
        </w:tc>
        <w:tc>
          <w:tcPr>
            <w:tcW w:w="1701" w:type="dxa"/>
          </w:tcPr>
          <w:p w:rsidR="009138CC" w:rsidRPr="00FE34D1" w:rsidRDefault="00915816">
            <w:pPr>
              <w:pStyle w:val="a9"/>
              <w:widowControl/>
              <w:spacing w:beforeAutospacing="0" w:afterAutospacing="0"/>
              <w:jc w:val="center"/>
              <w:rPr>
                <w:rFonts w:ascii="宋体" w:eastAsia="宋体" w:hAnsi="宋体" w:cs="宋体"/>
                <w:color w:val="000000"/>
                <w:sz w:val="21"/>
                <w:szCs w:val="21"/>
              </w:rPr>
            </w:pPr>
            <w:r w:rsidRPr="00FE34D1">
              <w:rPr>
                <w:rFonts w:ascii="宋体" w:eastAsia="宋体" w:hAnsi="宋体" w:cs="宋体"/>
                <w:color w:val="000000"/>
                <w:sz w:val="21"/>
                <w:szCs w:val="21"/>
              </w:rPr>
              <w:t>信用债ETF</w:t>
            </w:r>
          </w:p>
        </w:tc>
      </w:tr>
      <w:tr w:rsidR="009138CC" w:rsidRPr="00FE34D1" w:rsidTr="00EC5F5F">
        <w:trPr>
          <w:trHeight w:val="661"/>
        </w:trPr>
        <w:tc>
          <w:tcPr>
            <w:tcW w:w="575" w:type="dxa"/>
          </w:tcPr>
          <w:p w:rsidR="009138CC" w:rsidRPr="00FE34D1" w:rsidRDefault="009138CC">
            <w:pPr>
              <w:pStyle w:val="a9"/>
              <w:widowControl/>
              <w:spacing w:beforeAutospacing="0" w:afterAutospacing="0"/>
              <w:jc w:val="center"/>
              <w:rPr>
                <w:rFonts w:ascii="宋体" w:eastAsia="宋体" w:hAnsi="宋体" w:cs="宋体"/>
                <w:color w:val="000000"/>
                <w:sz w:val="21"/>
                <w:szCs w:val="21"/>
              </w:rPr>
            </w:pPr>
            <w:r w:rsidRPr="00FE34D1">
              <w:rPr>
                <w:rFonts w:ascii="宋体" w:eastAsia="宋体" w:hAnsi="宋体" w:cs="宋体" w:hint="eastAsia"/>
                <w:color w:val="000000"/>
                <w:sz w:val="21"/>
                <w:szCs w:val="21"/>
              </w:rPr>
              <w:t>5</w:t>
            </w:r>
          </w:p>
        </w:tc>
        <w:tc>
          <w:tcPr>
            <w:tcW w:w="993" w:type="dxa"/>
          </w:tcPr>
          <w:p w:rsidR="009138CC" w:rsidRPr="00FE34D1" w:rsidRDefault="009138CC">
            <w:pPr>
              <w:pStyle w:val="a9"/>
              <w:widowControl/>
              <w:spacing w:beforeAutospacing="0" w:afterAutospacing="0"/>
              <w:jc w:val="center"/>
              <w:rPr>
                <w:rFonts w:ascii="宋体" w:eastAsia="宋体" w:hAnsi="宋体" w:cs="宋体"/>
                <w:color w:val="000000"/>
                <w:sz w:val="21"/>
                <w:szCs w:val="21"/>
              </w:rPr>
            </w:pPr>
            <w:r w:rsidRPr="00FE34D1">
              <w:rPr>
                <w:rFonts w:ascii="宋体" w:eastAsia="宋体" w:hAnsi="宋体" w:cs="宋体" w:hint="eastAsia"/>
                <w:color w:val="000000"/>
                <w:sz w:val="21"/>
                <w:szCs w:val="21"/>
              </w:rPr>
              <w:t>511220</w:t>
            </w:r>
          </w:p>
        </w:tc>
        <w:tc>
          <w:tcPr>
            <w:tcW w:w="4677" w:type="dxa"/>
          </w:tcPr>
          <w:p w:rsidR="009138CC" w:rsidRPr="00FE34D1" w:rsidRDefault="009138CC">
            <w:pPr>
              <w:pStyle w:val="a9"/>
              <w:widowControl/>
              <w:spacing w:beforeAutospacing="0" w:afterAutospacing="0"/>
              <w:jc w:val="center"/>
              <w:rPr>
                <w:rFonts w:ascii="宋体" w:eastAsia="宋体" w:hAnsi="宋体" w:cs="宋体"/>
                <w:color w:val="000000"/>
                <w:sz w:val="21"/>
                <w:szCs w:val="21"/>
              </w:rPr>
            </w:pPr>
            <w:r w:rsidRPr="00FE34D1">
              <w:rPr>
                <w:rFonts w:ascii="宋体" w:eastAsia="宋体" w:hAnsi="宋体" w:cs="宋体" w:hint="eastAsia"/>
                <w:color w:val="000000"/>
                <w:sz w:val="21"/>
                <w:szCs w:val="21"/>
              </w:rPr>
              <w:t>上证城投债交易型开放式指数证券投资基金</w:t>
            </w:r>
          </w:p>
        </w:tc>
        <w:tc>
          <w:tcPr>
            <w:tcW w:w="1418" w:type="dxa"/>
          </w:tcPr>
          <w:p w:rsidR="009138CC" w:rsidRPr="00FE34D1" w:rsidRDefault="00915816">
            <w:pPr>
              <w:pStyle w:val="a9"/>
              <w:widowControl/>
              <w:spacing w:beforeAutospacing="0" w:afterAutospacing="0"/>
              <w:jc w:val="center"/>
              <w:rPr>
                <w:rFonts w:ascii="宋体" w:eastAsia="宋体" w:hAnsi="宋体" w:cs="宋体"/>
                <w:color w:val="000000"/>
                <w:sz w:val="21"/>
                <w:szCs w:val="21"/>
              </w:rPr>
            </w:pPr>
            <w:r w:rsidRPr="00FE34D1">
              <w:rPr>
                <w:rFonts w:ascii="宋体" w:eastAsia="宋体" w:hAnsi="宋体" w:cs="宋体"/>
                <w:color w:val="000000"/>
                <w:sz w:val="21"/>
                <w:szCs w:val="21"/>
              </w:rPr>
              <w:t>城投ETF</w:t>
            </w:r>
          </w:p>
        </w:tc>
        <w:tc>
          <w:tcPr>
            <w:tcW w:w="1701" w:type="dxa"/>
          </w:tcPr>
          <w:p w:rsidR="009138CC" w:rsidRPr="00FE34D1" w:rsidRDefault="00915816">
            <w:pPr>
              <w:pStyle w:val="a9"/>
              <w:widowControl/>
              <w:spacing w:beforeAutospacing="0" w:afterAutospacing="0"/>
              <w:jc w:val="center"/>
              <w:rPr>
                <w:rFonts w:ascii="宋体" w:eastAsia="宋体" w:hAnsi="宋体" w:cs="宋体"/>
                <w:color w:val="000000"/>
                <w:sz w:val="21"/>
                <w:szCs w:val="21"/>
              </w:rPr>
            </w:pPr>
            <w:r w:rsidRPr="00FE34D1">
              <w:rPr>
                <w:rFonts w:ascii="宋体" w:eastAsia="宋体" w:hAnsi="宋体" w:cs="宋体"/>
                <w:color w:val="000000"/>
                <w:sz w:val="21"/>
                <w:szCs w:val="21"/>
              </w:rPr>
              <w:t>城投债ETF</w:t>
            </w:r>
          </w:p>
        </w:tc>
      </w:tr>
      <w:tr w:rsidR="009138CC" w:rsidRPr="00FE34D1" w:rsidTr="00EC5F5F">
        <w:trPr>
          <w:trHeight w:val="662"/>
        </w:trPr>
        <w:tc>
          <w:tcPr>
            <w:tcW w:w="575" w:type="dxa"/>
          </w:tcPr>
          <w:p w:rsidR="009138CC" w:rsidRPr="00FE34D1" w:rsidRDefault="009138CC">
            <w:pPr>
              <w:pStyle w:val="a9"/>
              <w:widowControl/>
              <w:spacing w:beforeAutospacing="0" w:afterAutospacing="0"/>
              <w:jc w:val="center"/>
              <w:rPr>
                <w:rFonts w:ascii="宋体" w:eastAsia="宋体" w:hAnsi="宋体" w:cs="宋体"/>
                <w:color w:val="000000"/>
                <w:sz w:val="21"/>
                <w:szCs w:val="21"/>
              </w:rPr>
            </w:pPr>
            <w:r w:rsidRPr="00FE34D1">
              <w:rPr>
                <w:rFonts w:ascii="宋体" w:eastAsia="宋体" w:hAnsi="宋体" w:cs="宋体" w:hint="eastAsia"/>
                <w:color w:val="000000"/>
                <w:sz w:val="21"/>
                <w:szCs w:val="21"/>
              </w:rPr>
              <w:t>6</w:t>
            </w:r>
          </w:p>
        </w:tc>
        <w:tc>
          <w:tcPr>
            <w:tcW w:w="993" w:type="dxa"/>
          </w:tcPr>
          <w:p w:rsidR="009138CC" w:rsidRPr="00FE34D1" w:rsidRDefault="009138CC">
            <w:pPr>
              <w:pStyle w:val="a9"/>
              <w:widowControl/>
              <w:spacing w:beforeAutospacing="0" w:afterAutospacing="0"/>
              <w:jc w:val="center"/>
              <w:rPr>
                <w:rFonts w:ascii="宋体" w:eastAsia="宋体" w:hAnsi="宋体" w:cs="宋体"/>
                <w:color w:val="000000"/>
                <w:sz w:val="21"/>
                <w:szCs w:val="21"/>
              </w:rPr>
            </w:pPr>
            <w:r w:rsidRPr="00FE34D1">
              <w:rPr>
                <w:rFonts w:ascii="宋体" w:eastAsia="宋体" w:hAnsi="宋体" w:cs="宋体" w:hint="eastAsia"/>
                <w:color w:val="000000"/>
                <w:sz w:val="21"/>
                <w:szCs w:val="21"/>
              </w:rPr>
              <w:t>511270</w:t>
            </w:r>
          </w:p>
        </w:tc>
        <w:tc>
          <w:tcPr>
            <w:tcW w:w="4677" w:type="dxa"/>
          </w:tcPr>
          <w:p w:rsidR="009138CC" w:rsidRPr="00FE34D1" w:rsidRDefault="009138CC">
            <w:pPr>
              <w:pStyle w:val="a9"/>
              <w:widowControl/>
              <w:spacing w:beforeAutospacing="0" w:afterAutospacing="0"/>
              <w:jc w:val="center"/>
              <w:rPr>
                <w:rFonts w:ascii="宋体" w:eastAsia="宋体" w:hAnsi="宋体" w:cs="宋体"/>
                <w:color w:val="000000"/>
                <w:sz w:val="21"/>
                <w:szCs w:val="21"/>
              </w:rPr>
            </w:pPr>
            <w:r w:rsidRPr="00FE34D1">
              <w:rPr>
                <w:rFonts w:ascii="宋体" w:eastAsia="宋体" w:hAnsi="宋体" w:cs="宋体" w:hint="eastAsia"/>
                <w:color w:val="000000"/>
                <w:sz w:val="21"/>
                <w:szCs w:val="21"/>
              </w:rPr>
              <w:t>上证10年期地方政府债交易型开放式指数证券投资基金</w:t>
            </w:r>
          </w:p>
        </w:tc>
        <w:tc>
          <w:tcPr>
            <w:tcW w:w="1418" w:type="dxa"/>
          </w:tcPr>
          <w:p w:rsidR="009138CC" w:rsidRPr="00FE34D1" w:rsidRDefault="00915816">
            <w:pPr>
              <w:pStyle w:val="a9"/>
              <w:widowControl/>
              <w:spacing w:beforeAutospacing="0" w:afterAutospacing="0"/>
              <w:jc w:val="center"/>
              <w:rPr>
                <w:rFonts w:ascii="宋体" w:eastAsia="宋体" w:hAnsi="宋体" w:cs="宋体"/>
                <w:color w:val="000000"/>
                <w:sz w:val="21"/>
                <w:szCs w:val="21"/>
              </w:rPr>
            </w:pPr>
            <w:r w:rsidRPr="00FE34D1">
              <w:rPr>
                <w:rFonts w:ascii="宋体" w:eastAsia="宋体" w:hAnsi="宋体" w:cs="宋体"/>
                <w:color w:val="000000"/>
                <w:sz w:val="21"/>
                <w:szCs w:val="21"/>
              </w:rPr>
              <w:t>10年地债</w:t>
            </w:r>
          </w:p>
        </w:tc>
        <w:tc>
          <w:tcPr>
            <w:tcW w:w="1701" w:type="dxa"/>
          </w:tcPr>
          <w:p w:rsidR="009138CC" w:rsidRPr="00FE34D1" w:rsidRDefault="00915816">
            <w:pPr>
              <w:pStyle w:val="a9"/>
              <w:widowControl/>
              <w:spacing w:beforeAutospacing="0" w:afterAutospacing="0"/>
              <w:jc w:val="center"/>
              <w:rPr>
                <w:rFonts w:ascii="宋体" w:eastAsia="宋体" w:hAnsi="宋体" w:cs="宋体"/>
                <w:color w:val="000000"/>
                <w:sz w:val="21"/>
                <w:szCs w:val="21"/>
              </w:rPr>
            </w:pPr>
            <w:r w:rsidRPr="00FE34D1">
              <w:rPr>
                <w:rFonts w:ascii="宋体" w:eastAsia="宋体" w:hAnsi="宋体" w:cs="宋体"/>
                <w:color w:val="000000"/>
                <w:sz w:val="21"/>
                <w:szCs w:val="21"/>
              </w:rPr>
              <w:t>10年地方债ETF</w:t>
            </w:r>
          </w:p>
        </w:tc>
      </w:tr>
      <w:tr w:rsidR="009138CC" w:rsidRPr="00FE34D1" w:rsidTr="00EC5F5F">
        <w:trPr>
          <w:trHeight w:val="659"/>
        </w:trPr>
        <w:tc>
          <w:tcPr>
            <w:tcW w:w="575" w:type="dxa"/>
          </w:tcPr>
          <w:p w:rsidR="009138CC" w:rsidRPr="00FE34D1" w:rsidRDefault="009138CC">
            <w:pPr>
              <w:pStyle w:val="a9"/>
              <w:widowControl/>
              <w:spacing w:beforeAutospacing="0" w:afterAutospacing="0"/>
              <w:jc w:val="center"/>
              <w:rPr>
                <w:rFonts w:ascii="宋体" w:eastAsia="宋体" w:hAnsi="宋体" w:cs="宋体"/>
                <w:color w:val="000000"/>
                <w:sz w:val="21"/>
                <w:szCs w:val="21"/>
              </w:rPr>
            </w:pPr>
            <w:r w:rsidRPr="00FE34D1">
              <w:rPr>
                <w:rFonts w:ascii="宋体" w:eastAsia="宋体" w:hAnsi="宋体" w:cs="宋体" w:hint="eastAsia"/>
                <w:color w:val="000000"/>
                <w:sz w:val="21"/>
                <w:szCs w:val="21"/>
              </w:rPr>
              <w:t>7</w:t>
            </w:r>
          </w:p>
        </w:tc>
        <w:tc>
          <w:tcPr>
            <w:tcW w:w="993" w:type="dxa"/>
          </w:tcPr>
          <w:p w:rsidR="009138CC" w:rsidRPr="00FE34D1" w:rsidRDefault="009138CC">
            <w:pPr>
              <w:pStyle w:val="a9"/>
              <w:widowControl/>
              <w:spacing w:beforeAutospacing="0" w:afterAutospacing="0"/>
              <w:jc w:val="center"/>
              <w:rPr>
                <w:rFonts w:ascii="宋体" w:eastAsia="宋体" w:hAnsi="宋体" w:cs="宋体"/>
                <w:color w:val="000000"/>
                <w:sz w:val="21"/>
                <w:szCs w:val="21"/>
              </w:rPr>
            </w:pPr>
            <w:r w:rsidRPr="00FE34D1">
              <w:rPr>
                <w:rFonts w:ascii="宋体" w:eastAsia="宋体" w:hAnsi="宋体" w:cs="宋体" w:hint="eastAsia"/>
                <w:color w:val="000000"/>
                <w:sz w:val="21"/>
                <w:szCs w:val="21"/>
              </w:rPr>
              <w:t>511360</w:t>
            </w:r>
          </w:p>
        </w:tc>
        <w:tc>
          <w:tcPr>
            <w:tcW w:w="4677" w:type="dxa"/>
          </w:tcPr>
          <w:p w:rsidR="009138CC" w:rsidRPr="00FE34D1" w:rsidRDefault="009138CC">
            <w:pPr>
              <w:pStyle w:val="a9"/>
              <w:widowControl/>
              <w:spacing w:beforeAutospacing="0" w:afterAutospacing="0"/>
              <w:jc w:val="center"/>
              <w:rPr>
                <w:rFonts w:ascii="宋体" w:eastAsia="宋体" w:hAnsi="宋体" w:cs="宋体"/>
                <w:color w:val="000000"/>
                <w:sz w:val="21"/>
                <w:szCs w:val="21"/>
              </w:rPr>
            </w:pPr>
            <w:r w:rsidRPr="00FE34D1">
              <w:rPr>
                <w:rFonts w:ascii="宋体" w:eastAsia="宋体" w:hAnsi="宋体" w:cs="宋体" w:hint="eastAsia"/>
                <w:color w:val="000000"/>
                <w:sz w:val="21"/>
                <w:szCs w:val="21"/>
              </w:rPr>
              <w:t>海富通中证短融交易型开放式指数证券投资基金</w:t>
            </w:r>
          </w:p>
        </w:tc>
        <w:tc>
          <w:tcPr>
            <w:tcW w:w="1418" w:type="dxa"/>
          </w:tcPr>
          <w:p w:rsidR="009138CC" w:rsidRPr="00FE34D1" w:rsidRDefault="00915816">
            <w:pPr>
              <w:pStyle w:val="a9"/>
              <w:widowControl/>
              <w:spacing w:beforeAutospacing="0" w:afterAutospacing="0"/>
              <w:jc w:val="center"/>
              <w:rPr>
                <w:rFonts w:ascii="宋体" w:eastAsia="宋体" w:hAnsi="宋体" w:cs="宋体"/>
                <w:color w:val="000000"/>
                <w:sz w:val="21"/>
                <w:szCs w:val="21"/>
              </w:rPr>
            </w:pPr>
            <w:r w:rsidRPr="00FE34D1">
              <w:rPr>
                <w:rFonts w:ascii="宋体" w:eastAsia="宋体" w:hAnsi="宋体" w:cs="宋体"/>
                <w:color w:val="000000"/>
                <w:sz w:val="21"/>
                <w:szCs w:val="21"/>
              </w:rPr>
              <w:t>短融ETF</w:t>
            </w:r>
          </w:p>
        </w:tc>
        <w:tc>
          <w:tcPr>
            <w:tcW w:w="1701" w:type="dxa"/>
          </w:tcPr>
          <w:p w:rsidR="009138CC" w:rsidRPr="00FE34D1" w:rsidRDefault="00915816">
            <w:pPr>
              <w:pStyle w:val="a9"/>
              <w:widowControl/>
              <w:spacing w:beforeAutospacing="0" w:afterAutospacing="0"/>
              <w:jc w:val="center"/>
              <w:rPr>
                <w:rFonts w:ascii="宋体" w:eastAsia="宋体" w:hAnsi="宋体" w:cs="宋体"/>
                <w:color w:val="000000"/>
                <w:sz w:val="21"/>
                <w:szCs w:val="21"/>
              </w:rPr>
            </w:pPr>
            <w:r w:rsidRPr="00FE34D1">
              <w:rPr>
                <w:rFonts w:ascii="宋体" w:eastAsia="宋体" w:hAnsi="宋体" w:cs="宋体"/>
                <w:color w:val="000000"/>
                <w:sz w:val="21"/>
                <w:szCs w:val="21"/>
              </w:rPr>
              <w:t>短融ETF</w:t>
            </w:r>
          </w:p>
        </w:tc>
      </w:tr>
      <w:tr w:rsidR="009138CC" w:rsidRPr="00FE34D1" w:rsidTr="00EC5F5F">
        <w:trPr>
          <w:trHeight w:val="661"/>
        </w:trPr>
        <w:tc>
          <w:tcPr>
            <w:tcW w:w="575" w:type="dxa"/>
          </w:tcPr>
          <w:p w:rsidR="009138CC" w:rsidRPr="00FE34D1" w:rsidRDefault="009138CC">
            <w:pPr>
              <w:pStyle w:val="a9"/>
              <w:widowControl/>
              <w:spacing w:beforeAutospacing="0" w:afterAutospacing="0"/>
              <w:jc w:val="center"/>
              <w:rPr>
                <w:rFonts w:ascii="宋体" w:eastAsia="宋体" w:hAnsi="宋体" w:cs="宋体"/>
                <w:color w:val="000000"/>
                <w:sz w:val="21"/>
                <w:szCs w:val="21"/>
              </w:rPr>
            </w:pPr>
            <w:r w:rsidRPr="00FE34D1">
              <w:rPr>
                <w:rFonts w:ascii="宋体" w:eastAsia="宋体" w:hAnsi="宋体" w:cs="宋体" w:hint="eastAsia"/>
                <w:color w:val="000000"/>
                <w:sz w:val="21"/>
                <w:szCs w:val="21"/>
              </w:rPr>
              <w:t>8</w:t>
            </w:r>
          </w:p>
        </w:tc>
        <w:tc>
          <w:tcPr>
            <w:tcW w:w="993" w:type="dxa"/>
          </w:tcPr>
          <w:p w:rsidR="009138CC" w:rsidRPr="00FE34D1" w:rsidRDefault="009138CC">
            <w:pPr>
              <w:pStyle w:val="a9"/>
              <w:widowControl/>
              <w:spacing w:beforeAutospacing="0" w:afterAutospacing="0"/>
              <w:jc w:val="center"/>
              <w:rPr>
                <w:rFonts w:ascii="宋体" w:eastAsia="宋体" w:hAnsi="宋体" w:cs="宋体"/>
                <w:color w:val="000000"/>
                <w:sz w:val="21"/>
                <w:szCs w:val="21"/>
              </w:rPr>
            </w:pPr>
            <w:r w:rsidRPr="00FE34D1">
              <w:rPr>
                <w:rFonts w:ascii="宋体" w:eastAsia="宋体" w:hAnsi="宋体" w:cs="宋体" w:hint="eastAsia"/>
                <w:color w:val="000000"/>
                <w:sz w:val="21"/>
                <w:szCs w:val="21"/>
              </w:rPr>
              <w:t>513860</w:t>
            </w:r>
          </w:p>
        </w:tc>
        <w:tc>
          <w:tcPr>
            <w:tcW w:w="4677" w:type="dxa"/>
          </w:tcPr>
          <w:p w:rsidR="009138CC" w:rsidRPr="00FE34D1" w:rsidRDefault="009138CC">
            <w:pPr>
              <w:pStyle w:val="a9"/>
              <w:widowControl/>
              <w:spacing w:beforeAutospacing="0" w:afterAutospacing="0"/>
              <w:jc w:val="center"/>
              <w:rPr>
                <w:rFonts w:ascii="宋体" w:eastAsia="宋体" w:hAnsi="宋体" w:cs="宋体"/>
                <w:color w:val="000000"/>
                <w:sz w:val="21"/>
                <w:szCs w:val="21"/>
              </w:rPr>
            </w:pPr>
            <w:r w:rsidRPr="00FE34D1">
              <w:rPr>
                <w:rFonts w:ascii="宋体" w:eastAsia="宋体" w:hAnsi="宋体" w:cs="宋体" w:hint="eastAsia"/>
                <w:color w:val="000000"/>
                <w:sz w:val="21"/>
                <w:szCs w:val="21"/>
              </w:rPr>
              <w:t>海富通中证港股通科技交易型开放式指数证券投资基金</w:t>
            </w:r>
          </w:p>
        </w:tc>
        <w:tc>
          <w:tcPr>
            <w:tcW w:w="1418" w:type="dxa"/>
          </w:tcPr>
          <w:p w:rsidR="009138CC" w:rsidRPr="00FE34D1" w:rsidRDefault="00915816">
            <w:pPr>
              <w:pStyle w:val="a9"/>
              <w:widowControl/>
              <w:spacing w:beforeAutospacing="0" w:afterAutospacing="0"/>
              <w:jc w:val="center"/>
              <w:rPr>
                <w:rFonts w:ascii="宋体" w:eastAsia="宋体" w:hAnsi="宋体" w:cs="宋体"/>
                <w:color w:val="000000"/>
                <w:sz w:val="21"/>
                <w:szCs w:val="21"/>
              </w:rPr>
            </w:pPr>
            <w:r w:rsidRPr="00FE34D1">
              <w:rPr>
                <w:rFonts w:ascii="宋体" w:eastAsia="宋体" w:hAnsi="宋体" w:cs="宋体"/>
                <w:color w:val="000000"/>
                <w:sz w:val="21"/>
                <w:szCs w:val="21"/>
              </w:rPr>
              <w:t>HKC科技</w:t>
            </w:r>
          </w:p>
        </w:tc>
        <w:tc>
          <w:tcPr>
            <w:tcW w:w="1701" w:type="dxa"/>
          </w:tcPr>
          <w:p w:rsidR="009138CC" w:rsidRPr="00FE34D1" w:rsidRDefault="00915816">
            <w:pPr>
              <w:pStyle w:val="a9"/>
              <w:widowControl/>
              <w:spacing w:beforeAutospacing="0" w:afterAutospacing="0"/>
              <w:jc w:val="center"/>
              <w:rPr>
                <w:rFonts w:ascii="宋体" w:eastAsia="宋体" w:hAnsi="宋体" w:cs="宋体"/>
                <w:color w:val="000000"/>
                <w:sz w:val="21"/>
                <w:szCs w:val="21"/>
              </w:rPr>
            </w:pPr>
            <w:r w:rsidRPr="00FE34D1">
              <w:rPr>
                <w:rFonts w:ascii="宋体" w:eastAsia="宋体" w:hAnsi="宋体" w:cs="宋体"/>
                <w:color w:val="000000"/>
                <w:sz w:val="21"/>
                <w:szCs w:val="21"/>
              </w:rPr>
              <w:t>港股通科技ETF</w:t>
            </w:r>
          </w:p>
        </w:tc>
      </w:tr>
    </w:tbl>
    <w:p w:rsidR="00B01950" w:rsidRPr="00FE34D1" w:rsidRDefault="00D25B3C">
      <w:pPr>
        <w:pStyle w:val="a9"/>
        <w:spacing w:beforeAutospacing="0" w:afterAutospacing="0" w:line="360" w:lineRule="auto"/>
        <w:ind w:firstLine="480"/>
        <w:jc w:val="both"/>
        <w:rPr>
          <w:rFonts w:ascii="宋体" w:eastAsia="宋体" w:hAnsi="宋体" w:cs="宋体"/>
          <w:b/>
          <w:bCs/>
          <w:color w:val="000000"/>
          <w:szCs w:val="24"/>
        </w:rPr>
      </w:pPr>
      <w:r w:rsidRPr="00FE34D1">
        <w:rPr>
          <w:rFonts w:ascii="宋体" w:eastAsia="宋体" w:hAnsi="宋体" w:cs="宋体" w:hint="eastAsia"/>
          <w:b/>
          <w:bCs/>
          <w:color w:val="000000"/>
          <w:szCs w:val="24"/>
        </w:rPr>
        <w:t>二、更新情况说明</w:t>
      </w:r>
    </w:p>
    <w:p w:rsidR="00B01950" w:rsidRPr="00FE34D1" w:rsidRDefault="00D25B3C">
      <w:pPr>
        <w:pStyle w:val="a9"/>
        <w:spacing w:beforeAutospacing="0" w:afterAutospacing="0" w:line="360" w:lineRule="auto"/>
        <w:ind w:firstLine="480"/>
        <w:jc w:val="both"/>
        <w:rPr>
          <w:rFonts w:ascii="宋体" w:eastAsia="宋体" w:hAnsi="宋体" w:cs="宋体"/>
          <w:color w:val="000000"/>
          <w:szCs w:val="24"/>
        </w:rPr>
      </w:pPr>
      <w:r w:rsidRPr="00FE34D1">
        <w:rPr>
          <w:rFonts w:ascii="宋体" w:eastAsia="宋体" w:hAnsi="宋体" w:cs="宋体" w:hint="eastAsia"/>
          <w:color w:val="000000"/>
          <w:szCs w:val="24"/>
        </w:rPr>
        <w:t>根据《上海证券交易所优化</w:t>
      </w:r>
      <w:r w:rsidRPr="00FE34D1">
        <w:rPr>
          <w:rFonts w:ascii="宋体" w:eastAsia="宋体" w:hAnsi="宋体" w:cs="宋体" w:hint="eastAsia"/>
          <w:color w:val="000000"/>
          <w:szCs w:val="24"/>
        </w:rPr>
        <w:t>ETF</w:t>
      </w:r>
      <w:r w:rsidRPr="00FE34D1">
        <w:rPr>
          <w:rFonts w:ascii="宋体" w:eastAsia="宋体" w:hAnsi="宋体" w:cs="宋体" w:hint="eastAsia"/>
          <w:color w:val="000000"/>
          <w:szCs w:val="24"/>
        </w:rPr>
        <w:t>申赎清单市场参与者技术实施指南》，上交所</w:t>
      </w:r>
      <w:r w:rsidRPr="00FE34D1">
        <w:rPr>
          <w:rFonts w:ascii="宋体" w:eastAsia="宋体" w:hAnsi="宋体" w:cs="宋体" w:hint="eastAsia"/>
          <w:color w:val="000000"/>
          <w:szCs w:val="24"/>
        </w:rPr>
        <w:t>ETF</w:t>
      </w:r>
      <w:r w:rsidRPr="00FE34D1">
        <w:rPr>
          <w:rFonts w:ascii="宋体" w:eastAsia="宋体" w:hAnsi="宋体" w:cs="宋体" w:hint="eastAsia"/>
          <w:color w:val="000000"/>
          <w:szCs w:val="24"/>
        </w:rPr>
        <w:t>申购赎回清单将新增</w:t>
      </w:r>
      <w:r w:rsidRPr="00FE34D1">
        <w:rPr>
          <w:rFonts w:ascii="宋体" w:eastAsia="宋体" w:hAnsi="宋体" w:cs="宋体" w:hint="eastAsia"/>
          <w:color w:val="000000"/>
          <w:szCs w:val="24"/>
        </w:rPr>
        <w:t>xml</w:t>
      </w:r>
      <w:r w:rsidRPr="00FE34D1">
        <w:rPr>
          <w:rFonts w:ascii="宋体" w:eastAsia="宋体" w:hAnsi="宋体" w:cs="宋体" w:hint="eastAsia"/>
          <w:color w:val="000000"/>
          <w:szCs w:val="24"/>
        </w:rPr>
        <w:t>版本，除格式变更外，主要调整包括：</w:t>
      </w:r>
    </w:p>
    <w:p w:rsidR="00B01950" w:rsidRPr="00FE34D1" w:rsidRDefault="00D25B3C">
      <w:pPr>
        <w:pStyle w:val="a4"/>
        <w:numPr>
          <w:ilvl w:val="0"/>
          <w:numId w:val="1"/>
        </w:numPr>
        <w:spacing w:line="360" w:lineRule="auto"/>
        <w:ind w:right="418" w:firstLine="420"/>
        <w:rPr>
          <w:spacing w:val="-2"/>
          <w:sz w:val="24"/>
          <w:szCs w:val="24"/>
        </w:rPr>
      </w:pPr>
      <w:r w:rsidRPr="00FE34D1">
        <w:rPr>
          <w:rFonts w:hint="eastAsia"/>
          <w:spacing w:val="-2"/>
          <w:sz w:val="24"/>
          <w:szCs w:val="24"/>
        </w:rPr>
        <w:t>启用“市场</w:t>
      </w:r>
      <w:r w:rsidRPr="00FE34D1">
        <w:rPr>
          <w:rFonts w:hint="eastAsia"/>
          <w:spacing w:val="-2"/>
          <w:sz w:val="24"/>
          <w:szCs w:val="24"/>
        </w:rPr>
        <w:t xml:space="preserve"> ID</w:t>
      </w:r>
      <w:r w:rsidRPr="00FE34D1">
        <w:rPr>
          <w:rFonts w:hint="eastAsia"/>
          <w:spacing w:val="-2"/>
          <w:sz w:val="24"/>
          <w:szCs w:val="24"/>
        </w:rPr>
        <w:t>”字段；</w:t>
      </w:r>
      <w:r w:rsidRPr="00FE34D1">
        <w:rPr>
          <w:rFonts w:hint="eastAsia"/>
          <w:spacing w:val="-2"/>
          <w:sz w:val="24"/>
          <w:szCs w:val="24"/>
        </w:rPr>
        <w:t xml:space="preserve"> </w:t>
      </w:r>
    </w:p>
    <w:p w:rsidR="00B01950" w:rsidRPr="00FE34D1" w:rsidRDefault="00D25B3C">
      <w:pPr>
        <w:pStyle w:val="a4"/>
        <w:numPr>
          <w:ilvl w:val="0"/>
          <w:numId w:val="1"/>
        </w:numPr>
        <w:spacing w:line="360" w:lineRule="auto"/>
        <w:ind w:right="418" w:firstLine="420"/>
        <w:rPr>
          <w:spacing w:val="-2"/>
          <w:sz w:val="24"/>
          <w:szCs w:val="24"/>
        </w:rPr>
      </w:pPr>
      <w:r w:rsidRPr="00FE34D1">
        <w:rPr>
          <w:rFonts w:hint="eastAsia"/>
          <w:spacing w:val="-2"/>
          <w:sz w:val="24"/>
          <w:szCs w:val="24"/>
        </w:rPr>
        <w:t>调整“替代标志”字段描述，统一调整为“</w:t>
      </w:r>
      <w:r w:rsidRPr="00FE34D1">
        <w:rPr>
          <w:rFonts w:hint="eastAsia"/>
          <w:spacing w:val="-2"/>
          <w:sz w:val="24"/>
          <w:szCs w:val="24"/>
        </w:rPr>
        <w:t>0-</w:t>
      </w:r>
      <w:r w:rsidRPr="00FE34D1">
        <w:rPr>
          <w:rFonts w:hint="eastAsia"/>
          <w:spacing w:val="-2"/>
          <w:sz w:val="24"/>
          <w:szCs w:val="24"/>
        </w:rPr>
        <w:t>禁止现金替代”“</w:t>
      </w:r>
      <w:r w:rsidRPr="00FE34D1">
        <w:rPr>
          <w:rFonts w:hint="eastAsia"/>
          <w:spacing w:val="-2"/>
          <w:sz w:val="24"/>
          <w:szCs w:val="24"/>
        </w:rPr>
        <w:t>1-</w:t>
      </w:r>
      <w:r w:rsidRPr="00FE34D1">
        <w:rPr>
          <w:rFonts w:hint="eastAsia"/>
          <w:spacing w:val="-2"/>
          <w:sz w:val="24"/>
          <w:szCs w:val="24"/>
        </w:rPr>
        <w:t>允许现金替代”“</w:t>
      </w:r>
      <w:r w:rsidRPr="00FE34D1">
        <w:rPr>
          <w:rFonts w:hint="eastAsia"/>
          <w:spacing w:val="-2"/>
          <w:sz w:val="24"/>
          <w:szCs w:val="24"/>
        </w:rPr>
        <w:t>2-</w:t>
      </w:r>
      <w:r w:rsidRPr="00FE34D1">
        <w:rPr>
          <w:rFonts w:hint="eastAsia"/>
          <w:spacing w:val="-2"/>
          <w:sz w:val="24"/>
          <w:szCs w:val="24"/>
        </w:rPr>
        <w:t>必须现金替代”三类；</w:t>
      </w:r>
    </w:p>
    <w:p w:rsidR="00B01950" w:rsidRPr="00FE34D1" w:rsidRDefault="00D25B3C">
      <w:pPr>
        <w:pStyle w:val="a4"/>
        <w:numPr>
          <w:ilvl w:val="0"/>
          <w:numId w:val="1"/>
        </w:numPr>
        <w:spacing w:line="360" w:lineRule="auto"/>
        <w:ind w:right="418" w:firstLine="420"/>
        <w:rPr>
          <w:spacing w:val="-2"/>
          <w:sz w:val="24"/>
          <w:szCs w:val="24"/>
        </w:rPr>
      </w:pPr>
      <w:r w:rsidRPr="00FE34D1">
        <w:rPr>
          <w:rFonts w:hint="eastAsia"/>
          <w:spacing w:val="-2"/>
          <w:sz w:val="24"/>
          <w:szCs w:val="24"/>
        </w:rPr>
        <w:t>新增“当日净申购基金份额上限”“当日净赎回基金份额上限”字段；</w:t>
      </w:r>
      <w:r w:rsidRPr="00FE34D1">
        <w:rPr>
          <w:rFonts w:hint="eastAsia"/>
          <w:spacing w:val="-2"/>
          <w:sz w:val="24"/>
          <w:szCs w:val="24"/>
        </w:rPr>
        <w:t xml:space="preserve"> </w:t>
      </w:r>
    </w:p>
    <w:p w:rsidR="00B01950" w:rsidRPr="00FE34D1" w:rsidRDefault="00D25B3C">
      <w:pPr>
        <w:pStyle w:val="a4"/>
        <w:numPr>
          <w:ilvl w:val="0"/>
          <w:numId w:val="1"/>
        </w:numPr>
        <w:spacing w:line="360" w:lineRule="auto"/>
        <w:ind w:right="418" w:firstLine="420"/>
        <w:rPr>
          <w:spacing w:val="-2"/>
          <w:sz w:val="24"/>
          <w:szCs w:val="24"/>
        </w:rPr>
      </w:pPr>
      <w:r w:rsidRPr="00FE34D1">
        <w:rPr>
          <w:rFonts w:hint="eastAsia"/>
          <w:spacing w:val="-2"/>
          <w:sz w:val="24"/>
          <w:szCs w:val="24"/>
        </w:rPr>
        <w:t>新增“单个账户净申购总额限制”“单个账户净赎回总额限制”字段；</w:t>
      </w:r>
    </w:p>
    <w:p w:rsidR="00B01950" w:rsidRPr="00FE34D1" w:rsidRDefault="00D25B3C">
      <w:pPr>
        <w:pStyle w:val="a4"/>
        <w:numPr>
          <w:ilvl w:val="0"/>
          <w:numId w:val="1"/>
        </w:numPr>
        <w:spacing w:line="360" w:lineRule="auto"/>
        <w:ind w:right="418" w:firstLine="420"/>
        <w:rPr>
          <w:spacing w:val="-2"/>
          <w:sz w:val="24"/>
          <w:szCs w:val="24"/>
        </w:rPr>
      </w:pPr>
      <w:r w:rsidRPr="00FE34D1">
        <w:rPr>
          <w:rFonts w:hint="eastAsia"/>
          <w:spacing w:val="-2"/>
          <w:sz w:val="24"/>
          <w:szCs w:val="24"/>
        </w:rPr>
        <w:t>新增“单个账户累计申购总额限制”“单个账户累计赎回总额限制”字段；</w:t>
      </w:r>
    </w:p>
    <w:p w:rsidR="00B01950" w:rsidRPr="00FE34D1" w:rsidRDefault="00D25B3C">
      <w:pPr>
        <w:pStyle w:val="a4"/>
        <w:numPr>
          <w:ilvl w:val="0"/>
          <w:numId w:val="1"/>
        </w:numPr>
        <w:spacing w:line="360" w:lineRule="auto"/>
        <w:ind w:right="418" w:firstLine="420"/>
        <w:rPr>
          <w:spacing w:val="-2"/>
          <w:sz w:val="24"/>
          <w:szCs w:val="24"/>
        </w:rPr>
      </w:pPr>
      <w:r w:rsidRPr="00FE34D1">
        <w:rPr>
          <w:rFonts w:hint="eastAsia"/>
          <w:spacing w:val="-2"/>
          <w:sz w:val="24"/>
          <w:szCs w:val="24"/>
        </w:rPr>
        <w:t>新增“当日申购限额”</w:t>
      </w:r>
      <w:r w:rsidR="002505C0" w:rsidRPr="00FE34D1">
        <w:rPr>
          <w:rFonts w:hint="eastAsia"/>
          <w:spacing w:val="-2"/>
          <w:sz w:val="24"/>
          <w:szCs w:val="24"/>
        </w:rPr>
        <w:t>、</w:t>
      </w:r>
      <w:r w:rsidRPr="00FE34D1">
        <w:rPr>
          <w:rFonts w:hint="eastAsia"/>
          <w:spacing w:val="-2"/>
          <w:sz w:val="24"/>
          <w:szCs w:val="24"/>
        </w:rPr>
        <w:t>“当日赎回限额”；</w:t>
      </w:r>
      <w:r w:rsidRPr="00FE34D1">
        <w:rPr>
          <w:rFonts w:hint="eastAsia"/>
          <w:spacing w:val="-2"/>
          <w:sz w:val="24"/>
          <w:szCs w:val="24"/>
        </w:rPr>
        <w:t xml:space="preserve"> </w:t>
      </w:r>
    </w:p>
    <w:p w:rsidR="00B01950" w:rsidRPr="00FE34D1" w:rsidRDefault="00D25B3C">
      <w:pPr>
        <w:pStyle w:val="a4"/>
        <w:numPr>
          <w:ilvl w:val="0"/>
          <w:numId w:val="1"/>
        </w:numPr>
        <w:spacing w:line="360" w:lineRule="auto"/>
        <w:ind w:right="418" w:firstLine="420"/>
        <w:rPr>
          <w:spacing w:val="-2"/>
          <w:sz w:val="24"/>
          <w:szCs w:val="24"/>
        </w:rPr>
      </w:pPr>
      <w:r w:rsidRPr="00FE34D1">
        <w:rPr>
          <w:rFonts w:hint="eastAsia"/>
          <w:spacing w:val="-2"/>
          <w:sz w:val="24"/>
          <w:szCs w:val="24"/>
        </w:rPr>
        <w:lastRenderedPageBreak/>
        <w:t>增加部分字段长度；</w:t>
      </w:r>
      <w:r w:rsidRPr="00FE34D1">
        <w:rPr>
          <w:rFonts w:hint="eastAsia"/>
          <w:spacing w:val="-2"/>
          <w:sz w:val="24"/>
          <w:szCs w:val="24"/>
        </w:rPr>
        <w:t xml:space="preserve"> </w:t>
      </w:r>
    </w:p>
    <w:p w:rsidR="00B01950" w:rsidRPr="00FE34D1" w:rsidRDefault="00D25B3C">
      <w:pPr>
        <w:pStyle w:val="a4"/>
        <w:numPr>
          <w:ilvl w:val="0"/>
          <w:numId w:val="1"/>
        </w:numPr>
        <w:spacing w:line="360" w:lineRule="auto"/>
        <w:ind w:right="418" w:firstLine="420"/>
        <w:rPr>
          <w:spacing w:val="-2"/>
          <w:sz w:val="24"/>
          <w:szCs w:val="24"/>
        </w:rPr>
      </w:pPr>
      <w:r w:rsidRPr="00FE34D1">
        <w:rPr>
          <w:rFonts w:hint="eastAsia"/>
          <w:spacing w:val="-2"/>
          <w:sz w:val="24"/>
          <w:szCs w:val="24"/>
        </w:rPr>
        <w:t>新增“申赎模式”字段。</w:t>
      </w:r>
      <w:r w:rsidRPr="00FE34D1">
        <w:rPr>
          <w:rFonts w:hint="eastAsia"/>
          <w:spacing w:val="-2"/>
          <w:sz w:val="24"/>
          <w:szCs w:val="24"/>
        </w:rPr>
        <w:t xml:space="preserve"> </w:t>
      </w:r>
    </w:p>
    <w:p w:rsidR="00B01950" w:rsidRPr="00FE34D1" w:rsidRDefault="00D25B3C">
      <w:pPr>
        <w:pStyle w:val="a4"/>
        <w:spacing w:line="360" w:lineRule="auto"/>
        <w:ind w:left="534" w:right="418"/>
        <w:rPr>
          <w:spacing w:val="-2"/>
          <w:sz w:val="24"/>
          <w:szCs w:val="24"/>
        </w:rPr>
      </w:pPr>
      <w:r w:rsidRPr="00FE34D1">
        <w:rPr>
          <w:rFonts w:hint="eastAsia"/>
          <w:spacing w:val="-2"/>
          <w:sz w:val="24"/>
          <w:szCs w:val="24"/>
        </w:rPr>
        <w:t>具体更新内容详见上海证券交易所的相关说明。</w:t>
      </w:r>
    </w:p>
    <w:p w:rsidR="00B01950" w:rsidRPr="00FE34D1" w:rsidRDefault="00D25B3C">
      <w:pPr>
        <w:pStyle w:val="a4"/>
        <w:spacing w:line="360" w:lineRule="auto"/>
        <w:ind w:left="0" w:right="418" w:firstLineChars="200" w:firstLine="472"/>
        <w:rPr>
          <w:sz w:val="24"/>
          <w:szCs w:val="24"/>
        </w:rPr>
      </w:pPr>
      <w:r w:rsidRPr="00FE34D1">
        <w:rPr>
          <w:rFonts w:hint="eastAsia"/>
          <w:spacing w:val="-2"/>
          <w:sz w:val="24"/>
          <w:szCs w:val="24"/>
        </w:rPr>
        <w:t>自</w:t>
      </w:r>
      <w:r w:rsidRPr="00FE34D1">
        <w:rPr>
          <w:rFonts w:hint="eastAsia"/>
          <w:spacing w:val="-2"/>
          <w:sz w:val="24"/>
          <w:szCs w:val="24"/>
        </w:rPr>
        <w:t>2025</w:t>
      </w:r>
      <w:r w:rsidRPr="00FE34D1">
        <w:rPr>
          <w:rFonts w:hint="eastAsia"/>
          <w:spacing w:val="-2"/>
          <w:sz w:val="24"/>
          <w:szCs w:val="24"/>
        </w:rPr>
        <w:t>年</w:t>
      </w:r>
      <w:r w:rsidRPr="00FE34D1">
        <w:rPr>
          <w:rFonts w:hint="eastAsia"/>
          <w:spacing w:val="-2"/>
          <w:sz w:val="24"/>
          <w:szCs w:val="24"/>
        </w:rPr>
        <w:t>12</w:t>
      </w:r>
      <w:r w:rsidRPr="00FE34D1">
        <w:rPr>
          <w:rFonts w:hint="eastAsia"/>
          <w:spacing w:val="-2"/>
          <w:sz w:val="24"/>
          <w:szCs w:val="24"/>
        </w:rPr>
        <w:t>月</w:t>
      </w:r>
      <w:r w:rsidRPr="00FE34D1">
        <w:rPr>
          <w:rFonts w:hint="eastAsia"/>
          <w:spacing w:val="-2"/>
          <w:sz w:val="24"/>
          <w:szCs w:val="24"/>
        </w:rPr>
        <w:t>8</w:t>
      </w:r>
      <w:r w:rsidRPr="00FE34D1">
        <w:rPr>
          <w:rFonts w:hint="eastAsia"/>
          <w:spacing w:val="-2"/>
          <w:sz w:val="24"/>
          <w:szCs w:val="24"/>
        </w:rPr>
        <w:t>日起，</w:t>
      </w:r>
      <w:r w:rsidRPr="00FE34D1">
        <w:rPr>
          <w:rFonts w:hint="eastAsia"/>
          <w:sz w:val="24"/>
          <w:szCs w:val="24"/>
        </w:rPr>
        <w:t>本公司上述</w:t>
      </w:r>
      <w:r w:rsidRPr="00FE34D1">
        <w:rPr>
          <w:rFonts w:hint="eastAsia"/>
          <w:sz w:val="24"/>
          <w:szCs w:val="24"/>
        </w:rPr>
        <w:t>ETF</w:t>
      </w:r>
      <w:r w:rsidRPr="00FE34D1">
        <w:rPr>
          <w:rFonts w:hint="eastAsia"/>
          <w:sz w:val="24"/>
          <w:szCs w:val="24"/>
        </w:rPr>
        <w:t>基金将采用新版申购赎回清单，申购赎回清单的格式可根据上海证券交易所的实际情况相应调整，具体内容以上海证券交易所实际公布的清单为准。</w:t>
      </w:r>
      <w:r w:rsidR="00912385" w:rsidRPr="00FE34D1">
        <w:rPr>
          <w:sz w:val="24"/>
          <w:szCs w:val="24"/>
        </w:rPr>
        <w:t>本公司也将对上述基金的招募说明书、基金产品资料概要（如涉及）进行相应修订。</w:t>
      </w:r>
    </w:p>
    <w:p w:rsidR="00B01950" w:rsidRPr="00FE34D1" w:rsidRDefault="00D25B3C">
      <w:pPr>
        <w:pStyle w:val="a9"/>
        <w:numPr>
          <w:ilvl w:val="0"/>
          <w:numId w:val="2"/>
        </w:numPr>
        <w:spacing w:beforeAutospacing="0" w:afterAutospacing="0" w:line="360" w:lineRule="auto"/>
        <w:ind w:firstLine="480"/>
        <w:jc w:val="both"/>
        <w:rPr>
          <w:rFonts w:ascii="宋体" w:eastAsia="宋体" w:hAnsi="宋体" w:cs="宋体"/>
          <w:szCs w:val="24"/>
        </w:rPr>
      </w:pPr>
      <w:r w:rsidRPr="00FE34D1">
        <w:rPr>
          <w:rFonts w:ascii="宋体" w:eastAsia="宋体" w:hAnsi="宋体" w:cs="宋体" w:hint="eastAsia"/>
          <w:b/>
          <w:bCs/>
          <w:color w:val="000000"/>
          <w:szCs w:val="24"/>
        </w:rPr>
        <w:t>重要提示</w:t>
      </w:r>
    </w:p>
    <w:p w:rsidR="00B01950" w:rsidRPr="00FE34D1" w:rsidRDefault="00D25B3C">
      <w:pPr>
        <w:pStyle w:val="a9"/>
        <w:spacing w:beforeAutospacing="0" w:afterAutospacing="0" w:line="360" w:lineRule="auto"/>
        <w:ind w:firstLine="480"/>
        <w:jc w:val="both"/>
        <w:rPr>
          <w:rFonts w:ascii="宋体" w:eastAsia="宋体" w:hAnsi="宋体" w:cs="宋体"/>
          <w:color w:val="000000"/>
          <w:szCs w:val="24"/>
        </w:rPr>
      </w:pPr>
      <w:r w:rsidRPr="00FE34D1">
        <w:rPr>
          <w:rFonts w:ascii="宋体" w:eastAsia="宋体" w:hAnsi="宋体" w:cs="宋体" w:hint="eastAsia"/>
          <w:color w:val="000000"/>
          <w:szCs w:val="24"/>
        </w:rPr>
        <w:t>1</w:t>
      </w:r>
      <w:r w:rsidRPr="00FE34D1">
        <w:rPr>
          <w:rFonts w:ascii="宋体" w:eastAsia="宋体" w:hAnsi="宋体" w:cs="宋体" w:hint="eastAsia"/>
          <w:color w:val="000000"/>
          <w:szCs w:val="24"/>
        </w:rPr>
        <w:t>、上述调整符合有关法律法规规定和基金合同的约定，对基金份额持有人利益无实质性不利影响，无需召开基金份额持有人大会。</w:t>
      </w:r>
    </w:p>
    <w:p w:rsidR="00B01950" w:rsidRPr="00FE34D1" w:rsidRDefault="00D25B3C">
      <w:pPr>
        <w:pStyle w:val="a9"/>
        <w:spacing w:beforeAutospacing="0" w:afterAutospacing="0" w:line="360" w:lineRule="auto"/>
        <w:ind w:firstLine="480"/>
        <w:jc w:val="both"/>
        <w:rPr>
          <w:rFonts w:ascii="宋体" w:eastAsia="宋体" w:hAnsi="宋体" w:cs="宋体"/>
          <w:color w:val="000000"/>
          <w:szCs w:val="24"/>
        </w:rPr>
      </w:pPr>
      <w:r w:rsidRPr="00FE34D1">
        <w:rPr>
          <w:rFonts w:ascii="宋体" w:eastAsia="宋体" w:hAnsi="宋体" w:cs="宋体" w:hint="eastAsia"/>
          <w:color w:val="000000"/>
          <w:szCs w:val="24"/>
        </w:rPr>
        <w:t>2</w:t>
      </w:r>
      <w:r w:rsidRPr="00FE34D1">
        <w:rPr>
          <w:rFonts w:ascii="宋体" w:eastAsia="宋体" w:hAnsi="宋体" w:cs="宋体" w:hint="eastAsia"/>
          <w:color w:val="000000"/>
          <w:szCs w:val="24"/>
        </w:rPr>
        <w:t>、本公告仅对本基金管理人旗下上交所</w:t>
      </w:r>
      <w:r w:rsidRPr="00FE34D1">
        <w:rPr>
          <w:rFonts w:ascii="宋体" w:eastAsia="宋体" w:hAnsi="宋体" w:cs="宋体" w:hint="eastAsia"/>
          <w:color w:val="000000"/>
          <w:szCs w:val="24"/>
        </w:rPr>
        <w:t>ETF</w:t>
      </w:r>
      <w:r w:rsidRPr="00FE34D1">
        <w:rPr>
          <w:rFonts w:ascii="宋体" w:eastAsia="宋体" w:hAnsi="宋体" w:cs="宋体" w:hint="eastAsia"/>
          <w:color w:val="000000"/>
          <w:szCs w:val="24"/>
        </w:rPr>
        <w:t>申购赎回清单版本更新的有关</w:t>
      </w:r>
      <w:r w:rsidRPr="00FE34D1">
        <w:rPr>
          <w:rFonts w:ascii="宋体" w:eastAsia="宋体" w:hAnsi="宋体" w:cs="宋体" w:hint="eastAsia"/>
          <w:color w:val="000000"/>
          <w:szCs w:val="24"/>
        </w:rPr>
        <w:t xml:space="preserve"> </w:t>
      </w:r>
      <w:r w:rsidRPr="00FE34D1">
        <w:rPr>
          <w:rFonts w:ascii="宋体" w:eastAsia="宋体" w:hAnsi="宋体" w:cs="宋体" w:hint="eastAsia"/>
          <w:color w:val="000000"/>
          <w:szCs w:val="24"/>
        </w:rPr>
        <w:t>事项予以说明。本基金管理人旗下</w:t>
      </w:r>
      <w:r w:rsidRPr="00FE34D1">
        <w:rPr>
          <w:rFonts w:ascii="宋体" w:eastAsia="宋体" w:hAnsi="宋体" w:cs="宋体" w:hint="eastAsia"/>
          <w:color w:val="000000"/>
          <w:szCs w:val="24"/>
        </w:rPr>
        <w:t>ETF</w:t>
      </w:r>
      <w:r w:rsidRPr="00FE34D1">
        <w:rPr>
          <w:rFonts w:ascii="宋体" w:eastAsia="宋体" w:hAnsi="宋体" w:cs="宋体" w:hint="eastAsia"/>
          <w:color w:val="000000"/>
          <w:szCs w:val="24"/>
        </w:rPr>
        <w:t>申购赎回清单以证券交易所实际公布的</w:t>
      </w:r>
      <w:r w:rsidRPr="00FE34D1">
        <w:rPr>
          <w:rFonts w:ascii="宋体" w:eastAsia="宋体" w:hAnsi="宋体" w:cs="宋体" w:hint="eastAsia"/>
          <w:color w:val="000000"/>
          <w:szCs w:val="24"/>
        </w:rPr>
        <w:t xml:space="preserve"> </w:t>
      </w:r>
      <w:r w:rsidRPr="00FE34D1">
        <w:rPr>
          <w:rFonts w:ascii="宋体" w:eastAsia="宋体" w:hAnsi="宋体" w:cs="宋体" w:hint="eastAsia"/>
          <w:color w:val="000000"/>
          <w:szCs w:val="24"/>
        </w:rPr>
        <w:t>为准，投资者可登陆本</w:t>
      </w:r>
      <w:r w:rsidRPr="00FE34D1">
        <w:rPr>
          <w:rFonts w:ascii="宋体" w:eastAsia="宋体" w:hAnsi="宋体" w:cs="宋体" w:hint="eastAsia"/>
          <w:color w:val="000000"/>
          <w:szCs w:val="24"/>
        </w:rPr>
        <w:t>基金管理人网站进行查询。</w:t>
      </w:r>
    </w:p>
    <w:p w:rsidR="00B01950" w:rsidRPr="00FE34D1" w:rsidRDefault="00D25B3C">
      <w:pPr>
        <w:pStyle w:val="a9"/>
        <w:spacing w:beforeAutospacing="0" w:afterAutospacing="0" w:line="360" w:lineRule="auto"/>
        <w:ind w:firstLine="480"/>
        <w:jc w:val="both"/>
        <w:rPr>
          <w:rFonts w:ascii="宋体" w:eastAsia="宋体" w:hAnsi="宋体" w:cs="宋体"/>
          <w:color w:val="000000"/>
          <w:szCs w:val="24"/>
        </w:rPr>
      </w:pPr>
      <w:r w:rsidRPr="00FE34D1">
        <w:rPr>
          <w:rFonts w:ascii="宋体" w:eastAsia="宋体" w:hAnsi="宋体" w:cs="宋体" w:hint="eastAsia"/>
          <w:color w:val="000000"/>
          <w:szCs w:val="24"/>
        </w:rPr>
        <w:t>投资者可访问本公司网站（</w:t>
      </w:r>
      <w:r w:rsidRPr="00FE34D1">
        <w:rPr>
          <w:rFonts w:ascii="宋体" w:eastAsia="宋体" w:hAnsi="宋体" w:cs="宋体" w:hint="eastAsia"/>
          <w:color w:val="000000"/>
          <w:szCs w:val="24"/>
        </w:rPr>
        <w:t>www.hftfund.com</w:t>
      </w:r>
      <w:r w:rsidRPr="00FE34D1">
        <w:rPr>
          <w:rFonts w:ascii="宋体" w:eastAsia="宋体" w:hAnsi="宋体" w:cs="宋体" w:hint="eastAsia"/>
          <w:color w:val="000000"/>
          <w:szCs w:val="24"/>
        </w:rPr>
        <w:t>），或拨打客户服务电话</w:t>
      </w:r>
      <w:r w:rsidRPr="00FE34D1">
        <w:rPr>
          <w:rFonts w:ascii="宋体" w:eastAsia="宋体" w:hAnsi="宋体" w:cs="宋体" w:hint="eastAsia"/>
          <w:color w:val="000000"/>
          <w:szCs w:val="24"/>
        </w:rPr>
        <w:t>40088-40099</w:t>
      </w:r>
      <w:r w:rsidRPr="00FE34D1">
        <w:rPr>
          <w:rFonts w:ascii="宋体" w:eastAsia="宋体" w:hAnsi="宋体" w:cs="宋体" w:hint="eastAsia"/>
          <w:color w:val="000000"/>
          <w:szCs w:val="24"/>
        </w:rPr>
        <w:t>（免长途话费）咨询相关情况。</w:t>
      </w:r>
      <w:r w:rsidRPr="00FE34D1">
        <w:rPr>
          <w:rFonts w:ascii="宋体" w:eastAsia="宋体" w:hAnsi="宋体" w:cs="宋体" w:hint="eastAsia"/>
          <w:color w:val="000000"/>
          <w:szCs w:val="24"/>
        </w:rPr>
        <w:t xml:space="preserve"> </w:t>
      </w:r>
    </w:p>
    <w:p w:rsidR="00B01950" w:rsidRPr="00FE34D1" w:rsidRDefault="00D25B3C" w:rsidP="00FE34D1">
      <w:pPr>
        <w:pStyle w:val="a9"/>
        <w:spacing w:beforeAutospacing="0" w:afterAutospacing="0" w:line="360" w:lineRule="auto"/>
        <w:ind w:firstLine="480"/>
        <w:jc w:val="both"/>
        <w:rPr>
          <w:rFonts w:ascii="宋体" w:eastAsia="宋体" w:hAnsi="宋体" w:cs="宋体"/>
          <w:color w:val="000000" w:themeColor="text1"/>
          <w:szCs w:val="24"/>
        </w:rPr>
      </w:pPr>
      <w:r w:rsidRPr="00FE34D1">
        <w:rPr>
          <w:rFonts w:ascii="宋体" w:eastAsia="宋体" w:hAnsi="宋体" w:cs="宋体" w:hint="eastAsia"/>
          <w:color w:val="000000"/>
          <w:szCs w:val="24"/>
        </w:rPr>
        <w:t>3</w:t>
      </w:r>
      <w:r w:rsidRPr="00FE34D1">
        <w:rPr>
          <w:rFonts w:ascii="宋体" w:eastAsia="宋体" w:hAnsi="宋体" w:cs="宋体" w:hint="eastAsia"/>
          <w:color w:val="000000"/>
          <w:szCs w:val="24"/>
        </w:rPr>
        <w:t>、风险提示：基金管理人承诺以诚实信用、勤勉尽责的原则管理和运用基金资产，但不保证基金一定盈利，也不保证最低收益。基金的过往业绩及其净值高低并不预示其未来业绩表现。基金管理人提醒投资者基金投资的</w:t>
      </w:r>
      <w:r w:rsidRPr="00FE34D1">
        <w:rPr>
          <w:rFonts w:ascii="宋体" w:eastAsia="宋体" w:hAnsi="宋体" w:cs="宋体"/>
          <w:color w:val="000000"/>
          <w:szCs w:val="24"/>
        </w:rPr>
        <w:t>“</w:t>
      </w:r>
      <w:r w:rsidRPr="00FE34D1">
        <w:rPr>
          <w:rFonts w:ascii="宋体" w:eastAsia="宋体" w:hAnsi="宋体" w:cs="宋体" w:hint="eastAsia"/>
          <w:color w:val="000000"/>
          <w:szCs w:val="24"/>
        </w:rPr>
        <w:t>买者自负</w:t>
      </w:r>
      <w:r w:rsidRPr="00FE34D1">
        <w:rPr>
          <w:rFonts w:ascii="宋体" w:eastAsia="宋体" w:hAnsi="宋体" w:cs="宋体"/>
          <w:color w:val="000000"/>
          <w:szCs w:val="24"/>
        </w:rPr>
        <w:t>”</w:t>
      </w:r>
      <w:r w:rsidRPr="00FE34D1">
        <w:rPr>
          <w:rFonts w:ascii="宋体" w:eastAsia="宋体" w:hAnsi="宋体" w:cs="宋体" w:hint="eastAsia"/>
          <w:color w:val="000000"/>
          <w:szCs w:val="24"/>
        </w:rPr>
        <w:t>原则，在做出投资决策后，基金运营状况与基金净值变化引致的投资风险，由投资者自行负责。投资者在投资基金之前，请仔细阅读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w:t>
      </w:r>
    </w:p>
    <w:p w:rsidR="00B01950" w:rsidRPr="00FE34D1" w:rsidRDefault="00D25B3C">
      <w:pPr>
        <w:spacing w:line="360" w:lineRule="auto"/>
        <w:ind w:firstLineChars="200" w:firstLine="480"/>
        <w:rPr>
          <w:rFonts w:ascii="宋体" w:eastAsia="宋体" w:hAnsi="宋体" w:cs="宋体"/>
          <w:color w:val="000000" w:themeColor="text1"/>
          <w:sz w:val="24"/>
          <w:szCs w:val="24"/>
        </w:rPr>
      </w:pPr>
      <w:r w:rsidRPr="00FE34D1">
        <w:rPr>
          <w:rFonts w:ascii="宋体" w:eastAsia="宋体" w:hAnsi="宋体" w:cs="宋体" w:hint="eastAsia"/>
          <w:color w:val="000000" w:themeColor="text1"/>
          <w:sz w:val="24"/>
          <w:szCs w:val="24"/>
        </w:rPr>
        <w:t>特此公告。</w:t>
      </w:r>
    </w:p>
    <w:p w:rsidR="00B01950" w:rsidRPr="00FE34D1" w:rsidRDefault="00B01950">
      <w:pPr>
        <w:rPr>
          <w:rFonts w:ascii="宋体" w:eastAsia="宋体" w:hAnsi="宋体" w:cs="宋体"/>
          <w:color w:val="000000" w:themeColor="text1"/>
          <w:sz w:val="24"/>
          <w:szCs w:val="24"/>
        </w:rPr>
      </w:pPr>
    </w:p>
    <w:p w:rsidR="00B01950" w:rsidRDefault="00B01950">
      <w:pPr>
        <w:rPr>
          <w:rFonts w:ascii="宋体" w:eastAsia="宋体" w:hAnsi="宋体" w:cs="宋体"/>
          <w:color w:val="000000" w:themeColor="text1"/>
          <w:sz w:val="24"/>
          <w:szCs w:val="24"/>
        </w:rPr>
      </w:pPr>
    </w:p>
    <w:p w:rsidR="00FE34D1" w:rsidRPr="00FE34D1" w:rsidRDefault="00FE34D1">
      <w:pPr>
        <w:rPr>
          <w:rFonts w:ascii="宋体" w:eastAsia="宋体" w:hAnsi="宋体" w:cs="宋体"/>
          <w:color w:val="000000" w:themeColor="text1"/>
          <w:sz w:val="24"/>
          <w:szCs w:val="24"/>
        </w:rPr>
      </w:pPr>
    </w:p>
    <w:p w:rsidR="00B01950" w:rsidRPr="00FE34D1" w:rsidRDefault="00D25B3C">
      <w:pPr>
        <w:tabs>
          <w:tab w:val="left" w:pos="426"/>
        </w:tabs>
        <w:spacing w:before="29" w:line="288" w:lineRule="auto"/>
        <w:ind w:firstLineChars="200" w:firstLine="480"/>
        <w:jc w:val="right"/>
        <w:rPr>
          <w:rFonts w:ascii="宋体" w:eastAsia="宋体" w:hAnsi="宋体" w:cs="宋体"/>
          <w:color w:val="000000" w:themeColor="text1"/>
          <w:kern w:val="0"/>
          <w:sz w:val="24"/>
        </w:rPr>
      </w:pPr>
      <w:r w:rsidRPr="00FE34D1">
        <w:rPr>
          <w:rFonts w:ascii="宋体" w:eastAsia="宋体" w:hAnsi="宋体" w:cs="宋体" w:hint="eastAsia"/>
          <w:color w:val="000000" w:themeColor="text1"/>
          <w:kern w:val="0"/>
          <w:sz w:val="24"/>
        </w:rPr>
        <w:t>海富通基金管理有限公司</w:t>
      </w:r>
    </w:p>
    <w:p w:rsidR="00B01950" w:rsidRPr="00FE34D1" w:rsidRDefault="00D25B3C">
      <w:pPr>
        <w:tabs>
          <w:tab w:val="left" w:pos="426"/>
        </w:tabs>
        <w:spacing w:before="29" w:line="288" w:lineRule="auto"/>
        <w:ind w:firstLineChars="200" w:firstLine="480"/>
        <w:jc w:val="right"/>
        <w:rPr>
          <w:rFonts w:ascii="宋体" w:eastAsia="宋体" w:hAnsi="宋体" w:cs="宋体"/>
          <w:color w:val="000000" w:themeColor="text1"/>
          <w:sz w:val="24"/>
          <w:szCs w:val="24"/>
        </w:rPr>
      </w:pPr>
      <w:r w:rsidRPr="00FE34D1">
        <w:rPr>
          <w:rFonts w:ascii="宋体" w:eastAsia="宋体" w:hAnsi="宋体" w:cs="宋体" w:hint="eastAsia"/>
          <w:bCs/>
          <w:color w:val="000000" w:themeColor="text1"/>
          <w:sz w:val="24"/>
          <w:szCs w:val="24"/>
        </w:rPr>
        <w:t>2025</w:t>
      </w:r>
      <w:r w:rsidRPr="00FE34D1">
        <w:rPr>
          <w:rFonts w:ascii="宋体" w:eastAsia="宋体" w:hAnsi="宋体" w:cs="宋体" w:hint="eastAsia"/>
          <w:bCs/>
          <w:color w:val="000000" w:themeColor="text1"/>
          <w:sz w:val="24"/>
          <w:szCs w:val="24"/>
        </w:rPr>
        <w:t>年</w:t>
      </w:r>
      <w:r w:rsidRPr="00FE34D1">
        <w:rPr>
          <w:rFonts w:ascii="宋体" w:eastAsia="宋体" w:hAnsi="宋体" w:cs="宋体" w:hint="eastAsia"/>
          <w:bCs/>
          <w:color w:val="000000" w:themeColor="text1"/>
          <w:sz w:val="24"/>
          <w:szCs w:val="24"/>
        </w:rPr>
        <w:t>12</w:t>
      </w:r>
      <w:r w:rsidRPr="00FE34D1">
        <w:rPr>
          <w:rFonts w:ascii="宋体" w:eastAsia="宋体" w:hAnsi="宋体" w:cs="宋体" w:hint="eastAsia"/>
          <w:bCs/>
          <w:color w:val="000000" w:themeColor="text1"/>
          <w:sz w:val="24"/>
          <w:szCs w:val="24"/>
        </w:rPr>
        <w:t>月</w:t>
      </w:r>
      <w:r w:rsidR="002505C0" w:rsidRPr="00FE34D1">
        <w:rPr>
          <w:rFonts w:ascii="宋体" w:eastAsia="宋体" w:hAnsi="宋体" w:cs="宋体" w:hint="eastAsia"/>
          <w:bCs/>
          <w:color w:val="000000" w:themeColor="text1"/>
          <w:sz w:val="24"/>
          <w:szCs w:val="24"/>
        </w:rPr>
        <w:t>8</w:t>
      </w:r>
      <w:r w:rsidRPr="00FE34D1">
        <w:rPr>
          <w:rFonts w:ascii="宋体" w:eastAsia="宋体" w:hAnsi="宋体" w:cs="宋体" w:hint="eastAsia"/>
          <w:bCs/>
          <w:color w:val="000000" w:themeColor="text1"/>
          <w:sz w:val="24"/>
          <w:szCs w:val="24"/>
        </w:rPr>
        <w:t>日</w:t>
      </w:r>
    </w:p>
    <w:sectPr w:rsidR="00B01950" w:rsidRPr="00FE34D1" w:rsidSect="002B41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C33" w:rsidRDefault="00461C33" w:rsidP="00A15B47">
      <w:r>
        <w:separator/>
      </w:r>
    </w:p>
  </w:endnote>
  <w:endnote w:type="continuationSeparator" w:id="0">
    <w:p w:rsidR="00461C33" w:rsidRDefault="00461C33" w:rsidP="00A15B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C33" w:rsidRDefault="00461C33" w:rsidP="00A15B47">
      <w:r>
        <w:separator/>
      </w:r>
    </w:p>
  </w:footnote>
  <w:footnote w:type="continuationSeparator" w:id="0">
    <w:p w:rsidR="00461C33" w:rsidRDefault="00461C33" w:rsidP="00A15B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3E359"/>
    <w:multiLevelType w:val="singleLevel"/>
    <w:tmpl w:val="6843E359"/>
    <w:lvl w:ilvl="0">
      <w:start w:val="3"/>
      <w:numFmt w:val="chineseCounting"/>
      <w:suff w:val="space"/>
      <w:lvlText w:val="%1、"/>
      <w:lvlJc w:val="left"/>
      <w:rPr>
        <w:rFonts w:hint="eastAsia"/>
      </w:rPr>
    </w:lvl>
  </w:abstractNum>
  <w:abstractNum w:abstractNumId="1">
    <w:nsid w:val="76C5F4F2"/>
    <w:multiLevelType w:val="singleLevel"/>
    <w:tmpl w:val="76C5F4F2"/>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D327FA"/>
    <w:rsid w:val="000137EC"/>
    <w:rsid w:val="0003596D"/>
    <w:rsid w:val="00041352"/>
    <w:rsid w:val="00041353"/>
    <w:rsid w:val="00063563"/>
    <w:rsid w:val="00070E05"/>
    <w:rsid w:val="00070F0F"/>
    <w:rsid w:val="00094A8F"/>
    <w:rsid w:val="000C488D"/>
    <w:rsid w:val="000D472C"/>
    <w:rsid w:val="000E4CBF"/>
    <w:rsid w:val="000F55E1"/>
    <w:rsid w:val="000F75CC"/>
    <w:rsid w:val="0013025A"/>
    <w:rsid w:val="00134D67"/>
    <w:rsid w:val="00136D76"/>
    <w:rsid w:val="00142EED"/>
    <w:rsid w:val="001448E8"/>
    <w:rsid w:val="00160DAE"/>
    <w:rsid w:val="00180DA3"/>
    <w:rsid w:val="001A74D2"/>
    <w:rsid w:val="001B4F9F"/>
    <w:rsid w:val="001C178E"/>
    <w:rsid w:val="001D3B58"/>
    <w:rsid w:val="001F15FD"/>
    <w:rsid w:val="001F79EA"/>
    <w:rsid w:val="00211C74"/>
    <w:rsid w:val="00217491"/>
    <w:rsid w:val="002241A8"/>
    <w:rsid w:val="00233CDF"/>
    <w:rsid w:val="002363EB"/>
    <w:rsid w:val="00237DD8"/>
    <w:rsid w:val="00245724"/>
    <w:rsid w:val="002505C0"/>
    <w:rsid w:val="00254851"/>
    <w:rsid w:val="00260256"/>
    <w:rsid w:val="0026074D"/>
    <w:rsid w:val="002616F3"/>
    <w:rsid w:val="00285347"/>
    <w:rsid w:val="002935EF"/>
    <w:rsid w:val="00297148"/>
    <w:rsid w:val="002A2F4E"/>
    <w:rsid w:val="002A6277"/>
    <w:rsid w:val="002B3273"/>
    <w:rsid w:val="002B4186"/>
    <w:rsid w:val="002B78BD"/>
    <w:rsid w:val="002C45C2"/>
    <w:rsid w:val="002C5178"/>
    <w:rsid w:val="002F4340"/>
    <w:rsid w:val="002F7241"/>
    <w:rsid w:val="002F7D0B"/>
    <w:rsid w:val="00316B18"/>
    <w:rsid w:val="00327DA7"/>
    <w:rsid w:val="0033476C"/>
    <w:rsid w:val="0036088A"/>
    <w:rsid w:val="0036784E"/>
    <w:rsid w:val="00375CF3"/>
    <w:rsid w:val="003848F4"/>
    <w:rsid w:val="00387C7D"/>
    <w:rsid w:val="0039134E"/>
    <w:rsid w:val="003A39C4"/>
    <w:rsid w:val="003B04D4"/>
    <w:rsid w:val="003B07E2"/>
    <w:rsid w:val="003D0DCF"/>
    <w:rsid w:val="003D3818"/>
    <w:rsid w:val="0040251E"/>
    <w:rsid w:val="00415003"/>
    <w:rsid w:val="00424ABD"/>
    <w:rsid w:val="00426976"/>
    <w:rsid w:val="00430C98"/>
    <w:rsid w:val="00432C42"/>
    <w:rsid w:val="00452A04"/>
    <w:rsid w:val="00461C33"/>
    <w:rsid w:val="00474594"/>
    <w:rsid w:val="00475B44"/>
    <w:rsid w:val="004966BA"/>
    <w:rsid w:val="004B1D96"/>
    <w:rsid w:val="004D6346"/>
    <w:rsid w:val="004F0521"/>
    <w:rsid w:val="004F3E4C"/>
    <w:rsid w:val="004F51E8"/>
    <w:rsid w:val="00513258"/>
    <w:rsid w:val="00522148"/>
    <w:rsid w:val="00536AEB"/>
    <w:rsid w:val="00536E8E"/>
    <w:rsid w:val="0054363F"/>
    <w:rsid w:val="005446B2"/>
    <w:rsid w:val="00547A57"/>
    <w:rsid w:val="0055497B"/>
    <w:rsid w:val="00555BEC"/>
    <w:rsid w:val="0056610C"/>
    <w:rsid w:val="00587565"/>
    <w:rsid w:val="005922B5"/>
    <w:rsid w:val="005958F0"/>
    <w:rsid w:val="005D36A6"/>
    <w:rsid w:val="005D70C5"/>
    <w:rsid w:val="005F2DBE"/>
    <w:rsid w:val="005F3A9B"/>
    <w:rsid w:val="00603A93"/>
    <w:rsid w:val="00633C51"/>
    <w:rsid w:val="00634BB4"/>
    <w:rsid w:val="00646522"/>
    <w:rsid w:val="00660E91"/>
    <w:rsid w:val="00663031"/>
    <w:rsid w:val="00667633"/>
    <w:rsid w:val="00690704"/>
    <w:rsid w:val="006949FF"/>
    <w:rsid w:val="006A0A5E"/>
    <w:rsid w:val="006A2A60"/>
    <w:rsid w:val="006A308A"/>
    <w:rsid w:val="006A6AC1"/>
    <w:rsid w:val="007023CA"/>
    <w:rsid w:val="0071429C"/>
    <w:rsid w:val="0073228C"/>
    <w:rsid w:val="00734410"/>
    <w:rsid w:val="00753E39"/>
    <w:rsid w:val="00762FED"/>
    <w:rsid w:val="00770DB7"/>
    <w:rsid w:val="00775E18"/>
    <w:rsid w:val="007971A3"/>
    <w:rsid w:val="007B0250"/>
    <w:rsid w:val="007B1D31"/>
    <w:rsid w:val="007B76CC"/>
    <w:rsid w:val="008058C7"/>
    <w:rsid w:val="008165E7"/>
    <w:rsid w:val="00820B5C"/>
    <w:rsid w:val="00836ED7"/>
    <w:rsid w:val="008472DB"/>
    <w:rsid w:val="008712F5"/>
    <w:rsid w:val="008A0FC3"/>
    <w:rsid w:val="008A3EB2"/>
    <w:rsid w:val="008C7590"/>
    <w:rsid w:val="008D4A9C"/>
    <w:rsid w:val="008D6773"/>
    <w:rsid w:val="008E1770"/>
    <w:rsid w:val="008F18DC"/>
    <w:rsid w:val="009009F8"/>
    <w:rsid w:val="00912385"/>
    <w:rsid w:val="009138CC"/>
    <w:rsid w:val="00915816"/>
    <w:rsid w:val="00920023"/>
    <w:rsid w:val="00942858"/>
    <w:rsid w:val="00955201"/>
    <w:rsid w:val="00956288"/>
    <w:rsid w:val="00956B0F"/>
    <w:rsid w:val="009720B9"/>
    <w:rsid w:val="009A0F4C"/>
    <w:rsid w:val="009B2F90"/>
    <w:rsid w:val="009C5858"/>
    <w:rsid w:val="009C76F3"/>
    <w:rsid w:val="009E5355"/>
    <w:rsid w:val="00A03DB8"/>
    <w:rsid w:val="00A12D58"/>
    <w:rsid w:val="00A15B47"/>
    <w:rsid w:val="00A1669F"/>
    <w:rsid w:val="00A2638C"/>
    <w:rsid w:val="00A269DF"/>
    <w:rsid w:val="00A40BA4"/>
    <w:rsid w:val="00A428CE"/>
    <w:rsid w:val="00A5414E"/>
    <w:rsid w:val="00A6084E"/>
    <w:rsid w:val="00A66CDC"/>
    <w:rsid w:val="00A90BDD"/>
    <w:rsid w:val="00A934EB"/>
    <w:rsid w:val="00AA22DC"/>
    <w:rsid w:val="00AB2BDB"/>
    <w:rsid w:val="00AC0E51"/>
    <w:rsid w:val="00AD7BDD"/>
    <w:rsid w:val="00AF024E"/>
    <w:rsid w:val="00AF79C1"/>
    <w:rsid w:val="00B01950"/>
    <w:rsid w:val="00B101F7"/>
    <w:rsid w:val="00B42998"/>
    <w:rsid w:val="00B56EA6"/>
    <w:rsid w:val="00B72994"/>
    <w:rsid w:val="00B872E5"/>
    <w:rsid w:val="00B87F78"/>
    <w:rsid w:val="00B90C92"/>
    <w:rsid w:val="00B959FF"/>
    <w:rsid w:val="00BC07C9"/>
    <w:rsid w:val="00BD545A"/>
    <w:rsid w:val="00BD601B"/>
    <w:rsid w:val="00BE4596"/>
    <w:rsid w:val="00C061FE"/>
    <w:rsid w:val="00C24983"/>
    <w:rsid w:val="00C24AC5"/>
    <w:rsid w:val="00C30E39"/>
    <w:rsid w:val="00C50590"/>
    <w:rsid w:val="00C50871"/>
    <w:rsid w:val="00C70EDA"/>
    <w:rsid w:val="00C770D6"/>
    <w:rsid w:val="00C80642"/>
    <w:rsid w:val="00CB6268"/>
    <w:rsid w:val="00CD74DC"/>
    <w:rsid w:val="00D02BAE"/>
    <w:rsid w:val="00D114B7"/>
    <w:rsid w:val="00D1480F"/>
    <w:rsid w:val="00D25B3C"/>
    <w:rsid w:val="00D31785"/>
    <w:rsid w:val="00D327FA"/>
    <w:rsid w:val="00D33BB2"/>
    <w:rsid w:val="00D458B7"/>
    <w:rsid w:val="00D47AFE"/>
    <w:rsid w:val="00D51562"/>
    <w:rsid w:val="00D57D17"/>
    <w:rsid w:val="00D76844"/>
    <w:rsid w:val="00D95A18"/>
    <w:rsid w:val="00DA4ABC"/>
    <w:rsid w:val="00DA5AD7"/>
    <w:rsid w:val="00DC317F"/>
    <w:rsid w:val="00DC3C29"/>
    <w:rsid w:val="00DD1722"/>
    <w:rsid w:val="00DD22A8"/>
    <w:rsid w:val="00DE6CEB"/>
    <w:rsid w:val="00E11C48"/>
    <w:rsid w:val="00E268DF"/>
    <w:rsid w:val="00E27736"/>
    <w:rsid w:val="00E42ECD"/>
    <w:rsid w:val="00E61FDB"/>
    <w:rsid w:val="00E714AE"/>
    <w:rsid w:val="00E830A4"/>
    <w:rsid w:val="00EA4896"/>
    <w:rsid w:val="00EC5F5F"/>
    <w:rsid w:val="00ED32DE"/>
    <w:rsid w:val="00EE1823"/>
    <w:rsid w:val="00EF11C7"/>
    <w:rsid w:val="00EF688C"/>
    <w:rsid w:val="00F01AD2"/>
    <w:rsid w:val="00F066C6"/>
    <w:rsid w:val="00F076EF"/>
    <w:rsid w:val="00F15B17"/>
    <w:rsid w:val="00F169F1"/>
    <w:rsid w:val="00F27EA8"/>
    <w:rsid w:val="00F34326"/>
    <w:rsid w:val="00F35B85"/>
    <w:rsid w:val="00F435C0"/>
    <w:rsid w:val="00F50719"/>
    <w:rsid w:val="00F64447"/>
    <w:rsid w:val="00F80E51"/>
    <w:rsid w:val="00FA0DDE"/>
    <w:rsid w:val="00FA3BB3"/>
    <w:rsid w:val="00FB1D5C"/>
    <w:rsid w:val="00FC5232"/>
    <w:rsid w:val="00FD6EF4"/>
    <w:rsid w:val="00FE34D1"/>
    <w:rsid w:val="0CBD729A"/>
    <w:rsid w:val="186C1224"/>
    <w:rsid w:val="1939323A"/>
    <w:rsid w:val="34F304B6"/>
    <w:rsid w:val="3E631C20"/>
    <w:rsid w:val="4BC7481E"/>
    <w:rsid w:val="604F2450"/>
    <w:rsid w:val="6D625E47"/>
    <w:rsid w:val="773D2D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qFormat="1"/>
    <w:lsdException w:name="footer" w:semiHidden="0" w:qFormat="1"/>
    <w:lsdException w:name="caption" w:uiPriority="35" w:qFormat="1"/>
    <w:lsdException w:name="footnote reference" w:semiHidden="0" w:uiPriority="0" w:unhideWhenUsed="0" w:qFormat="1"/>
    <w:lsdException w:name="annotation reference" w:qFormat="1"/>
    <w:lsdException w:name="Title" w:semiHidden="0" w:uiPriority="1"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186"/>
    <w:pPr>
      <w:widowControl w:val="0"/>
      <w:jc w:val="both"/>
    </w:pPr>
    <w:rPr>
      <w:rFonts w:eastAsia="方正仿宋简体"/>
      <w:kern w:val="2"/>
      <w:sz w:val="32"/>
    </w:rPr>
  </w:style>
  <w:style w:type="paragraph" w:styleId="1">
    <w:name w:val="heading 1"/>
    <w:basedOn w:val="a"/>
    <w:next w:val="a"/>
    <w:link w:val="1Char"/>
    <w:qFormat/>
    <w:rsid w:val="002B418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2B418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2B4186"/>
    <w:pPr>
      <w:jc w:val="left"/>
    </w:pPr>
  </w:style>
  <w:style w:type="paragraph" w:styleId="a4">
    <w:name w:val="Body Text"/>
    <w:basedOn w:val="a"/>
    <w:uiPriority w:val="1"/>
    <w:qFormat/>
    <w:rsid w:val="002B4186"/>
    <w:pPr>
      <w:ind w:left="114"/>
    </w:pPr>
    <w:rPr>
      <w:rFonts w:ascii="宋体" w:eastAsia="宋体" w:hAnsi="宋体" w:cs="宋体"/>
      <w:sz w:val="21"/>
      <w:szCs w:val="21"/>
    </w:rPr>
  </w:style>
  <w:style w:type="paragraph" w:styleId="a5">
    <w:name w:val="Balloon Text"/>
    <w:basedOn w:val="a"/>
    <w:link w:val="Char0"/>
    <w:uiPriority w:val="99"/>
    <w:unhideWhenUsed/>
    <w:qFormat/>
    <w:rsid w:val="002B4186"/>
    <w:rPr>
      <w:sz w:val="18"/>
      <w:szCs w:val="18"/>
    </w:rPr>
  </w:style>
  <w:style w:type="paragraph" w:styleId="a6">
    <w:name w:val="footer"/>
    <w:basedOn w:val="a"/>
    <w:link w:val="Char1"/>
    <w:uiPriority w:val="99"/>
    <w:unhideWhenUsed/>
    <w:qFormat/>
    <w:rsid w:val="002B4186"/>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2B4186"/>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3"/>
    <w:qFormat/>
    <w:rsid w:val="002B4186"/>
    <w:pPr>
      <w:snapToGrid w:val="0"/>
      <w:jc w:val="left"/>
    </w:pPr>
    <w:rPr>
      <w:rFonts w:eastAsia="宋体"/>
      <w:sz w:val="18"/>
    </w:rPr>
  </w:style>
  <w:style w:type="paragraph" w:styleId="a9">
    <w:name w:val="Normal (Web)"/>
    <w:basedOn w:val="a"/>
    <w:qFormat/>
    <w:rsid w:val="002B4186"/>
    <w:pPr>
      <w:spacing w:beforeAutospacing="1" w:afterAutospacing="1"/>
      <w:jc w:val="left"/>
    </w:pPr>
    <w:rPr>
      <w:kern w:val="0"/>
      <w:sz w:val="24"/>
    </w:rPr>
  </w:style>
  <w:style w:type="paragraph" w:styleId="aa">
    <w:name w:val="Title"/>
    <w:basedOn w:val="a"/>
    <w:uiPriority w:val="1"/>
    <w:qFormat/>
    <w:rsid w:val="002B4186"/>
    <w:pPr>
      <w:spacing w:before="27"/>
      <w:ind w:left="3412" w:right="476" w:hanging="3215"/>
    </w:pPr>
    <w:rPr>
      <w:rFonts w:ascii="宋体" w:eastAsia="宋体" w:hAnsi="宋体" w:cs="宋体"/>
      <w:szCs w:val="32"/>
    </w:rPr>
  </w:style>
  <w:style w:type="paragraph" w:styleId="ab">
    <w:name w:val="annotation subject"/>
    <w:basedOn w:val="a3"/>
    <w:next w:val="a3"/>
    <w:link w:val="Char4"/>
    <w:uiPriority w:val="99"/>
    <w:semiHidden/>
    <w:unhideWhenUsed/>
    <w:qFormat/>
    <w:rsid w:val="002B4186"/>
    <w:rPr>
      <w:b/>
      <w:bCs/>
    </w:rPr>
  </w:style>
  <w:style w:type="character" w:styleId="ac">
    <w:name w:val="annotation reference"/>
    <w:basedOn w:val="a0"/>
    <w:uiPriority w:val="99"/>
    <w:semiHidden/>
    <w:unhideWhenUsed/>
    <w:qFormat/>
    <w:rsid w:val="002B4186"/>
    <w:rPr>
      <w:sz w:val="21"/>
      <w:szCs w:val="21"/>
    </w:rPr>
  </w:style>
  <w:style w:type="character" w:styleId="ad">
    <w:name w:val="footnote reference"/>
    <w:basedOn w:val="a0"/>
    <w:qFormat/>
    <w:rsid w:val="002B4186"/>
    <w:rPr>
      <w:vertAlign w:val="superscript"/>
    </w:rPr>
  </w:style>
  <w:style w:type="character" w:customStyle="1" w:styleId="1Char">
    <w:name w:val="标题 1 Char"/>
    <w:basedOn w:val="a0"/>
    <w:link w:val="1"/>
    <w:qFormat/>
    <w:rsid w:val="002B4186"/>
    <w:rPr>
      <w:rFonts w:ascii="Times New Roman" w:eastAsia="宋体" w:hAnsi="Times New Roman" w:cs="Times New Roman"/>
      <w:b/>
      <w:bCs/>
      <w:kern w:val="44"/>
      <w:sz w:val="44"/>
      <w:szCs w:val="44"/>
    </w:rPr>
  </w:style>
  <w:style w:type="character" w:customStyle="1" w:styleId="2Char">
    <w:name w:val="标题 2 Char"/>
    <w:basedOn w:val="a0"/>
    <w:link w:val="2"/>
    <w:qFormat/>
    <w:rsid w:val="002B4186"/>
    <w:rPr>
      <w:rFonts w:ascii="Arial" w:eastAsia="黑体" w:hAnsi="Arial" w:cs="Times New Roman"/>
      <w:b/>
      <w:bCs/>
      <w:sz w:val="32"/>
      <w:szCs w:val="32"/>
    </w:rPr>
  </w:style>
  <w:style w:type="character" w:customStyle="1" w:styleId="Char3">
    <w:name w:val="脚注文本 Char"/>
    <w:basedOn w:val="a0"/>
    <w:link w:val="a8"/>
    <w:qFormat/>
    <w:rsid w:val="002B4186"/>
    <w:rPr>
      <w:rFonts w:ascii="Times New Roman" w:eastAsia="宋体" w:hAnsi="Times New Roman" w:cs="Times New Roman"/>
      <w:sz w:val="18"/>
      <w:szCs w:val="20"/>
    </w:rPr>
  </w:style>
  <w:style w:type="character" w:customStyle="1" w:styleId="Char0">
    <w:name w:val="批注框文本 Char"/>
    <w:basedOn w:val="a0"/>
    <w:link w:val="a5"/>
    <w:uiPriority w:val="99"/>
    <w:semiHidden/>
    <w:qFormat/>
    <w:rsid w:val="002B4186"/>
    <w:rPr>
      <w:rFonts w:ascii="Times New Roman" w:eastAsia="方正仿宋简体" w:hAnsi="Times New Roman" w:cs="Times New Roman"/>
      <w:sz w:val="18"/>
      <w:szCs w:val="18"/>
    </w:rPr>
  </w:style>
  <w:style w:type="character" w:customStyle="1" w:styleId="Char2">
    <w:name w:val="页眉 Char"/>
    <w:basedOn w:val="a0"/>
    <w:link w:val="a7"/>
    <w:uiPriority w:val="99"/>
    <w:qFormat/>
    <w:rsid w:val="002B4186"/>
    <w:rPr>
      <w:rFonts w:ascii="Times New Roman" w:eastAsia="方正仿宋简体" w:hAnsi="Times New Roman" w:cs="Times New Roman"/>
      <w:sz w:val="18"/>
      <w:szCs w:val="18"/>
    </w:rPr>
  </w:style>
  <w:style w:type="character" w:customStyle="1" w:styleId="Char1">
    <w:name w:val="页脚 Char"/>
    <w:basedOn w:val="a0"/>
    <w:link w:val="a6"/>
    <w:uiPriority w:val="99"/>
    <w:qFormat/>
    <w:rsid w:val="002B4186"/>
    <w:rPr>
      <w:rFonts w:ascii="Times New Roman" w:eastAsia="方正仿宋简体" w:hAnsi="Times New Roman" w:cs="Times New Roman"/>
      <w:sz w:val="18"/>
      <w:szCs w:val="18"/>
    </w:rPr>
  </w:style>
  <w:style w:type="character" w:customStyle="1" w:styleId="Char">
    <w:name w:val="批注文字 Char"/>
    <w:basedOn w:val="a0"/>
    <w:link w:val="a3"/>
    <w:uiPriority w:val="99"/>
    <w:qFormat/>
    <w:rsid w:val="002B4186"/>
    <w:rPr>
      <w:rFonts w:ascii="Times New Roman" w:eastAsia="方正仿宋简体" w:hAnsi="Times New Roman" w:cs="Times New Roman"/>
      <w:kern w:val="2"/>
      <w:sz w:val="32"/>
    </w:rPr>
  </w:style>
  <w:style w:type="character" w:customStyle="1" w:styleId="Char4">
    <w:name w:val="批注主题 Char"/>
    <w:basedOn w:val="Char"/>
    <w:link w:val="ab"/>
    <w:uiPriority w:val="99"/>
    <w:semiHidden/>
    <w:qFormat/>
    <w:rsid w:val="002B4186"/>
    <w:rPr>
      <w:rFonts w:ascii="Times New Roman" w:eastAsia="方正仿宋简体" w:hAnsi="Times New Roman" w:cs="Times New Roman"/>
      <w:b/>
      <w:bCs/>
      <w:kern w:val="2"/>
      <w:sz w:val="32"/>
    </w:rPr>
  </w:style>
  <w:style w:type="paragraph" w:customStyle="1" w:styleId="10">
    <w:name w:val="修订1"/>
    <w:hidden/>
    <w:uiPriority w:val="99"/>
    <w:unhideWhenUsed/>
    <w:qFormat/>
    <w:rsid w:val="002B4186"/>
    <w:rPr>
      <w:rFonts w:eastAsia="方正仿宋简体"/>
      <w:kern w:val="2"/>
      <w:sz w:val="32"/>
    </w:rPr>
  </w:style>
  <w:style w:type="paragraph" w:customStyle="1" w:styleId="TableParagraph">
    <w:name w:val="Table Paragraph"/>
    <w:basedOn w:val="a"/>
    <w:uiPriority w:val="1"/>
    <w:qFormat/>
    <w:rsid w:val="002B4186"/>
    <w:pPr>
      <w:spacing w:before="200"/>
      <w:ind w:left="14"/>
      <w:jc w:val="center"/>
    </w:pPr>
    <w:rPr>
      <w:rFonts w:ascii="宋体" w:eastAsia="宋体" w:hAnsi="宋体" w:cs="宋体"/>
    </w:rPr>
  </w:style>
  <w:style w:type="paragraph" w:styleId="ae">
    <w:name w:val="Revision"/>
    <w:hidden/>
    <w:uiPriority w:val="99"/>
    <w:unhideWhenUsed/>
    <w:rsid w:val="009138CC"/>
    <w:rPr>
      <w:rFonts w:eastAsia="方正仿宋简体"/>
      <w:kern w:val="2"/>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A2B00-B88C-47E4-81A8-DF0118D96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1309</Characters>
  <Application>Microsoft Office Word</Application>
  <DocSecurity>4</DocSecurity>
  <Lines>10</Lines>
  <Paragraphs>3</Paragraphs>
  <ScaleCrop>false</ScaleCrop>
  <Company>微软中国</Company>
  <LinksUpToDate>false</LinksUpToDate>
  <CharactersWithSpaces>1535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cp:lastPrinted>2023-12-20T10:23:00Z</cp:lastPrinted>
  <dcterms:created xsi:type="dcterms:W3CDTF">2025-12-07T16:01:00Z</dcterms:created>
  <dcterms:modified xsi:type="dcterms:W3CDTF">2025-12-07T16:01:00Z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5279260F59854C3AA252AE86D042E5AA_13</vt:lpwstr>
  </property>
</Properties>
</file>