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6314" w:rsidRDefault="00A46314">
      <w:pPr>
        <w:pStyle w:val="XBRL2"/>
        <w:spacing w:before="156"/>
        <w:rPr>
          <w:lang w:eastAsia="zh-CN"/>
        </w:rPr>
      </w:pPr>
      <w:bookmarkStart w:id="0" w:name="_Toc510201001"/>
      <w:bookmarkEnd w:id="0"/>
      <w:r>
        <w:rPr>
          <w:lang w:eastAsia="zh-CN"/>
        </w:rPr>
        <w:t xml:space="preserve">　</w:t>
      </w:r>
      <w:r>
        <w:rPr>
          <w:lang w:eastAsia="zh-CN"/>
        </w:rPr>
        <w:t xml:space="preserve"> </w:t>
      </w:r>
    </w:p>
    <w:p w:rsidR="00A46314" w:rsidRDefault="00A46314">
      <w:pPr>
        <w:jc w:val="center"/>
      </w:pPr>
      <w:r>
        <w:rPr>
          <w:rFonts w:cs="Times New Roman" w:hint="eastAsia"/>
          <w:b/>
          <w:sz w:val="48"/>
          <w:szCs w:val="48"/>
        </w:rPr>
        <w:t>宏利恒利债券型证券投资基金恢复大额申购、大额转换转入及大额定期定额投资业务的公告</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Default="00A46314">
      <w:pPr>
        <w:spacing w:line="560" w:lineRule="exact"/>
        <w:jc w:val="center"/>
        <w:rPr>
          <w:rFonts w:hint="eastAsia"/>
          <w:color w:val="000000"/>
          <w:kern w:val="0"/>
          <w:sz w:val="18"/>
        </w:rPr>
      </w:pPr>
      <w:r>
        <w:rPr>
          <w:rFonts w:hint="eastAsia"/>
          <w:color w:val="000000"/>
          <w:kern w:val="0"/>
          <w:sz w:val="18"/>
        </w:rPr>
        <w:t xml:space="preserve">　 </w:t>
      </w:r>
    </w:p>
    <w:p w:rsidR="00A46314" w:rsidRPr="00E20BAC" w:rsidRDefault="00A46314">
      <w:pPr>
        <w:spacing w:line="360" w:lineRule="auto"/>
        <w:jc w:val="center"/>
        <w:rPr>
          <w:rFonts w:hint="eastAsia"/>
          <w:sz w:val="22"/>
        </w:rPr>
      </w:pPr>
      <w:r w:rsidRPr="00E20BAC">
        <w:rPr>
          <w:rFonts w:hint="eastAsia"/>
          <w:b/>
          <w:bCs/>
          <w:sz w:val="28"/>
          <w:szCs w:val="30"/>
        </w:rPr>
        <w:t>公告送出日期：2025年12月6日</w:t>
      </w:r>
    </w:p>
    <w:p w:rsidR="00A46314" w:rsidRDefault="00A46314">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046"/>
        <w:gridCol w:w="934"/>
        <w:gridCol w:w="2165"/>
        <w:gridCol w:w="2165"/>
        <w:gridCol w:w="2165"/>
      </w:tblGrid>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基金名称</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宏利恒利债券型证券投资基金</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 xml:space="preserve">基金简称 </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宏利恒利债券</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 xml:space="preserve">基金主代码 </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004001</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基金管理人名称</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宏利基金管理有限公司</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公告依据</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《中华人民共和国证券投资基金法》、《公开募集证券投资基金信息披露管理办法》等法律法规以及《宏利恒利债券型证券投资基金基金合同》和《宏利恒利债券型证券投资基金招募说明书》</w:t>
            </w:r>
          </w:p>
        </w:tc>
      </w:tr>
      <w:tr w:rsidR="00A46314" w:rsidTr="00407250">
        <w:tc>
          <w:tcPr>
            <w:tcW w:w="2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恢复相关业务的日期及原因说明</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恢复大额申购日</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2025年12月8日</w:t>
            </w:r>
          </w:p>
        </w:tc>
      </w:tr>
      <w:tr w:rsidR="00A46314" w:rsidTr="00407250">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46314" w:rsidRDefault="00A46314">
            <w:pPr>
              <w:widowControl/>
              <w:jc w:val="left"/>
              <w:rPr>
                <w:rFonts w:hint="eastAsia"/>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恢复大额转换转入日</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2025年12月8日</w:t>
            </w:r>
          </w:p>
        </w:tc>
      </w:tr>
      <w:tr w:rsidR="00A46314" w:rsidTr="00407250">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46314" w:rsidRDefault="00A46314">
            <w:pPr>
              <w:widowControl/>
              <w:jc w:val="left"/>
              <w:rPr>
                <w:rFonts w:hint="eastAsia"/>
              </w:rPr>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恢复大额申购、大额转换转入的原因说明</w:t>
            </w:r>
            <w:r>
              <w:rPr>
                <w:rFonts w:hint="eastAsia"/>
              </w:rPr>
              <w:t xml:space="preserve"> </w:t>
            </w:r>
          </w:p>
        </w:tc>
        <w:tc>
          <w:tcPr>
            <w:tcW w:w="4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hint="eastAsia"/>
              </w:rPr>
              <w:t>为了满足投资者需求，根据本基金基金合同的有关规定。</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下属分级基金的基金简称</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宏利恒利债券A</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宏利恒利债券C</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宏利恒利债券D</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下属分级基金的交易代码</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004001</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004002</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024994</w:t>
            </w:r>
          </w:p>
        </w:tc>
      </w:tr>
      <w:tr w:rsidR="00A46314" w:rsidTr="00407250">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46314" w:rsidRDefault="00A46314">
            <w:pPr>
              <w:rPr>
                <w:rFonts w:hint="eastAsia"/>
              </w:rPr>
            </w:pPr>
            <w:r w:rsidRPr="00407250">
              <w:rPr>
                <w:rFonts w:ascii="Calibri" w:hAnsi="Calibri" w:hint="eastAsia"/>
              </w:rPr>
              <w:t>该分级基金是否恢复大额申购、大额转换转入</w:t>
            </w:r>
            <w:r w:rsidRPr="00407250">
              <w:rPr>
                <w:rFonts w:ascii="Calibri" w:hAnsi="Calibri" w:hint="eastAsia"/>
              </w:rPr>
              <w:t xml:space="preserve"> </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46314" w:rsidRDefault="00A46314">
            <w:pPr>
              <w:rPr>
                <w:rFonts w:hint="eastAsia"/>
              </w:rPr>
            </w:pPr>
            <w:r w:rsidRPr="00407250">
              <w:rPr>
                <w:rFonts w:hint="eastAsia"/>
              </w:rPr>
              <w:t>是</w:t>
            </w:r>
          </w:p>
        </w:tc>
      </w:tr>
    </w:tbl>
    <w:p w:rsidR="00A46314" w:rsidRDefault="00A46314">
      <w:pPr>
        <w:adjustRightInd w:val="0"/>
        <w:snapToGrid w:val="0"/>
        <w:spacing w:line="360" w:lineRule="auto"/>
        <w:jc w:val="left"/>
        <w:rPr>
          <w:rFonts w:hint="eastAsia"/>
        </w:rPr>
      </w:pPr>
      <w:r>
        <w:rPr>
          <w:rFonts w:hint="eastAsia"/>
        </w:rPr>
        <w:t>注:</w:t>
      </w:r>
      <w:r>
        <w:rPr>
          <w:rFonts w:hint="eastAsia"/>
          <w:szCs w:val="24"/>
          <w:lang/>
        </w:rPr>
        <w:t xml:space="preserve">上述恢复大额申购（含定期定额投资、转换转入）业务具体指取消对本基金单日单个基金账户单笔或累计超过100万元（不含100万元）的申购业务限制。 </w:t>
      </w:r>
    </w:p>
    <w:p w:rsidR="00A46314" w:rsidRDefault="00A46314">
      <w:pPr>
        <w:pStyle w:val="XBRLTitle1"/>
        <w:spacing w:before="156" w:line="360" w:lineRule="auto"/>
        <w:ind w:left="425"/>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A46314" w:rsidRDefault="00A46314">
      <w:pPr>
        <w:spacing w:line="360" w:lineRule="auto"/>
        <w:ind w:firstLineChars="200" w:firstLine="420"/>
        <w:jc w:val="left"/>
        <w:rPr>
          <w:rFonts w:hint="eastAsia"/>
        </w:rPr>
      </w:pPr>
      <w:r>
        <w:rPr>
          <w:rFonts w:hint="eastAsia"/>
          <w:szCs w:val="21"/>
        </w:rPr>
        <w:t>1、本基金将于2025年12月8日当日起恢复正常申购、定期定额投资和转换转入投资业务。</w:t>
      </w:r>
      <w:r>
        <w:rPr>
          <w:rFonts w:hint="eastAsia"/>
          <w:szCs w:val="21"/>
        </w:rPr>
        <w:br/>
        <w:t xml:space="preserve">　　2、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r>
        <w:rPr>
          <w:rFonts w:hint="eastAsia"/>
          <w:szCs w:val="21"/>
        </w:rPr>
        <w:br/>
        <w:t xml:space="preserve">　　3、投资者欲了解本基金的详细情况，请仔细阅读本基金的基金合同、招募说明书、基金产品资料概要，如有疑问，请致电本公司客户服务热线：400-698-8888，010-66555662；或登录本公司网站：www.manulifefund.com.cn。</w:t>
      </w:r>
      <w:r>
        <w:rPr>
          <w:rFonts w:hint="eastAsia"/>
          <w:szCs w:val="21"/>
        </w:rPr>
        <w:br/>
        <w:t xml:space="preserve">　　4、本基金管理人承诺以诚实信用、勤勉尽责的原则管理和运用基金资产，但不保证基金一定</w:t>
      </w:r>
      <w:r>
        <w:rPr>
          <w:rFonts w:hint="eastAsia"/>
          <w:szCs w:val="21"/>
        </w:rPr>
        <w:lastRenderedPageBreak/>
        <w:t>盈利，也不保证最低收益。敬请投资者于投资前认真阅读本基金的基金合同、招募说明书和基金产品资料概要。</w:t>
      </w:r>
    </w:p>
    <w:p w:rsidR="00A46314" w:rsidRDefault="00A46314">
      <w:pPr>
        <w:spacing w:line="360" w:lineRule="auto"/>
        <w:ind w:firstLineChars="600" w:firstLine="1446"/>
        <w:jc w:val="right"/>
        <w:rPr>
          <w:rFonts w:hint="eastAsia"/>
          <w:b/>
          <w:bCs/>
          <w:sz w:val="24"/>
          <w:szCs w:val="30"/>
        </w:rPr>
      </w:pPr>
      <w:r>
        <w:rPr>
          <w:rFonts w:hint="eastAsia"/>
          <w:b/>
          <w:bCs/>
          <w:sz w:val="24"/>
          <w:szCs w:val="30"/>
        </w:rPr>
        <w:t xml:space="preserve">　 </w:t>
      </w:r>
    </w:p>
    <w:p w:rsidR="00A46314" w:rsidRDefault="00A46314">
      <w:pPr>
        <w:spacing w:line="360" w:lineRule="auto"/>
        <w:ind w:firstLineChars="600" w:firstLine="1446"/>
        <w:jc w:val="right"/>
        <w:rPr>
          <w:rFonts w:hint="eastAsia"/>
          <w:b/>
          <w:bCs/>
          <w:sz w:val="24"/>
          <w:szCs w:val="30"/>
        </w:rPr>
      </w:pPr>
      <w:r>
        <w:rPr>
          <w:rFonts w:hint="eastAsia"/>
          <w:b/>
          <w:bCs/>
          <w:sz w:val="24"/>
          <w:szCs w:val="30"/>
        </w:rPr>
        <w:t xml:space="preserve">　 </w:t>
      </w:r>
    </w:p>
    <w:p w:rsidR="00A46314" w:rsidRDefault="00A46314">
      <w:pPr>
        <w:spacing w:line="360" w:lineRule="auto"/>
        <w:ind w:firstLineChars="600" w:firstLine="1446"/>
        <w:jc w:val="right"/>
        <w:rPr>
          <w:rFonts w:hint="eastAsia"/>
        </w:rPr>
      </w:pPr>
      <w:r>
        <w:rPr>
          <w:rFonts w:hint="eastAsia"/>
          <w:b/>
          <w:bCs/>
          <w:sz w:val="24"/>
          <w:szCs w:val="24"/>
        </w:rPr>
        <w:t>宏利基金管理有限公司</w:t>
      </w:r>
    </w:p>
    <w:p w:rsidR="00A46314" w:rsidRDefault="00A46314">
      <w:pPr>
        <w:spacing w:line="360" w:lineRule="auto"/>
        <w:ind w:firstLineChars="600" w:firstLine="1446"/>
        <w:jc w:val="right"/>
        <w:rPr>
          <w:rFonts w:hint="eastAsia"/>
        </w:rPr>
      </w:pPr>
      <w:r>
        <w:rPr>
          <w:rFonts w:hint="eastAsia"/>
          <w:b/>
          <w:bCs/>
          <w:sz w:val="24"/>
          <w:szCs w:val="24"/>
        </w:rPr>
        <w:t>2025年12月6日</w:t>
      </w:r>
      <w:bookmarkEnd w:id="22"/>
    </w:p>
    <w:sectPr w:rsidR="00A46314">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CC" w:rsidRDefault="00666BC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666BCC" w:rsidRDefault="00666BC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14" w:rsidRDefault="00A4631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rFonts w:hint="eastAsia"/>
        <w:sz w:val="18"/>
        <w:szCs w:val="18"/>
      </w:rPr>
      <w:fldChar w:fldCharType="separate"/>
    </w:r>
    <w:r w:rsidR="00C219DD">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rFonts w:hint="eastAsia"/>
        <w:sz w:val="18"/>
        <w:szCs w:val="18"/>
      </w:rPr>
      <w:fldChar w:fldCharType="separate"/>
    </w:r>
    <w:r w:rsidR="00C219DD">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CC" w:rsidRDefault="00666BC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666BCC" w:rsidRDefault="00666BC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14" w:rsidRDefault="00A46314">
    <w:pPr>
      <w:pStyle w:val="a8"/>
      <w:jc w:val="right"/>
      <w:rPr>
        <w:rFonts w:hint="eastAsia"/>
      </w:rPr>
    </w:pPr>
    <w:r>
      <w:rPr>
        <w:rFonts w:hint="eastAsia"/>
      </w:rPr>
      <w:t>宏利恒利债券型证券投资基金恢复大额申购、大额转换转入及大额定期定额投资业务的公告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7B18"/>
    <w:rsid w:val="00193142"/>
    <w:rsid w:val="001B7B18"/>
    <w:rsid w:val="00332C49"/>
    <w:rsid w:val="00407250"/>
    <w:rsid w:val="00666BCC"/>
    <w:rsid w:val="00743528"/>
    <w:rsid w:val="00842C00"/>
    <w:rsid w:val="008A79F1"/>
    <w:rsid w:val="00A46314"/>
    <w:rsid w:val="00C0738B"/>
    <w:rsid w:val="00C219DD"/>
    <w:rsid w:val="00C43B5B"/>
    <w:rsid w:val="00D6658D"/>
    <w:rsid w:val="00E20BAC"/>
    <w:rsid w:val="00E27DFC"/>
    <w:rsid w:val="00FA0D1C"/>
    <w:rsid w:val="00FD3D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ascii="Calibri" w:eastAsia="宋体" w:hAnsi="Calibri" w:cs="Times New Roman"/>
      <w:color w:val="365F91"/>
      <w:kern w:val="2"/>
      <w:sz w:val="24"/>
      <w:szCs w:val="24"/>
    </w:rPr>
  </w:style>
  <w:style w:type="character" w:customStyle="1" w:styleId="60">
    <w:name w:val="标题 6 字符"/>
    <w:link w:val="6"/>
    <w:uiPriority w:val="9"/>
    <w:semiHidden/>
    <w:rPr>
      <w:rFonts w:ascii="Calibri" w:eastAsia="宋体" w:hAnsi="Calibri" w:cs="Times New Roman"/>
      <w:b/>
      <w:bCs/>
      <w:color w:val="365F91"/>
      <w:kern w:val="2"/>
      <w:sz w:val="21"/>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10C7-0BFF-41E4-9E37-A94C7686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832</Characters>
  <Application>Microsoft Office Word</Application>
  <DocSecurity>4</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2025-12-05T11:28:00Z</cp:lastPrinted>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