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C57A1" w:rsidRDefault="00893436" w:rsidP="00AC3CC5">
      <w:pPr>
        <w:widowControl/>
        <w:jc w:val="center"/>
        <w:rPr>
          <w:rFonts w:asciiTheme="minorEastAsia" w:eastAsiaTheme="minorEastAsia" w:hAnsiTheme="minorEastAsia" w:cs="宋体"/>
          <w:b/>
          <w:kern w:val="0"/>
          <w:sz w:val="30"/>
          <w:szCs w:val="30"/>
        </w:rPr>
      </w:pPr>
      <w:bookmarkStart w:id="0" w:name="_GoBack"/>
      <w:bookmarkEnd w:id="0"/>
      <w:r w:rsidRPr="005C57A1">
        <w:rPr>
          <w:rFonts w:asciiTheme="minorEastAsia" w:eastAsiaTheme="minorEastAsia" w:hAnsiTheme="minorEastAsia" w:cs="宋体" w:hint="eastAsia"/>
          <w:b/>
          <w:kern w:val="0"/>
          <w:sz w:val="30"/>
          <w:szCs w:val="30"/>
        </w:rPr>
        <w:t>广发中证智选高股息策略交易型开放式指数证券投资基金分红公告</w:t>
      </w:r>
    </w:p>
    <w:p w:rsidR="00893436" w:rsidRPr="002825C8" w:rsidRDefault="00893436" w:rsidP="00AC3CC5">
      <w:pPr>
        <w:jc w:val="cente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公告送出日期：</w:t>
      </w:r>
      <w:r w:rsidRPr="002825C8">
        <w:rPr>
          <w:rFonts w:asciiTheme="minorEastAsia" w:eastAsiaTheme="minorEastAsia" w:hAnsiTheme="minorEastAsia" w:cs="宋体"/>
          <w:bCs/>
          <w:sz w:val="24"/>
          <w:szCs w:val="24"/>
        </w:rPr>
        <w:t>2025年12月5日</w:t>
      </w:r>
    </w:p>
    <w:p w:rsidR="00893436" w:rsidRPr="002825C8" w:rsidRDefault="00893436" w:rsidP="00AC3CC5">
      <w:pPr>
        <w:jc w:val="center"/>
        <w:rPr>
          <w:rFonts w:asciiTheme="minorEastAsia" w:eastAsiaTheme="minorEastAsia" w:hAnsiTheme="minorEastAsia"/>
          <w:color w:val="000000"/>
          <w:sz w:val="24"/>
          <w:szCs w:val="24"/>
        </w:rPr>
      </w:pP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1" w:name="_Toc275961418"/>
      <w:r w:rsidRPr="002825C8">
        <w:rPr>
          <w:rFonts w:asciiTheme="minorEastAsia" w:eastAsiaTheme="minorEastAsia" w:hAnsiTheme="minorEastAsia"/>
          <w:bCs w:val="0"/>
          <w:color w:val="000000"/>
          <w:sz w:val="24"/>
          <w:szCs w:val="24"/>
        </w:rPr>
        <w:t>1</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3130"/>
        <w:gridCol w:w="4861"/>
      </w:tblGrid>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广发中证智选高股息策略交易型开放式指数证券投资基金</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基金简称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广发中证智选高股息策略ETF</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基金主代码</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159207</w:t>
            </w:r>
          </w:p>
        </w:tc>
      </w:tr>
      <w:tr w:rsidR="0039192C" w:rsidRPr="002825C8" w:rsidTr="001E1256">
        <w:trPr>
          <w:jc w:val="center"/>
        </w:trPr>
        <w:tc>
          <w:tcPr>
            <w:tcW w:w="4778" w:type="dxa"/>
            <w:gridSpan w:val="2"/>
            <w:vAlign w:val="center"/>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基金合同生效日</w:t>
            </w:r>
          </w:p>
        </w:tc>
        <w:tc>
          <w:tcPr>
            <w:tcW w:w="4861" w:type="dxa"/>
            <w:vAlign w:val="center"/>
          </w:tcPr>
          <w:p w:rsidR="0039192C" w:rsidRPr="002825C8" w:rsidRDefault="003E51F2"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2025年3月27日</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基金管理人名称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广发基金管理有限公司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基金托管人名称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上海浦东发展银行股份有限公司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公告依据</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《中华人民共和国证券投资基金法》及其配套法规、《广发中证智选高股息策略交易型开放式指数证券投资基金基金合同》《广发中证智选高股息策略交易型开放式指数证券投资基金招募说明书》</w:t>
            </w:r>
          </w:p>
        </w:tc>
      </w:tr>
      <w:tr w:rsidR="00893436" w:rsidRPr="002825C8" w:rsidTr="001E1256">
        <w:trPr>
          <w:jc w:val="center"/>
        </w:trPr>
        <w:tc>
          <w:tcPr>
            <w:tcW w:w="4778" w:type="dxa"/>
            <w:gridSpan w:val="2"/>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收益分配基准日</w:t>
            </w:r>
          </w:p>
        </w:tc>
        <w:tc>
          <w:tcPr>
            <w:tcW w:w="4861" w:type="dxa"/>
          </w:tcPr>
          <w:p w:rsidR="00893436"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2025年11月28日</w:t>
            </w:r>
          </w:p>
        </w:tc>
      </w:tr>
      <w:tr w:rsidR="00B232B4" w:rsidRPr="0007182D" w:rsidTr="00252EA1">
        <w:trPr>
          <w:jc w:val="center"/>
        </w:trPr>
        <w:tc>
          <w:tcPr>
            <w:tcW w:w="1648" w:type="dxa"/>
            <w:vMerge w:val="restart"/>
            <w:vAlign w:val="center"/>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截止收益分配基准日的相关指标</w:t>
            </w: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基准日基金份额净值</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1.1373</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基准日基金可供分配利润</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25,975,052.93</w:t>
            </w:r>
          </w:p>
        </w:tc>
      </w:tr>
      <w:tr w:rsidR="00252EA1" w:rsidRPr="002825C8" w:rsidTr="002C68F9">
        <w:trPr>
          <w:jc w:val="center"/>
        </w:trPr>
        <w:tc>
          <w:tcPr>
            <w:tcW w:w="4778" w:type="dxa"/>
            <w:gridSpan w:val="2"/>
            <w:vAlign w:val="center"/>
          </w:tcPr>
          <w:p w:rsidR="00252EA1" w:rsidRPr="002825C8" w:rsidRDefault="00252EA1" w:rsidP="002C68F9">
            <w:pPr>
              <w:rPr>
                <w:rFonts w:asciiTheme="minorEastAsia" w:eastAsiaTheme="minorEastAsia" w:hAnsiTheme="minorEastAsia"/>
                <w:color w:val="000000"/>
                <w:sz w:val="24"/>
                <w:szCs w:val="24"/>
              </w:rPr>
            </w:pPr>
            <w:r w:rsidRPr="003C2C83">
              <w:rPr>
                <w:rFonts w:asciiTheme="minorEastAsia" w:eastAsiaTheme="minorEastAsia" w:hAnsiTheme="minorEastAsia"/>
                <w:sz w:val="24"/>
                <w:szCs w:val="24"/>
              </w:rPr>
              <w:t>本次分红方案（单位：元/10份基金份额）</w:t>
            </w:r>
          </w:p>
        </w:tc>
        <w:tc>
          <w:tcPr>
            <w:tcW w:w="4861" w:type="dxa"/>
            <w:vAlign w:val="center"/>
          </w:tcPr>
          <w:p w:rsidR="00252EA1" w:rsidRPr="002825C8" w:rsidRDefault="00252EA1" w:rsidP="002C68F9">
            <w:pPr>
              <w:rPr>
                <w:rFonts w:asciiTheme="minorEastAsia" w:eastAsiaTheme="minorEastAsia" w:hAnsiTheme="minorEastAsia"/>
                <w:sz w:val="24"/>
                <w:szCs w:val="24"/>
              </w:rPr>
            </w:pPr>
            <w:r w:rsidRPr="003C2C83">
              <w:rPr>
                <w:rFonts w:asciiTheme="minorEastAsia" w:eastAsiaTheme="minorEastAsia" w:hAnsiTheme="minorEastAsia"/>
                <w:sz w:val="24"/>
                <w:szCs w:val="24"/>
              </w:rPr>
              <w:t>0.546</w:t>
            </w:r>
          </w:p>
        </w:tc>
      </w:tr>
      <w:tr w:rsidR="00B232B4" w:rsidRPr="002825C8" w:rsidTr="002C68F9">
        <w:trPr>
          <w:jc w:val="center"/>
        </w:trPr>
        <w:tc>
          <w:tcPr>
            <w:tcW w:w="4778" w:type="dxa"/>
            <w:gridSpan w:val="2"/>
            <w:vAlign w:val="center"/>
          </w:tcPr>
          <w:p w:rsidR="00B232B4" w:rsidRPr="002825C8" w:rsidRDefault="00B232B4" w:rsidP="002C68F9">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有关年度分红次数的说明</w:t>
            </w:r>
          </w:p>
        </w:tc>
        <w:tc>
          <w:tcPr>
            <w:tcW w:w="4861" w:type="dxa"/>
            <w:vAlign w:val="center"/>
          </w:tcPr>
          <w:p w:rsidR="00B232B4" w:rsidRPr="002825C8" w:rsidRDefault="00B232B4" w:rsidP="002C68F9">
            <w:pPr>
              <w:rPr>
                <w:rFonts w:asciiTheme="minorEastAsia" w:eastAsiaTheme="minorEastAsia" w:hAnsiTheme="minorEastAsia"/>
                <w:sz w:val="24"/>
                <w:szCs w:val="24"/>
              </w:rPr>
            </w:pPr>
            <w:r w:rsidRPr="002825C8">
              <w:rPr>
                <w:rFonts w:asciiTheme="minorEastAsia" w:eastAsiaTheme="minorEastAsia" w:hAnsiTheme="minorEastAsia"/>
                <w:sz w:val="24"/>
                <w:szCs w:val="24"/>
              </w:rPr>
              <w:t>本次分红为2025年度的第1次分红</w:t>
            </w:r>
          </w:p>
        </w:tc>
      </w:tr>
    </w:tbl>
    <w:p w:rsidR="003D4269" w:rsidRDefault="003049B8">
      <w:pPr>
        <w:rPr>
          <w:rFonts w:asciiTheme="minorEastAsia" w:eastAsiaTheme="minorEastAsia" w:hAnsiTheme="minorEastAsia"/>
          <w:sz w:val="24"/>
          <w:szCs w:val="24"/>
        </w:rPr>
      </w:pPr>
      <w:r>
        <w:rPr>
          <w:rFonts w:asciiTheme="minorEastAsia" w:eastAsiaTheme="minorEastAsia" w:hAnsiTheme="minorEastAsia"/>
          <w:sz w:val="24"/>
          <w:szCs w:val="24"/>
        </w:rPr>
        <w:t>注：（</w:t>
      </w:r>
      <w:r>
        <w:rPr>
          <w:rFonts w:asciiTheme="minorEastAsia" w:eastAsiaTheme="minorEastAsia" w:hAnsiTheme="minorEastAsia"/>
          <w:sz w:val="24"/>
          <w:szCs w:val="24"/>
        </w:rPr>
        <w:t>1</w:t>
      </w:r>
      <w:r>
        <w:rPr>
          <w:rFonts w:asciiTheme="minorEastAsia" w:eastAsiaTheme="minorEastAsia" w:hAnsiTheme="minorEastAsia"/>
          <w:sz w:val="24"/>
          <w:szCs w:val="24"/>
        </w:rPr>
        <w:t>）本基金场内简称为</w:t>
      </w:r>
      <w:r>
        <w:rPr>
          <w:rFonts w:asciiTheme="minorEastAsia" w:eastAsiaTheme="minorEastAsia" w:hAnsiTheme="minorEastAsia"/>
          <w:sz w:val="24"/>
          <w:szCs w:val="24"/>
        </w:rPr>
        <w:t>“</w:t>
      </w:r>
      <w:r>
        <w:rPr>
          <w:rFonts w:asciiTheme="minorEastAsia" w:eastAsiaTheme="minorEastAsia" w:hAnsiTheme="minorEastAsia"/>
          <w:sz w:val="24"/>
          <w:szCs w:val="24"/>
        </w:rPr>
        <w:t>高股息</w:t>
      </w:r>
      <w:r>
        <w:rPr>
          <w:rFonts w:asciiTheme="minorEastAsia" w:eastAsiaTheme="minorEastAsia" w:hAnsiTheme="minorEastAsia"/>
          <w:sz w:val="24"/>
          <w:szCs w:val="24"/>
        </w:rPr>
        <w:t>ETF”</w:t>
      </w:r>
      <w:r>
        <w:rPr>
          <w:rFonts w:asciiTheme="minorEastAsia" w:eastAsiaTheme="minorEastAsia" w:hAnsiTheme="minorEastAsia"/>
          <w:sz w:val="24"/>
          <w:szCs w:val="24"/>
        </w:rPr>
        <w:t>。</w:t>
      </w:r>
    </w:p>
    <w:p w:rsidR="00893436" w:rsidRPr="002825C8" w:rsidRDefault="00F45E48" w:rsidP="001E1256">
      <w:pPr>
        <w:rPr>
          <w:rFonts w:asciiTheme="minorEastAsia" w:eastAsiaTheme="minorEastAsia" w:hAnsiTheme="minorEastAsia"/>
          <w:sz w:val="24"/>
          <w:szCs w:val="24"/>
        </w:rPr>
      </w:pPr>
      <w:r w:rsidRPr="002825C8">
        <w:rPr>
          <w:rFonts w:asciiTheme="minorEastAsia" w:eastAsiaTheme="minorEastAsia" w:hAnsiTheme="minorEastAsia"/>
          <w:sz w:val="24"/>
          <w:szCs w:val="24"/>
        </w:rPr>
        <w:t>（2）根据本基金合同约定，当基金份额净值增长率超过标的指数同期增长率达到1%以上时，可进行首次收益分配；在首次收益分配后，当基金份额净值增长</w:t>
      </w:r>
      <w:r w:rsidRPr="002825C8">
        <w:rPr>
          <w:rFonts w:asciiTheme="minorEastAsia" w:eastAsiaTheme="minorEastAsia" w:hAnsiTheme="minorEastAsia"/>
          <w:sz w:val="24"/>
          <w:szCs w:val="24"/>
        </w:rPr>
        <w:lastRenderedPageBreak/>
        <w:t>率超过标的指数同期增长率达到0.01%以上时，可进行收益分配；在收益评价日，基金管理人对基金份额净值增长率和标的指数同期增长率进行计算，计算方法参见《广发中证智选高股息策略交易型开放式指数证券投资基金招募说明书》。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在符合基金收益分配条件的前提下，本基金可以每个月进行一次收益分配。</w:t>
      </w: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2" w:name="_Toc275961419"/>
      <w:r w:rsidRPr="002825C8">
        <w:rPr>
          <w:rFonts w:asciiTheme="minorEastAsia" w:eastAsiaTheme="minorEastAsia" w:hAnsiTheme="minorEastAsia"/>
          <w:bCs w:val="0"/>
          <w:color w:val="000000"/>
          <w:sz w:val="24"/>
          <w:szCs w:val="24"/>
        </w:rPr>
        <w:t>2</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1"/>
        <w:gridCol w:w="6404"/>
      </w:tblGrid>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权益登记日</w:t>
            </w:r>
          </w:p>
        </w:tc>
        <w:tc>
          <w:tcPr>
            <w:tcW w:w="4355" w:type="dxa"/>
            <w:gridSpan w:val="2"/>
          </w:tcPr>
          <w:p w:rsidR="00893436" w:rsidRPr="002825C8" w:rsidRDefault="00362297"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2025年12月9日</w:t>
            </w:r>
          </w:p>
        </w:tc>
      </w:tr>
      <w:tr w:rsidR="0009778C" w:rsidRPr="002825C8" w:rsidTr="007C142C">
        <w:trPr>
          <w:jc w:val="center"/>
        </w:trPr>
        <w:tc>
          <w:tcPr>
            <w:tcW w:w="4355" w:type="dxa"/>
          </w:tcPr>
          <w:p w:rsidR="0009778C" w:rsidRPr="002825C8" w:rsidRDefault="0009778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除息日</w:t>
            </w:r>
          </w:p>
        </w:tc>
        <w:tc>
          <w:tcPr>
            <w:tcW w:w="8710" w:type="dxa"/>
            <w:hMerge w:val="restart"/>
          </w:tcPr>
          <w:p w:rsidR="0009778C" w:rsidRPr="002825C8" w:rsidRDefault="0009778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2025年12月10日（场内）</w:t>
            </w:r>
          </w:p>
        </w:tc>
        <w:tc>
          <w:tcPr>
            <w:tcW w:w="4355" w:type="dxa"/>
            <w:hMerge/>
          </w:tcPr>
          <w:p w:rsidR="0009778C" w:rsidRPr="002825C8" w:rsidRDefault="00D421E2" w:rsidP="00D421E2">
            <w:pPr>
              <w:rPr>
                <w:rFonts w:asciiTheme="minorEastAsia" w:eastAsiaTheme="minorEastAsia" w:hAnsiTheme="minorEastAsia"/>
                <w:sz w:val="24"/>
                <w:szCs w:val="24"/>
              </w:rPr>
            </w:pPr>
            <w:r w:rsidRPr="00890BE3">
              <w:rPr>
                <w:rFonts w:asciiTheme="minorEastAsia" w:eastAsiaTheme="minorEastAsia" w:hAnsiTheme="minorEastAsia"/>
                <w:sz w:val="24"/>
                <w:szCs w:val="24"/>
              </w:rPr>
              <w:t>-（场外）</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现金红利发放日</w:t>
            </w:r>
          </w:p>
        </w:tc>
        <w:tc>
          <w:tcPr>
            <w:tcW w:w="4355" w:type="dxa"/>
            <w:gridSpan w:val="2"/>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2025年12月12日</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分红对象</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权益登记日下午深圳证券交易所交易结束后，在中国证券登记结算有限责任公司深圳分公司登记在册的本基金全体基金份额持有人。</w:t>
            </w:r>
          </w:p>
        </w:tc>
      </w:tr>
      <w:tr w:rsidR="00893436" w:rsidRPr="002825C8" w:rsidTr="007C142C">
        <w:trPr>
          <w:jc w:val="center"/>
        </w:trPr>
        <w:tc>
          <w:tcPr>
            <w:tcW w:w="4355" w:type="dxa"/>
            <w:shd w:val="clear" w:color="auto" w:fill="auto"/>
            <w:vAlign w:val="center"/>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红利再投资相关事项的说明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本基金的收益分配采取现金分红的方式。</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税收相关事项的说明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根据相关法律法规规定，基金向投资者分配的基金收益，暂免征收所得税。</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费用相关事项的说明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本基金本次分红免收分红手续费。</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3" w:name="_Toc275961420"/>
      <w:r w:rsidRPr="002825C8">
        <w:rPr>
          <w:rFonts w:asciiTheme="minorEastAsia" w:eastAsiaTheme="minorEastAsia" w:hAnsiTheme="minorEastAsia"/>
          <w:bCs w:val="0"/>
          <w:color w:val="000000"/>
          <w:sz w:val="24"/>
          <w:szCs w:val="24"/>
        </w:rPr>
        <w:t>3</w:t>
      </w:r>
      <w:r w:rsidR="00F15128">
        <w:rPr>
          <w:rFonts w:asciiTheme="minorEastAsia" w:eastAsiaTheme="minorEastAsia" w:hAnsiTheme="minorEastAsia"/>
          <w:bCs w:val="0"/>
          <w:color w:val="000000"/>
          <w:sz w:val="24"/>
          <w:szCs w:val="24"/>
        </w:rPr>
        <w:t>.</w:t>
      </w:r>
      <w:r w:rsidRPr="002825C8">
        <w:rPr>
          <w:rFonts w:asciiTheme="minorEastAsia" w:eastAsiaTheme="minorEastAsia" w:hAnsiTheme="minorEastAsia"/>
          <w:bCs w:val="0"/>
          <w:color w:val="000000"/>
          <w:sz w:val="24"/>
          <w:szCs w:val="24"/>
        </w:rPr>
        <w:t xml:space="preserve"> 其他需要提示的事项</w:t>
      </w:r>
      <w:bookmarkEnd w:id="3"/>
    </w:p>
    <w:p w:rsidR="003D4269" w:rsidRDefault="003049B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）对于权益登记日在中国证券登记结算有限责任公司深圳分公司登记在册的基金份额所对应的分红款，本公司于</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12</w:t>
      </w:r>
      <w:r>
        <w:rPr>
          <w:rFonts w:asciiTheme="minorEastAsia" w:eastAsiaTheme="minorEastAsia" w:hAnsiTheme="minorEastAsia"/>
          <w:sz w:val="24"/>
          <w:szCs w:val="24"/>
        </w:rPr>
        <w:t>月</w:t>
      </w:r>
      <w:r>
        <w:rPr>
          <w:rFonts w:asciiTheme="minorEastAsia" w:eastAsiaTheme="minorEastAsia" w:hAnsiTheme="minorEastAsia"/>
          <w:sz w:val="24"/>
          <w:szCs w:val="24"/>
        </w:rPr>
        <w:t>11</w:t>
      </w:r>
      <w:r>
        <w:rPr>
          <w:rFonts w:asciiTheme="minorEastAsia" w:eastAsiaTheme="minorEastAsia" w:hAnsiTheme="minorEastAsia"/>
          <w:sz w:val="24"/>
          <w:szCs w:val="24"/>
        </w:rPr>
        <w:t>日将拟分配的现金红利款足额划入中国证券登记结算有限责任公司深圳分公司的指定银行账户，中国证券登记结算有限责任公司深圳分公司在</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12</w:t>
      </w:r>
      <w:r>
        <w:rPr>
          <w:rFonts w:asciiTheme="minorEastAsia" w:eastAsiaTheme="minorEastAsia" w:hAnsiTheme="minorEastAsia"/>
          <w:sz w:val="24"/>
          <w:szCs w:val="24"/>
        </w:rPr>
        <w:t>月</w:t>
      </w:r>
      <w:r>
        <w:rPr>
          <w:rFonts w:asciiTheme="minorEastAsia" w:eastAsiaTheme="minorEastAsia" w:hAnsiTheme="minorEastAsia"/>
          <w:sz w:val="24"/>
          <w:szCs w:val="24"/>
        </w:rPr>
        <w:t>12</w:t>
      </w:r>
      <w:r>
        <w:rPr>
          <w:rFonts w:asciiTheme="minorEastAsia" w:eastAsiaTheme="minorEastAsia" w:hAnsiTheme="minorEastAsia"/>
          <w:sz w:val="24"/>
          <w:szCs w:val="24"/>
        </w:rPr>
        <w:t>日将现金红利款划付给结算参与机构，投资者具体收到现金红利的时间遵循中国证券登记结算有限责任公司及证券公司的规定。</w:t>
      </w:r>
    </w:p>
    <w:p w:rsidR="003D4269" w:rsidRDefault="003049B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）本基金将于</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12</w:t>
      </w:r>
      <w:r>
        <w:rPr>
          <w:rFonts w:asciiTheme="minorEastAsia" w:eastAsiaTheme="minorEastAsia" w:hAnsiTheme="minorEastAsia"/>
          <w:sz w:val="24"/>
          <w:szCs w:val="24"/>
        </w:rPr>
        <w:t>月</w:t>
      </w:r>
      <w:r>
        <w:rPr>
          <w:rFonts w:asciiTheme="minorEastAsia" w:eastAsiaTheme="minorEastAsia" w:hAnsiTheme="minorEastAsia"/>
          <w:sz w:val="24"/>
          <w:szCs w:val="24"/>
        </w:rPr>
        <w:t>5</w:t>
      </w:r>
      <w:r>
        <w:rPr>
          <w:rFonts w:asciiTheme="minorEastAsia" w:eastAsiaTheme="minorEastAsia" w:hAnsiTheme="minorEastAsia"/>
          <w:sz w:val="24"/>
          <w:szCs w:val="24"/>
        </w:rPr>
        <w:t>日上午开市至</w:t>
      </w:r>
      <w:r>
        <w:rPr>
          <w:rFonts w:asciiTheme="minorEastAsia" w:eastAsiaTheme="minorEastAsia" w:hAnsiTheme="minorEastAsia"/>
          <w:sz w:val="24"/>
          <w:szCs w:val="24"/>
        </w:rPr>
        <w:t>10:30</w:t>
      </w:r>
      <w:r>
        <w:rPr>
          <w:rFonts w:asciiTheme="minorEastAsia" w:eastAsiaTheme="minorEastAsia" w:hAnsiTheme="minorEastAsia"/>
          <w:sz w:val="24"/>
          <w:szCs w:val="24"/>
        </w:rPr>
        <w:t>期间停牌，并将于</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12</w:t>
      </w:r>
      <w:r>
        <w:rPr>
          <w:rFonts w:asciiTheme="minorEastAsia" w:eastAsiaTheme="minorEastAsia" w:hAnsiTheme="minorEastAsia"/>
          <w:sz w:val="24"/>
          <w:szCs w:val="24"/>
        </w:rPr>
        <w:t>月</w:t>
      </w:r>
      <w:r>
        <w:rPr>
          <w:rFonts w:asciiTheme="minorEastAsia" w:eastAsiaTheme="minorEastAsia" w:hAnsiTheme="minorEastAsia"/>
          <w:sz w:val="24"/>
          <w:szCs w:val="24"/>
        </w:rPr>
        <w:t>5</w:t>
      </w:r>
      <w:r>
        <w:rPr>
          <w:rFonts w:asciiTheme="minorEastAsia" w:eastAsiaTheme="minorEastAsia" w:hAnsiTheme="minorEastAsia"/>
          <w:sz w:val="24"/>
          <w:szCs w:val="24"/>
        </w:rPr>
        <w:t>日</w:t>
      </w:r>
      <w:r>
        <w:rPr>
          <w:rFonts w:asciiTheme="minorEastAsia" w:eastAsiaTheme="minorEastAsia" w:hAnsiTheme="minorEastAsia"/>
          <w:sz w:val="24"/>
          <w:szCs w:val="24"/>
        </w:rPr>
        <w:t>10:30</w:t>
      </w:r>
      <w:r>
        <w:rPr>
          <w:rFonts w:asciiTheme="minorEastAsia" w:eastAsiaTheme="minorEastAsia" w:hAnsiTheme="minorEastAsia"/>
          <w:sz w:val="24"/>
          <w:szCs w:val="24"/>
        </w:rPr>
        <w:t>起复牌。</w:t>
      </w:r>
    </w:p>
    <w:p w:rsidR="003D4269" w:rsidRDefault="003049B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w:t>
      </w:r>
      <w:r>
        <w:rPr>
          <w:rFonts w:asciiTheme="minorEastAsia" w:eastAsiaTheme="minorEastAsia" w:hAnsiTheme="minorEastAsia"/>
          <w:sz w:val="24"/>
          <w:szCs w:val="24"/>
        </w:rPr>
        <w:t>3</w:t>
      </w:r>
      <w:r>
        <w:rPr>
          <w:rFonts w:asciiTheme="minorEastAsia" w:eastAsiaTheme="minorEastAsia" w:hAnsiTheme="minorEastAsia"/>
          <w:sz w:val="24"/>
          <w:szCs w:val="24"/>
        </w:rPr>
        <w:t>）根据本基金合同</w:t>
      </w:r>
      <w:r>
        <w:rPr>
          <w:rFonts w:asciiTheme="minorEastAsia" w:eastAsiaTheme="minorEastAsia" w:hAnsiTheme="minorEastAsia"/>
          <w:sz w:val="24"/>
          <w:szCs w:val="24"/>
        </w:rPr>
        <w:t>的相关规定，本基金的收益分配方式为现金分红。</w:t>
      </w:r>
    </w:p>
    <w:p w:rsidR="003D4269" w:rsidRDefault="003049B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w:t>
      </w:r>
      <w:r>
        <w:rPr>
          <w:rFonts w:asciiTheme="minorEastAsia" w:eastAsiaTheme="minorEastAsia" w:hAnsiTheme="minorEastAsia"/>
          <w:sz w:val="24"/>
          <w:szCs w:val="24"/>
        </w:rPr>
        <w:t>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A3175B">
      <w:pPr>
        <w:ind w:firstLineChars="200" w:firstLine="480"/>
        <w:rPr>
          <w:rFonts w:asciiTheme="minorEastAsia" w:eastAsiaTheme="minorEastAsia" w:hAnsiTheme="minorEastAsia"/>
          <w:sz w:val="24"/>
          <w:szCs w:val="24"/>
        </w:rPr>
      </w:pPr>
      <w:r w:rsidRPr="002825C8">
        <w:rPr>
          <w:rFonts w:asciiTheme="minorEastAsia" w:eastAsiaTheme="minorEastAsia" w:hAnsiTheme="minorEastAsia"/>
          <w:sz w:val="24"/>
          <w:szCs w:val="24"/>
        </w:rPr>
        <w:t>特此公告。</w:t>
      </w:r>
    </w:p>
    <w:p w:rsidR="00971CCF" w:rsidRDefault="00971CCF" w:rsidP="007C142C">
      <w:pPr>
        <w:ind w:firstLineChars="200" w:firstLine="480"/>
        <w:rPr>
          <w:rFonts w:asciiTheme="minorEastAsia" w:eastAsiaTheme="minorEastAsia" w:hAnsiTheme="minorEastAsia"/>
          <w:sz w:val="24"/>
          <w:szCs w:val="24"/>
        </w:rPr>
      </w:pPr>
    </w:p>
    <w:p w:rsidR="00971CCF" w:rsidRDefault="00971CCF" w:rsidP="007C142C">
      <w:pPr>
        <w:ind w:firstLineChars="200" w:firstLine="480"/>
        <w:rPr>
          <w:rFonts w:asciiTheme="minorEastAsia" w:eastAsiaTheme="minorEastAsia" w:hAnsiTheme="minorEastAsia"/>
          <w:sz w:val="24"/>
          <w:szCs w:val="24"/>
        </w:rPr>
      </w:pPr>
    </w:p>
    <w:p w:rsidR="00971CCF" w:rsidRPr="005F1BF7" w:rsidRDefault="00971CCF" w:rsidP="00971CCF">
      <w:pPr>
        <w:jc w:val="right"/>
        <w:rPr>
          <w:rFonts w:asciiTheme="minorEastAsia" w:eastAsiaTheme="minorEastAsia" w:hAnsiTheme="minorEastAsia"/>
          <w:bCs/>
          <w:color w:val="000000" w:themeColor="text1"/>
          <w:sz w:val="24"/>
          <w:szCs w:val="24"/>
        </w:rPr>
      </w:pPr>
      <w:r w:rsidRPr="005F1BF7">
        <w:rPr>
          <w:rFonts w:asciiTheme="minorEastAsia" w:eastAsiaTheme="minorEastAsia" w:hAnsiTheme="minorEastAsia"/>
          <w:bCs/>
          <w:color w:val="000000" w:themeColor="text1"/>
          <w:sz w:val="24"/>
          <w:szCs w:val="24"/>
        </w:rPr>
        <w:t>广发基金管理有限公司</w:t>
      </w:r>
    </w:p>
    <w:p w:rsidR="00971CCF" w:rsidRPr="005F1BF7" w:rsidRDefault="00971CCF" w:rsidP="00971CCF">
      <w:pPr>
        <w:jc w:val="right"/>
        <w:rPr>
          <w:rFonts w:asciiTheme="minorEastAsia" w:eastAsiaTheme="minorEastAsia" w:hAnsiTheme="minorEastAsia"/>
          <w:color w:val="000000"/>
          <w:sz w:val="24"/>
          <w:szCs w:val="24"/>
        </w:rPr>
      </w:pPr>
      <w:r w:rsidRPr="005F1BF7">
        <w:rPr>
          <w:rFonts w:asciiTheme="minorEastAsia" w:eastAsiaTheme="minorEastAsia" w:hAnsiTheme="minorEastAsia"/>
          <w:bCs/>
          <w:color w:val="000000" w:themeColor="text1"/>
          <w:sz w:val="24"/>
          <w:szCs w:val="24"/>
        </w:rPr>
        <w:t>2025年12月5日</w:t>
      </w:r>
    </w:p>
    <w:sectPr w:rsidR="00971CCF" w:rsidRPr="005F1BF7"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1C7" w:rsidRDefault="007621C7" w:rsidP="00893436">
      <w:r>
        <w:separator/>
      </w:r>
    </w:p>
  </w:endnote>
  <w:endnote w:type="continuationSeparator" w:id="0">
    <w:p w:rsidR="007621C7" w:rsidRDefault="007621C7"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1C7" w:rsidRDefault="007621C7" w:rsidP="00893436">
      <w:r>
        <w:separator/>
      </w:r>
    </w:p>
  </w:footnote>
  <w:footnote w:type="continuationSeparator" w:id="0">
    <w:p w:rsidR="007621C7" w:rsidRDefault="007621C7"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0D5"/>
    <w:rsid w:val="00041353"/>
    <w:rsid w:val="00057AC1"/>
    <w:rsid w:val="00083B7C"/>
    <w:rsid w:val="00085F5C"/>
    <w:rsid w:val="0009778C"/>
    <w:rsid w:val="000A19B2"/>
    <w:rsid w:val="000C39F6"/>
    <w:rsid w:val="00111BD0"/>
    <w:rsid w:val="00135CA1"/>
    <w:rsid w:val="00141AEC"/>
    <w:rsid w:val="00171C1F"/>
    <w:rsid w:val="001B4A9D"/>
    <w:rsid w:val="001E1256"/>
    <w:rsid w:val="002068E1"/>
    <w:rsid w:val="00226206"/>
    <w:rsid w:val="00242E4D"/>
    <w:rsid w:val="00252EA1"/>
    <w:rsid w:val="002641B7"/>
    <w:rsid w:val="002744A0"/>
    <w:rsid w:val="002825C8"/>
    <w:rsid w:val="00284B1B"/>
    <w:rsid w:val="002A63B7"/>
    <w:rsid w:val="002B676D"/>
    <w:rsid w:val="002C08C5"/>
    <w:rsid w:val="002F7561"/>
    <w:rsid w:val="003023D8"/>
    <w:rsid w:val="003049B8"/>
    <w:rsid w:val="0030796A"/>
    <w:rsid w:val="003160F8"/>
    <w:rsid w:val="00362297"/>
    <w:rsid w:val="00386931"/>
    <w:rsid w:val="0039192C"/>
    <w:rsid w:val="0039535C"/>
    <w:rsid w:val="003C2386"/>
    <w:rsid w:val="003D4269"/>
    <w:rsid w:val="003E51F2"/>
    <w:rsid w:val="00410642"/>
    <w:rsid w:val="00411A38"/>
    <w:rsid w:val="004523D1"/>
    <w:rsid w:val="00462525"/>
    <w:rsid w:val="00482539"/>
    <w:rsid w:val="00486934"/>
    <w:rsid w:val="004966BA"/>
    <w:rsid w:val="004C0AC4"/>
    <w:rsid w:val="00506E3A"/>
    <w:rsid w:val="005439EC"/>
    <w:rsid w:val="00552BD4"/>
    <w:rsid w:val="005624E5"/>
    <w:rsid w:val="005715B6"/>
    <w:rsid w:val="005A515B"/>
    <w:rsid w:val="005B087C"/>
    <w:rsid w:val="005B7CBF"/>
    <w:rsid w:val="005C57A1"/>
    <w:rsid w:val="005E3F2A"/>
    <w:rsid w:val="005F1BF7"/>
    <w:rsid w:val="00601001"/>
    <w:rsid w:val="00602C3F"/>
    <w:rsid w:val="0064129A"/>
    <w:rsid w:val="00646FDE"/>
    <w:rsid w:val="006A2E06"/>
    <w:rsid w:val="006E41A5"/>
    <w:rsid w:val="00721B55"/>
    <w:rsid w:val="00751BA5"/>
    <w:rsid w:val="007621C7"/>
    <w:rsid w:val="007C142C"/>
    <w:rsid w:val="007D01E7"/>
    <w:rsid w:val="007F6075"/>
    <w:rsid w:val="00834BAE"/>
    <w:rsid w:val="00893436"/>
    <w:rsid w:val="008D1F66"/>
    <w:rsid w:val="00901C58"/>
    <w:rsid w:val="00903944"/>
    <w:rsid w:val="009117E2"/>
    <w:rsid w:val="009603BA"/>
    <w:rsid w:val="00971CCF"/>
    <w:rsid w:val="009732A4"/>
    <w:rsid w:val="00A3175B"/>
    <w:rsid w:val="00A81C93"/>
    <w:rsid w:val="00AA27A8"/>
    <w:rsid w:val="00AA7C92"/>
    <w:rsid w:val="00AB5DA4"/>
    <w:rsid w:val="00AB6B8A"/>
    <w:rsid w:val="00AC3CC5"/>
    <w:rsid w:val="00B232B4"/>
    <w:rsid w:val="00B36EEF"/>
    <w:rsid w:val="00B44BBE"/>
    <w:rsid w:val="00B71DA2"/>
    <w:rsid w:val="00BA6FE9"/>
    <w:rsid w:val="00BA7F58"/>
    <w:rsid w:val="00BD2B72"/>
    <w:rsid w:val="00BD7533"/>
    <w:rsid w:val="00BF5698"/>
    <w:rsid w:val="00C11CA3"/>
    <w:rsid w:val="00C25D5E"/>
    <w:rsid w:val="00C31B5B"/>
    <w:rsid w:val="00C33DDD"/>
    <w:rsid w:val="00CA643D"/>
    <w:rsid w:val="00CB3D18"/>
    <w:rsid w:val="00CC001C"/>
    <w:rsid w:val="00D05601"/>
    <w:rsid w:val="00D421E2"/>
    <w:rsid w:val="00DB7CD4"/>
    <w:rsid w:val="00DD0EC0"/>
    <w:rsid w:val="00DD2A30"/>
    <w:rsid w:val="00E05BEC"/>
    <w:rsid w:val="00E16B6D"/>
    <w:rsid w:val="00E24390"/>
    <w:rsid w:val="00E379B4"/>
    <w:rsid w:val="00EA12C9"/>
    <w:rsid w:val="00EF727C"/>
    <w:rsid w:val="00F0033B"/>
    <w:rsid w:val="00F0261D"/>
    <w:rsid w:val="00F15128"/>
    <w:rsid w:val="00F42CA6"/>
    <w:rsid w:val="00F45E48"/>
    <w:rsid w:val="00F645EE"/>
    <w:rsid w:val="00F75283"/>
    <w:rsid w:val="00FF0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72"/>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72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1518</Characters>
  <Application>Microsoft Office Word</Application>
  <DocSecurity>4</DocSecurity>
  <Lines>12</Lines>
  <Paragraphs>3</Paragraphs>
  <ScaleCrop>false</ScaleCrop>
  <Company>微软中国</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2025-12-04T16:01:00Z</dcterms:created>
  <dcterms:modified xsi:type="dcterms:W3CDTF">2025-12-04T16:01:00Z</dcterms:modified>
</cp:coreProperties>
</file>