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B35" w:rsidRDefault="00384D7B">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金鹰基金管理有限公司金鹰添润定期开放债券型发起式证券投资基金开放日常申购（赎回、转换）业务公告</w:t>
      </w:r>
    </w:p>
    <w:p w:rsidR="008A7B35" w:rsidRDefault="008A7B35">
      <w:pPr>
        <w:spacing w:line="560" w:lineRule="exact"/>
        <w:jc w:val="center"/>
        <w:rPr>
          <w:rFonts w:asciiTheme="minorEastAsia" w:eastAsiaTheme="minorEastAsia" w:hAnsiTheme="minorEastAsia"/>
          <w:color w:val="000000"/>
          <w:sz w:val="24"/>
          <w:szCs w:val="24"/>
        </w:rPr>
      </w:pPr>
    </w:p>
    <w:p w:rsidR="008A7B35" w:rsidRDefault="004F3E67">
      <w:pPr>
        <w:pStyle w:val="2"/>
        <w:spacing w:line="560" w:lineRule="exact"/>
        <w:rPr>
          <w:rFonts w:asciiTheme="minorEastAsia" w:eastAsiaTheme="minorEastAsia" w:hAnsiTheme="minorEastAsia"/>
          <w:bCs w:val="0"/>
          <w:color w:val="000000"/>
          <w:sz w:val="24"/>
          <w:szCs w:val="24"/>
        </w:rPr>
      </w:pPr>
      <w:bookmarkStart w:id="0" w:name="_Toc275961395"/>
      <w:r>
        <w:rPr>
          <w:rFonts w:asciiTheme="minorEastAsia" w:eastAsiaTheme="minorEastAsia" w:hAnsiTheme="minorEastAsia"/>
          <w:bCs w:val="0"/>
          <w:color w:val="000000"/>
          <w:sz w:val="24"/>
          <w:szCs w:val="24"/>
        </w:rPr>
        <w:t>1</w:t>
      </w:r>
      <w:r w:rsidR="00384D7B">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2"/>
        <w:gridCol w:w="6137"/>
      </w:tblGrid>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金鹰添润定期开放债券型发起式证券投资基金</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金鹰添润定期开放债券</w:t>
            </w:r>
          </w:p>
        </w:tc>
      </w:tr>
      <w:tr w:rsidR="008A7B35">
        <w:trPr>
          <w:jc w:val="center"/>
        </w:trPr>
        <w:tc>
          <w:tcPr>
            <w:tcW w:w="3502" w:type="dxa"/>
            <w:vAlign w:val="center"/>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6137" w:type="dxa"/>
            <w:vAlign w:val="center"/>
          </w:tcPr>
          <w:p w:rsidR="008A7B35" w:rsidRDefault="00384D7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004045</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基金运作方式</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契约型开放式</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基金合同生效日</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2018年3月28日</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金鹰基金管理有限公司</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基金托管人名称</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sz w:val="24"/>
                <w:szCs w:val="24"/>
              </w:rPr>
              <w:t>兴业银行股份有限公司</w:t>
            </w:r>
          </w:p>
        </w:tc>
      </w:tr>
      <w:tr w:rsidR="008A7B35">
        <w:trPr>
          <w:jc w:val="center"/>
        </w:trPr>
        <w:tc>
          <w:tcPr>
            <w:tcW w:w="3502" w:type="dxa"/>
          </w:tcPr>
          <w:p w:rsidR="008A7B35" w:rsidRDefault="00384D7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基金注册登记机构名称</w:t>
            </w:r>
          </w:p>
        </w:tc>
        <w:tc>
          <w:tcPr>
            <w:tcW w:w="6137" w:type="dxa"/>
            <w:vAlign w:val="center"/>
          </w:tcPr>
          <w:p w:rsidR="008A7B35" w:rsidRDefault="00384D7B">
            <w:pPr>
              <w:rPr>
                <w:rFonts w:asciiTheme="minorEastAsia" w:eastAsiaTheme="minorEastAsia" w:hAnsiTheme="minorEastAsia"/>
                <w:sz w:val="24"/>
                <w:szCs w:val="24"/>
              </w:rPr>
            </w:pPr>
            <w:r>
              <w:rPr>
                <w:rFonts w:asciiTheme="minorEastAsia" w:eastAsiaTheme="minorEastAsia" w:hAnsiTheme="minorEastAsia" w:hint="eastAsia"/>
                <w:sz w:val="24"/>
                <w:szCs w:val="24"/>
              </w:rPr>
              <w:t>金鹰基金管理有限公司</w:t>
            </w:r>
          </w:p>
        </w:tc>
      </w:tr>
      <w:tr w:rsidR="008A7B35">
        <w:trPr>
          <w:jc w:val="center"/>
        </w:trPr>
        <w:tc>
          <w:tcPr>
            <w:tcW w:w="3502" w:type="dxa"/>
          </w:tcPr>
          <w:p w:rsidR="008A7B35" w:rsidRDefault="00384D7B" w:rsidP="007555BC">
            <w:pPr>
              <w:spacing w:line="560" w:lineRule="exact"/>
              <w:jc w:val="lef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6137" w:type="dxa"/>
            <w:vAlign w:val="center"/>
          </w:tcPr>
          <w:p w:rsidR="008A7B35" w:rsidRDefault="00384D7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《中华人民共和国证券投资基金法》及其配套法规、《金鹰添润定期开放债券型发起式证券投资基金基金合同》、《金鹰添润定期开放债券型发起式证券投资基金招募说明书》等。</w:t>
            </w:r>
          </w:p>
        </w:tc>
      </w:tr>
      <w:tr w:rsidR="00F973DA" w:rsidTr="00C46067">
        <w:trPr>
          <w:jc w:val="center"/>
        </w:trPr>
        <w:tc>
          <w:tcPr>
            <w:tcW w:w="3502" w:type="dxa"/>
          </w:tcPr>
          <w:p w:rsidR="00F973DA" w:rsidRDefault="00F973DA" w:rsidP="00F973DA">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申购起始日</w:t>
            </w:r>
          </w:p>
        </w:tc>
        <w:tc>
          <w:tcPr>
            <w:tcW w:w="6137" w:type="dxa"/>
            <w:shd w:val="clear" w:color="auto" w:fill="auto"/>
            <w:vAlign w:val="center"/>
          </w:tcPr>
          <w:p w:rsidR="00F973DA" w:rsidRPr="00773325" w:rsidRDefault="00F973DA" w:rsidP="001E5464">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sidR="001E5464">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sidR="001E5464">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1E5464" w:rsidRPr="00A628E2" w:rsidTr="00C46067">
        <w:trPr>
          <w:jc w:val="center"/>
        </w:trPr>
        <w:tc>
          <w:tcPr>
            <w:tcW w:w="3502" w:type="dxa"/>
          </w:tcPr>
          <w:p w:rsidR="001E5464" w:rsidRDefault="001E5464" w:rsidP="001E54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赎回起始日</w:t>
            </w:r>
          </w:p>
        </w:tc>
        <w:tc>
          <w:tcPr>
            <w:tcW w:w="6137" w:type="dxa"/>
            <w:shd w:val="clear" w:color="auto" w:fill="auto"/>
            <w:vAlign w:val="center"/>
          </w:tcPr>
          <w:p w:rsidR="001E5464" w:rsidRPr="001E5464" w:rsidRDefault="001E5464" w:rsidP="001E5464">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1E5464" w:rsidRPr="00A628E2" w:rsidTr="00C46067">
        <w:trPr>
          <w:jc w:val="center"/>
        </w:trPr>
        <w:tc>
          <w:tcPr>
            <w:tcW w:w="3502" w:type="dxa"/>
          </w:tcPr>
          <w:p w:rsidR="001E5464" w:rsidRDefault="001E5464" w:rsidP="001E54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转换转入起始日</w:t>
            </w:r>
          </w:p>
        </w:tc>
        <w:tc>
          <w:tcPr>
            <w:tcW w:w="6137" w:type="dxa"/>
            <w:shd w:val="clear" w:color="auto" w:fill="auto"/>
            <w:vAlign w:val="center"/>
          </w:tcPr>
          <w:p w:rsidR="001E5464" w:rsidRPr="001E5464" w:rsidRDefault="001E5464" w:rsidP="001E5464">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r w:rsidR="001E5464" w:rsidRPr="00A628E2" w:rsidTr="00C46067">
        <w:trPr>
          <w:jc w:val="center"/>
        </w:trPr>
        <w:tc>
          <w:tcPr>
            <w:tcW w:w="3502" w:type="dxa"/>
          </w:tcPr>
          <w:p w:rsidR="001E5464" w:rsidRDefault="001E5464" w:rsidP="001E54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转换转出起始日</w:t>
            </w:r>
          </w:p>
        </w:tc>
        <w:tc>
          <w:tcPr>
            <w:tcW w:w="6137" w:type="dxa"/>
            <w:shd w:val="clear" w:color="auto" w:fill="auto"/>
            <w:vAlign w:val="center"/>
          </w:tcPr>
          <w:p w:rsidR="001E5464" w:rsidRPr="001E5464" w:rsidRDefault="001E5464" w:rsidP="001E5464">
            <w:pPr>
              <w:rPr>
                <w:rFonts w:asciiTheme="minorEastAsia" w:eastAsiaTheme="minorEastAsia" w:hAnsiTheme="minorEastAsia"/>
                <w:sz w:val="24"/>
                <w:szCs w:val="24"/>
              </w:rPr>
            </w:pPr>
            <w:r w:rsidRPr="00F54D23">
              <w:rPr>
                <w:rFonts w:asciiTheme="minorEastAsia" w:eastAsiaTheme="minorEastAsia" w:hAnsiTheme="minorEastAsia" w:hint="eastAsia"/>
                <w:sz w:val="24"/>
                <w:szCs w:val="24"/>
              </w:rPr>
              <w:t>20</w:t>
            </w:r>
            <w:r w:rsidRPr="00F54D23">
              <w:rPr>
                <w:rFonts w:asciiTheme="minorEastAsia" w:eastAsiaTheme="minorEastAsia" w:hAnsiTheme="minorEastAsia"/>
                <w:sz w:val="24"/>
                <w:szCs w:val="24"/>
              </w:rPr>
              <w:t>2</w:t>
            </w:r>
            <w:r>
              <w:rPr>
                <w:rFonts w:asciiTheme="minorEastAsia" w:eastAsiaTheme="minorEastAsia" w:hAnsiTheme="minorEastAsia"/>
                <w:sz w:val="24"/>
                <w:szCs w:val="24"/>
              </w:rPr>
              <w:t>5</w:t>
            </w:r>
            <w:r w:rsidRPr="00F54D23">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sidRPr="00F54D23">
              <w:rPr>
                <w:rFonts w:asciiTheme="minorEastAsia" w:eastAsiaTheme="minorEastAsia" w:hAnsiTheme="minorEastAsia" w:hint="eastAsia"/>
                <w:sz w:val="24"/>
                <w:szCs w:val="24"/>
              </w:rPr>
              <w:t>月</w:t>
            </w:r>
            <w:r>
              <w:rPr>
                <w:rFonts w:asciiTheme="minorEastAsia" w:eastAsiaTheme="minorEastAsia" w:hAnsiTheme="minorEastAsia"/>
                <w:sz w:val="24"/>
                <w:szCs w:val="24"/>
              </w:rPr>
              <w:t>8</w:t>
            </w:r>
            <w:r w:rsidRPr="00F54D23">
              <w:rPr>
                <w:rFonts w:asciiTheme="minorEastAsia" w:eastAsiaTheme="minorEastAsia" w:hAnsiTheme="minorEastAsia" w:hint="eastAsia"/>
                <w:sz w:val="24"/>
                <w:szCs w:val="24"/>
              </w:rPr>
              <w:t>日</w:t>
            </w:r>
          </w:p>
        </w:tc>
      </w:tr>
    </w:tbl>
    <w:p w:rsidR="008A7B35" w:rsidRPr="00CD0FDC" w:rsidRDefault="00384D7B">
      <w:pPr>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注：根据《金鹰添润定期开放债券型发起式证券投资基金基金合同》的规定，自基金合同生效之日起（包括基金合同生效之日）进入首个开放期，基金的首个封闭期为自首个开放期结束之日次日起（包括该日）至首个开放期结束之日次日所对应的3个月月度对日的前一日的期间。首个封闭期结束之后第一个工作日起</w:t>
      </w:r>
      <w:r>
        <w:rPr>
          <w:rFonts w:asciiTheme="minorEastAsia" w:eastAsiaTheme="minorEastAsia" w:hAnsiTheme="minorEastAsia"/>
          <w:color w:val="000000"/>
          <w:kern w:val="0"/>
          <w:sz w:val="24"/>
          <w:szCs w:val="24"/>
        </w:rPr>
        <w:lastRenderedPageBreak/>
        <w:t>（包括该日）进入第二个开放期，第二个封闭期为第二个开放期结束之后次日起（包括该日）至第二个开放期结束之日次日所对应的3个月月度对日的前一日的期间，以此类推。本基金封闭期内不办理申购与赎回业务。如月度对日为非工作日，则顺延至下一个工作日，若该日历月度中不存在对应日期的，则顺延至下一个工作日。本基金</w:t>
      </w:r>
      <w:r w:rsidRPr="00CD0FDC">
        <w:rPr>
          <w:rFonts w:asciiTheme="minorEastAsia" w:eastAsiaTheme="minorEastAsia" w:hAnsiTheme="minorEastAsia"/>
          <w:color w:val="000000"/>
          <w:kern w:val="0"/>
          <w:sz w:val="24"/>
          <w:szCs w:val="24"/>
        </w:rPr>
        <w:t>封闭期内不办理申购与赎回业务。</w:t>
      </w:r>
    </w:p>
    <w:p w:rsidR="008A7B35" w:rsidRDefault="00384D7B" w:rsidP="00A628E2">
      <w:pPr>
        <w:spacing w:line="360" w:lineRule="auto"/>
        <w:ind w:firstLineChars="200" w:firstLine="480"/>
        <w:rPr>
          <w:rFonts w:asciiTheme="minorEastAsia" w:eastAsiaTheme="minorEastAsia" w:hAnsiTheme="minorEastAsia"/>
          <w:color w:val="000000"/>
          <w:sz w:val="24"/>
          <w:szCs w:val="24"/>
        </w:rPr>
      </w:pPr>
      <w:r w:rsidRPr="00CD0FDC">
        <w:rPr>
          <w:rFonts w:asciiTheme="minorEastAsia" w:eastAsiaTheme="minorEastAsia" w:hAnsiTheme="minorEastAsia"/>
          <w:color w:val="000000"/>
          <w:kern w:val="0"/>
          <w:sz w:val="24"/>
          <w:szCs w:val="24"/>
        </w:rPr>
        <w:t>本基金本次开放期时间为</w:t>
      </w:r>
      <w:r w:rsidR="006404E5" w:rsidRPr="006404E5">
        <w:rPr>
          <w:rFonts w:asciiTheme="minorEastAsia" w:eastAsiaTheme="minorEastAsia" w:hAnsiTheme="minorEastAsia" w:hint="eastAsia"/>
          <w:color w:val="000000"/>
          <w:kern w:val="0"/>
          <w:sz w:val="24"/>
          <w:szCs w:val="24"/>
        </w:rPr>
        <w:t>20</w:t>
      </w:r>
      <w:r w:rsidR="006404E5" w:rsidRPr="006404E5">
        <w:rPr>
          <w:rFonts w:asciiTheme="minorEastAsia" w:eastAsiaTheme="minorEastAsia" w:hAnsiTheme="minorEastAsia"/>
          <w:color w:val="000000"/>
          <w:kern w:val="0"/>
          <w:sz w:val="24"/>
          <w:szCs w:val="24"/>
        </w:rPr>
        <w:t>25</w:t>
      </w:r>
      <w:r w:rsidR="006404E5" w:rsidRPr="006404E5">
        <w:rPr>
          <w:rFonts w:asciiTheme="minorEastAsia" w:eastAsiaTheme="minorEastAsia" w:hAnsiTheme="minorEastAsia" w:hint="eastAsia"/>
          <w:color w:val="000000"/>
          <w:kern w:val="0"/>
          <w:sz w:val="24"/>
          <w:szCs w:val="24"/>
        </w:rPr>
        <w:t>年</w:t>
      </w:r>
      <w:r w:rsidR="00F742F6">
        <w:rPr>
          <w:rFonts w:asciiTheme="minorEastAsia" w:eastAsiaTheme="minorEastAsia" w:hAnsiTheme="minorEastAsia"/>
          <w:color w:val="000000"/>
          <w:kern w:val="0"/>
          <w:sz w:val="24"/>
          <w:szCs w:val="24"/>
        </w:rPr>
        <w:t>12</w:t>
      </w:r>
      <w:r w:rsidR="006404E5" w:rsidRPr="006404E5">
        <w:rPr>
          <w:rFonts w:asciiTheme="minorEastAsia" w:eastAsiaTheme="minorEastAsia" w:hAnsiTheme="minorEastAsia" w:hint="eastAsia"/>
          <w:color w:val="000000"/>
          <w:kern w:val="0"/>
          <w:sz w:val="24"/>
          <w:szCs w:val="24"/>
        </w:rPr>
        <w:t>月</w:t>
      </w:r>
      <w:r w:rsidR="00F742F6">
        <w:rPr>
          <w:rFonts w:asciiTheme="minorEastAsia" w:eastAsiaTheme="minorEastAsia" w:hAnsiTheme="minorEastAsia"/>
          <w:color w:val="000000"/>
          <w:kern w:val="0"/>
          <w:sz w:val="24"/>
          <w:szCs w:val="24"/>
        </w:rPr>
        <w:t>8</w:t>
      </w:r>
      <w:r w:rsidR="006404E5" w:rsidRPr="006404E5">
        <w:rPr>
          <w:rFonts w:asciiTheme="minorEastAsia" w:eastAsiaTheme="minorEastAsia" w:hAnsiTheme="minorEastAsia" w:hint="eastAsia"/>
          <w:color w:val="000000"/>
          <w:kern w:val="0"/>
          <w:sz w:val="24"/>
          <w:szCs w:val="24"/>
        </w:rPr>
        <w:t>日</w:t>
      </w:r>
      <w:r w:rsidRPr="00CD0FDC">
        <w:rPr>
          <w:rFonts w:asciiTheme="minorEastAsia" w:eastAsiaTheme="minorEastAsia" w:hAnsiTheme="minorEastAsia"/>
          <w:color w:val="000000"/>
          <w:kern w:val="0"/>
          <w:sz w:val="24"/>
          <w:szCs w:val="24"/>
        </w:rPr>
        <w:t>，开放期内本基金接受申购、赎回</w:t>
      </w:r>
      <w:r w:rsidR="00AE1393" w:rsidRPr="00CD0FDC">
        <w:rPr>
          <w:rFonts w:asciiTheme="minorEastAsia" w:eastAsiaTheme="minorEastAsia" w:hAnsiTheme="minorEastAsia" w:hint="eastAsia"/>
          <w:color w:val="000000"/>
          <w:kern w:val="0"/>
          <w:sz w:val="24"/>
          <w:szCs w:val="24"/>
        </w:rPr>
        <w:t>及转换业务</w:t>
      </w:r>
      <w:r w:rsidRPr="00CD0FDC">
        <w:rPr>
          <w:rFonts w:asciiTheme="minorEastAsia" w:eastAsiaTheme="minorEastAsia" w:hAnsiTheme="minorEastAsia"/>
          <w:color w:val="000000"/>
          <w:kern w:val="0"/>
          <w:sz w:val="24"/>
          <w:szCs w:val="24"/>
        </w:rPr>
        <w:t>申请。</w:t>
      </w:r>
      <w:r w:rsidRPr="00CD0FDC">
        <w:rPr>
          <w:rFonts w:asciiTheme="minorEastAsia" w:eastAsiaTheme="minorEastAsia" w:hAnsiTheme="minorEastAsia" w:hint="eastAsia"/>
          <w:color w:val="000000"/>
          <w:kern w:val="0"/>
          <w:sz w:val="24"/>
          <w:szCs w:val="24"/>
        </w:rPr>
        <w:t>本基金不向个人投资者公开发售。</w:t>
      </w:r>
      <w:r w:rsidRPr="00CD0FDC">
        <w:rPr>
          <w:rFonts w:asciiTheme="minorEastAsia" w:eastAsiaTheme="minorEastAsia" w:hAnsiTheme="minorEastAsia"/>
          <w:color w:val="000000"/>
          <w:kern w:val="0"/>
          <w:sz w:val="24"/>
          <w:szCs w:val="24"/>
        </w:rPr>
        <w:t>自</w:t>
      </w:r>
      <w:r w:rsidR="005921D8" w:rsidRPr="005921D8">
        <w:rPr>
          <w:rFonts w:asciiTheme="minorEastAsia" w:eastAsiaTheme="minorEastAsia" w:hAnsiTheme="minorEastAsia" w:hint="eastAsia"/>
          <w:color w:val="000000"/>
          <w:kern w:val="0"/>
          <w:sz w:val="24"/>
          <w:szCs w:val="24"/>
        </w:rPr>
        <w:t>20</w:t>
      </w:r>
      <w:r w:rsidR="005921D8" w:rsidRPr="005921D8">
        <w:rPr>
          <w:rFonts w:asciiTheme="minorEastAsia" w:eastAsiaTheme="minorEastAsia" w:hAnsiTheme="minorEastAsia"/>
          <w:color w:val="000000"/>
          <w:kern w:val="0"/>
          <w:sz w:val="24"/>
          <w:szCs w:val="24"/>
        </w:rPr>
        <w:t>25</w:t>
      </w:r>
      <w:r w:rsidR="005921D8" w:rsidRPr="005921D8">
        <w:rPr>
          <w:rFonts w:asciiTheme="minorEastAsia" w:eastAsiaTheme="minorEastAsia" w:hAnsiTheme="minorEastAsia" w:hint="eastAsia"/>
          <w:color w:val="000000"/>
          <w:kern w:val="0"/>
          <w:sz w:val="24"/>
          <w:szCs w:val="24"/>
        </w:rPr>
        <w:t>年</w:t>
      </w:r>
      <w:r w:rsidR="00F742F6">
        <w:rPr>
          <w:rFonts w:asciiTheme="minorEastAsia" w:eastAsiaTheme="minorEastAsia" w:hAnsiTheme="minorEastAsia"/>
          <w:color w:val="000000"/>
          <w:kern w:val="0"/>
          <w:sz w:val="24"/>
          <w:szCs w:val="24"/>
        </w:rPr>
        <w:t>12</w:t>
      </w:r>
      <w:r w:rsidR="005921D8" w:rsidRPr="005921D8">
        <w:rPr>
          <w:rFonts w:asciiTheme="minorEastAsia" w:eastAsiaTheme="minorEastAsia" w:hAnsiTheme="minorEastAsia" w:hint="eastAsia"/>
          <w:color w:val="000000"/>
          <w:kern w:val="0"/>
          <w:sz w:val="24"/>
          <w:szCs w:val="24"/>
        </w:rPr>
        <w:t>月</w:t>
      </w:r>
      <w:r w:rsidR="00F742F6">
        <w:rPr>
          <w:rFonts w:asciiTheme="minorEastAsia" w:eastAsiaTheme="minorEastAsia" w:hAnsiTheme="minorEastAsia"/>
          <w:color w:val="000000"/>
          <w:kern w:val="0"/>
          <w:sz w:val="24"/>
          <w:szCs w:val="24"/>
        </w:rPr>
        <w:t>9</w:t>
      </w:r>
      <w:r w:rsidR="005921D8" w:rsidRPr="005921D8">
        <w:rPr>
          <w:rFonts w:asciiTheme="minorEastAsia" w:eastAsiaTheme="minorEastAsia" w:hAnsiTheme="minorEastAsia" w:hint="eastAsia"/>
          <w:color w:val="000000"/>
          <w:kern w:val="0"/>
          <w:sz w:val="24"/>
          <w:szCs w:val="24"/>
        </w:rPr>
        <w:t>日起</w:t>
      </w:r>
      <w:r w:rsidRPr="00CD0FDC">
        <w:rPr>
          <w:rFonts w:asciiTheme="minorEastAsia" w:eastAsiaTheme="minorEastAsia" w:hAnsiTheme="minorEastAsia"/>
          <w:color w:val="000000"/>
          <w:kern w:val="0"/>
          <w:sz w:val="24"/>
          <w:szCs w:val="24"/>
        </w:rPr>
        <w:t>进入</w:t>
      </w:r>
      <w:r w:rsidRPr="00773325">
        <w:rPr>
          <w:rFonts w:asciiTheme="minorEastAsia" w:eastAsiaTheme="minorEastAsia" w:hAnsiTheme="minorEastAsia"/>
          <w:color w:val="000000"/>
          <w:kern w:val="0"/>
          <w:sz w:val="24"/>
          <w:szCs w:val="24"/>
        </w:rPr>
        <w:t>本基金的下一个封闭期，封闭期内本基金不办理申购、赎回申请。</w:t>
      </w:r>
    </w:p>
    <w:p w:rsidR="008A7B35" w:rsidRDefault="004F3E67">
      <w:pPr>
        <w:pStyle w:val="2"/>
        <w:spacing w:line="560" w:lineRule="exact"/>
        <w:rPr>
          <w:rFonts w:asciiTheme="minorEastAsia" w:eastAsiaTheme="minorEastAsia" w:hAnsiTheme="minorEastAsia"/>
          <w:bCs w:val="0"/>
          <w:color w:val="000000"/>
          <w:sz w:val="24"/>
          <w:szCs w:val="24"/>
        </w:rPr>
      </w:pPr>
      <w:bookmarkStart w:id="1" w:name="_Toc275961396"/>
      <w:r>
        <w:rPr>
          <w:rFonts w:asciiTheme="minorEastAsia" w:eastAsiaTheme="minorEastAsia" w:hAnsiTheme="minorEastAsia"/>
          <w:bCs w:val="0"/>
          <w:color w:val="000000"/>
          <w:sz w:val="24"/>
          <w:szCs w:val="24"/>
        </w:rPr>
        <w:t>2</w:t>
      </w:r>
      <w:r w:rsidR="00384D7B">
        <w:rPr>
          <w:rFonts w:asciiTheme="minorEastAsia" w:eastAsiaTheme="minorEastAsia" w:hAnsiTheme="minorEastAsia"/>
          <w:bCs w:val="0"/>
          <w:color w:val="000000"/>
          <w:sz w:val="24"/>
          <w:szCs w:val="24"/>
        </w:rPr>
        <w:t>日常申购、赎回</w:t>
      </w:r>
      <w:r w:rsidR="00384D7B">
        <w:rPr>
          <w:rFonts w:asciiTheme="minorEastAsia" w:eastAsiaTheme="minorEastAsia" w:hAnsiTheme="minorEastAsia" w:hint="eastAsia"/>
          <w:bCs w:val="0"/>
          <w:color w:val="000000"/>
          <w:sz w:val="24"/>
          <w:szCs w:val="24"/>
        </w:rPr>
        <w:t>、</w:t>
      </w:r>
      <w:r w:rsidR="00384D7B">
        <w:rPr>
          <w:rFonts w:asciiTheme="minorEastAsia" w:eastAsiaTheme="minorEastAsia" w:hAnsiTheme="minorEastAsia"/>
          <w:bCs w:val="0"/>
          <w:color w:val="000000"/>
          <w:sz w:val="24"/>
          <w:szCs w:val="24"/>
        </w:rPr>
        <w:t>转换业务的办理时间</w:t>
      </w:r>
      <w:bookmarkEnd w:id="1"/>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（1）开放日及开放时间</w:t>
      </w:r>
    </w:p>
    <w:p w:rsidR="004D1E70" w:rsidRPr="004D1E70" w:rsidRDefault="004D1E70" w:rsidP="004D1E70">
      <w:pPr>
        <w:spacing w:line="360" w:lineRule="auto"/>
        <w:ind w:firstLineChars="200" w:firstLine="480"/>
        <w:rPr>
          <w:rFonts w:asciiTheme="minorEastAsia" w:eastAsiaTheme="minorEastAsia" w:hAnsiTheme="minorEastAsia"/>
          <w:color w:val="000000"/>
          <w:sz w:val="24"/>
          <w:szCs w:val="24"/>
        </w:rPr>
      </w:pPr>
      <w:r w:rsidRPr="004D1E70">
        <w:rPr>
          <w:rFonts w:asciiTheme="minorEastAsia" w:eastAsiaTheme="minorEastAsia" w:hAnsiTheme="minorEastAsia" w:hint="eastAsia"/>
          <w:color w:val="000000"/>
          <w:sz w:val="24"/>
          <w:szCs w:val="24"/>
        </w:rPr>
        <w:t>投资者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8A7B35" w:rsidRDefault="004D1E70" w:rsidP="004D1E70">
      <w:pPr>
        <w:spacing w:line="360" w:lineRule="auto"/>
        <w:ind w:firstLineChars="200" w:firstLine="480"/>
        <w:rPr>
          <w:rFonts w:asciiTheme="minorEastAsia" w:eastAsiaTheme="minorEastAsia" w:hAnsiTheme="minorEastAsia"/>
          <w:color w:val="000000"/>
          <w:sz w:val="24"/>
          <w:szCs w:val="24"/>
        </w:rPr>
      </w:pPr>
      <w:r w:rsidRPr="004D1E70">
        <w:rPr>
          <w:rFonts w:asciiTheme="minorEastAsia" w:eastAsiaTheme="minorEastAsia" w:hAnsiTheme="minorEastAsia" w:hint="eastAsia"/>
          <w:color w:val="000000"/>
          <w:sz w:val="24"/>
          <w:szCs w:val="24"/>
        </w:rPr>
        <w:t>基金合同生效后，若出现新的证券交易市场、证券交易所交易时间变更、其他特殊情况或根据业务需要，基金管理人将视情况对前述开放日及开放时间进行相应的调整，但应在实施日前依照</w:t>
      </w:r>
      <w:r w:rsidR="000F2DEE">
        <w:rPr>
          <w:rFonts w:asciiTheme="minorEastAsia" w:eastAsiaTheme="minorEastAsia" w:hAnsiTheme="minorEastAsia" w:hint="eastAsia"/>
          <w:color w:val="000000"/>
          <w:sz w:val="24"/>
          <w:szCs w:val="24"/>
        </w:rPr>
        <w:t>《公开募集证券投资基金信息披露管理办法》（以下简称《信息披露办法》）</w:t>
      </w:r>
      <w:r w:rsidRPr="004D1E70">
        <w:rPr>
          <w:rFonts w:asciiTheme="minorEastAsia" w:eastAsiaTheme="minorEastAsia" w:hAnsiTheme="minorEastAsia" w:hint="eastAsia"/>
          <w:color w:val="000000"/>
          <w:sz w:val="24"/>
          <w:szCs w:val="24"/>
        </w:rPr>
        <w:t>的有关规定在</w:t>
      </w:r>
      <w:r w:rsidR="00E06CDE">
        <w:rPr>
          <w:rFonts w:asciiTheme="minorEastAsia" w:eastAsiaTheme="minorEastAsia" w:hAnsiTheme="minorEastAsia" w:hint="eastAsia"/>
          <w:color w:val="000000"/>
          <w:sz w:val="24"/>
          <w:szCs w:val="24"/>
        </w:rPr>
        <w:t>规定媒介</w:t>
      </w:r>
      <w:r w:rsidRPr="004D1E70">
        <w:rPr>
          <w:rFonts w:asciiTheme="minorEastAsia" w:eastAsiaTheme="minorEastAsia" w:hAnsiTheme="minorEastAsia" w:hint="eastAsia"/>
          <w:color w:val="000000"/>
          <w:sz w:val="24"/>
          <w:szCs w:val="24"/>
        </w:rPr>
        <w:t>上公告。</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（2）申购、赎回、转换开始日及业务办理时间</w:t>
      </w:r>
    </w:p>
    <w:p w:rsidR="004D1E70" w:rsidRPr="004D1E70" w:rsidRDefault="004D1E70" w:rsidP="004D1E70">
      <w:pPr>
        <w:spacing w:line="360" w:lineRule="auto"/>
        <w:ind w:firstLineChars="200" w:firstLine="480"/>
        <w:rPr>
          <w:rFonts w:asciiTheme="minorEastAsia" w:eastAsiaTheme="minorEastAsia" w:hAnsiTheme="minorEastAsia"/>
          <w:color w:val="000000"/>
          <w:sz w:val="24"/>
          <w:szCs w:val="24"/>
        </w:rPr>
      </w:pPr>
      <w:r w:rsidRPr="004D1E70">
        <w:rPr>
          <w:rFonts w:asciiTheme="minorEastAsia" w:eastAsiaTheme="minorEastAsia" w:hAnsiTheme="minorEastAsia" w:hint="eastAsia"/>
          <w:color w:val="000000"/>
          <w:sz w:val="24"/>
          <w:szCs w:val="24"/>
        </w:rPr>
        <w:t>基金合同生效之日起（包括基金合同生效之日）进入首个开放期，开始办理申购和赎回等业务。自首个开放期结束之后次日起（包括该日），本基金进入首个封闭期。本基金每个封闭期结束之后第一个工作日起（包括该日）进入下一个开放期。</w:t>
      </w:r>
    </w:p>
    <w:p w:rsidR="004D1E70" w:rsidRPr="004D1E70" w:rsidRDefault="004D1E70" w:rsidP="004D1E70">
      <w:pPr>
        <w:spacing w:line="360" w:lineRule="auto"/>
        <w:ind w:firstLineChars="200" w:firstLine="480"/>
        <w:rPr>
          <w:rFonts w:asciiTheme="minorEastAsia" w:eastAsiaTheme="minorEastAsia" w:hAnsiTheme="minorEastAsia"/>
          <w:color w:val="000000"/>
          <w:sz w:val="24"/>
          <w:szCs w:val="24"/>
        </w:rPr>
      </w:pPr>
      <w:r w:rsidRPr="004D1E70">
        <w:rPr>
          <w:rFonts w:asciiTheme="minorEastAsia" w:eastAsiaTheme="minorEastAsia" w:hAnsiTheme="minorEastAsia" w:hint="eastAsia"/>
          <w:color w:val="000000"/>
          <w:sz w:val="24"/>
          <w:szCs w:val="24"/>
        </w:rPr>
        <w:t>在确定申购开始与赎回开始时间后，基金管理人应在申购、赎回开放日前依照《信息披露办法》的有关规定在</w:t>
      </w:r>
      <w:r w:rsidR="00E06CDE">
        <w:rPr>
          <w:rFonts w:asciiTheme="minorEastAsia" w:eastAsiaTheme="minorEastAsia" w:hAnsiTheme="minorEastAsia" w:hint="eastAsia"/>
          <w:color w:val="000000"/>
          <w:sz w:val="24"/>
          <w:szCs w:val="24"/>
        </w:rPr>
        <w:t>规定媒介</w:t>
      </w:r>
      <w:r w:rsidRPr="004D1E70">
        <w:rPr>
          <w:rFonts w:asciiTheme="minorEastAsia" w:eastAsiaTheme="minorEastAsia" w:hAnsiTheme="minorEastAsia" w:hint="eastAsia"/>
          <w:color w:val="000000"/>
          <w:sz w:val="24"/>
          <w:szCs w:val="24"/>
        </w:rPr>
        <w:t>上公告申购与赎回的开始时间。</w:t>
      </w:r>
    </w:p>
    <w:p w:rsidR="008A7B35" w:rsidRDefault="004D1E70" w:rsidP="004D1E70">
      <w:pPr>
        <w:spacing w:line="360" w:lineRule="auto"/>
        <w:ind w:firstLineChars="200" w:firstLine="480"/>
        <w:rPr>
          <w:rFonts w:asciiTheme="minorEastAsia" w:eastAsiaTheme="minorEastAsia" w:hAnsiTheme="minorEastAsia"/>
          <w:color w:val="000000"/>
          <w:sz w:val="24"/>
          <w:szCs w:val="24"/>
        </w:rPr>
      </w:pPr>
      <w:r w:rsidRPr="004D1E70">
        <w:rPr>
          <w:rFonts w:asciiTheme="minorEastAsia" w:eastAsiaTheme="minorEastAsia" w:hAnsiTheme="minorEastAsia" w:hint="eastAsia"/>
          <w:color w:val="000000"/>
          <w:sz w:val="24"/>
          <w:szCs w:val="24"/>
        </w:rPr>
        <w:t>基金管理人不得在基金合同约定之外的日期或者时间办理基金份额的申购、赎回或者转换。投资者在基金合同约定之外的日期和时间提出申购、赎回或转换申请且登记机构确认接受的，其基金份额申购、赎回或转换价格为下一开放日基金份额申购、赎回或转换的价格。但若投资者在开放期最后一日业务办理时间结</w:t>
      </w:r>
      <w:r w:rsidRPr="004D1E70">
        <w:rPr>
          <w:rFonts w:asciiTheme="minorEastAsia" w:eastAsiaTheme="minorEastAsia" w:hAnsiTheme="minorEastAsia" w:hint="eastAsia"/>
          <w:color w:val="000000"/>
          <w:sz w:val="24"/>
          <w:szCs w:val="24"/>
        </w:rPr>
        <w:lastRenderedPageBreak/>
        <w:t>束之后提出申购、赎回或者转换等申请的，视为无效申请。</w:t>
      </w:r>
    </w:p>
    <w:p w:rsidR="008A7B35" w:rsidRDefault="005A2A42">
      <w:pPr>
        <w:pStyle w:val="2"/>
        <w:spacing w:line="560" w:lineRule="exact"/>
        <w:rPr>
          <w:rFonts w:asciiTheme="minorEastAsia" w:eastAsiaTheme="minorEastAsia" w:hAnsiTheme="minorEastAsia"/>
          <w:bCs w:val="0"/>
          <w:color w:val="000000"/>
          <w:sz w:val="24"/>
          <w:szCs w:val="24"/>
        </w:rPr>
      </w:pPr>
      <w:bookmarkStart w:id="2" w:name="_Toc275961397"/>
      <w:r>
        <w:rPr>
          <w:rFonts w:asciiTheme="minorEastAsia" w:eastAsiaTheme="minorEastAsia" w:hAnsiTheme="minorEastAsia"/>
          <w:bCs w:val="0"/>
          <w:color w:val="000000"/>
          <w:sz w:val="24"/>
          <w:szCs w:val="24"/>
        </w:rPr>
        <w:t>3</w:t>
      </w:r>
      <w:r w:rsidR="00384D7B">
        <w:rPr>
          <w:rFonts w:asciiTheme="minorEastAsia" w:eastAsiaTheme="minorEastAsia" w:hAnsiTheme="minorEastAsia"/>
          <w:bCs w:val="0"/>
          <w:color w:val="000000"/>
          <w:sz w:val="24"/>
          <w:szCs w:val="24"/>
        </w:rPr>
        <w:t>日常申购业务</w:t>
      </w:r>
      <w:bookmarkEnd w:id="2"/>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3.1申购金额限制</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（1）投资者通过各代销机构申购本基金时</w:t>
      </w:r>
      <w:r w:rsidR="00DA62C3">
        <w:rPr>
          <w:rFonts w:asciiTheme="minorEastAsia" w:eastAsiaTheme="minorEastAsia" w:hAnsiTheme="minorEastAsia" w:hint="eastAsia"/>
          <w:color w:val="000000"/>
          <w:sz w:val="24"/>
          <w:szCs w:val="24"/>
        </w:rPr>
        <w:t>（含定期定额申购）</w:t>
      </w:r>
      <w:r>
        <w:rPr>
          <w:rFonts w:asciiTheme="minorEastAsia" w:eastAsiaTheme="minorEastAsia" w:hAnsiTheme="minorEastAsia" w:hint="eastAsia"/>
          <w:color w:val="000000"/>
          <w:sz w:val="24"/>
          <w:szCs w:val="24"/>
        </w:rPr>
        <w:t>，申购最低金额为1元（含申购费，如有），超过部分不设最低级差限制。</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（2）投资者通过本公司网上交易平台申购本基金时</w:t>
      </w:r>
      <w:r w:rsidR="00973B79" w:rsidRPr="00973B79">
        <w:rPr>
          <w:rFonts w:asciiTheme="minorEastAsia" w:eastAsiaTheme="minorEastAsia" w:hAnsiTheme="minorEastAsia" w:hint="eastAsia"/>
          <w:color w:val="000000"/>
          <w:sz w:val="24"/>
          <w:szCs w:val="24"/>
        </w:rPr>
        <w:t>（含定期定额申购）</w:t>
      </w:r>
      <w:r>
        <w:rPr>
          <w:rFonts w:asciiTheme="minorEastAsia" w:eastAsiaTheme="minorEastAsia" w:hAnsiTheme="minorEastAsia" w:hint="eastAsia"/>
          <w:color w:val="000000"/>
          <w:sz w:val="24"/>
          <w:szCs w:val="24"/>
        </w:rPr>
        <w:t>，申购最低金额为10元（含申购费，如有），超过部分不设最低级差限制。</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（3）投资者通过本公司直销柜台申购</w:t>
      </w:r>
      <w:r w:rsidR="000520B1">
        <w:rPr>
          <w:rFonts w:asciiTheme="minorEastAsia" w:eastAsiaTheme="minorEastAsia" w:hAnsiTheme="minorEastAsia" w:hint="eastAsia"/>
          <w:color w:val="000000"/>
          <w:sz w:val="24"/>
          <w:szCs w:val="24"/>
        </w:rPr>
        <w:t>基金时</w:t>
      </w:r>
      <w:r>
        <w:rPr>
          <w:rFonts w:asciiTheme="minorEastAsia" w:eastAsiaTheme="minorEastAsia" w:hAnsiTheme="minorEastAsia" w:hint="eastAsia"/>
          <w:color w:val="000000"/>
          <w:sz w:val="24"/>
          <w:szCs w:val="24"/>
        </w:rPr>
        <w:t>，申购最低金额为</w:t>
      </w:r>
      <w:r w:rsidR="004A20C9">
        <w:rPr>
          <w:rFonts w:asciiTheme="minorEastAsia" w:eastAsiaTheme="minorEastAsia" w:hAnsiTheme="minorEastAsia"/>
          <w:color w:val="000000"/>
          <w:sz w:val="24"/>
          <w:szCs w:val="24"/>
        </w:rPr>
        <w:t>10</w:t>
      </w:r>
      <w:r>
        <w:rPr>
          <w:rFonts w:asciiTheme="minorEastAsia" w:eastAsiaTheme="minorEastAsia" w:hAnsiTheme="minorEastAsia" w:hint="eastAsia"/>
          <w:color w:val="000000"/>
          <w:sz w:val="24"/>
          <w:szCs w:val="24"/>
        </w:rPr>
        <w:t>元（含申购费，如有）</w:t>
      </w:r>
      <w:r w:rsidR="00C50444">
        <w:rPr>
          <w:rFonts w:asciiTheme="minorEastAsia" w:eastAsiaTheme="minorEastAsia" w:hAnsiTheme="minorEastAsia" w:hint="eastAsia"/>
          <w:color w:val="000000"/>
          <w:sz w:val="24"/>
          <w:szCs w:val="24"/>
        </w:rPr>
        <w:t>，超过部分不设最低级差限制</w:t>
      </w:r>
      <w:r>
        <w:rPr>
          <w:rFonts w:asciiTheme="minorEastAsia" w:eastAsiaTheme="minorEastAsia" w:hAnsiTheme="minorEastAsia" w:hint="eastAsia"/>
          <w:color w:val="000000"/>
          <w:sz w:val="24"/>
          <w:szCs w:val="24"/>
        </w:rPr>
        <w:t>。</w:t>
      </w:r>
    </w:p>
    <w:p w:rsidR="008A7B35" w:rsidRPr="00C93F44" w:rsidRDefault="00C50444" w:rsidP="00B719F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Pr="00C50444">
        <w:rPr>
          <w:rFonts w:asciiTheme="minorEastAsia" w:eastAsiaTheme="minorEastAsia" w:hAnsiTheme="minorEastAsia" w:hint="eastAsia"/>
          <w:color w:val="000000"/>
          <w:sz w:val="24"/>
          <w:szCs w:val="24"/>
        </w:rPr>
        <w:t>投资者当期分配的基金收益转为基金份额时，不受申购最低金额的限制。投资者可多次申购，对单个投资者累计持有基金份额不设上限限制。法律法规、中国证监会另有规定的除外。</w:t>
      </w:r>
    </w:p>
    <w:p w:rsidR="00B93227" w:rsidRDefault="00A77D03" w:rsidP="00B93227">
      <w:pPr>
        <w:spacing w:line="360" w:lineRule="auto"/>
        <w:ind w:firstLineChars="200" w:firstLine="480"/>
        <w:rPr>
          <w:rFonts w:asciiTheme="minorEastAsia" w:eastAsiaTheme="minorEastAsia" w:hAnsiTheme="minorEastAsia"/>
          <w:sz w:val="24"/>
          <w:szCs w:val="24"/>
        </w:rPr>
      </w:pPr>
      <w:bookmarkStart w:id="3" w:name="_Hlk102735988"/>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hint="eastAsia"/>
          <w:color w:val="000000"/>
          <w:sz w:val="24"/>
          <w:szCs w:val="24"/>
        </w:rPr>
        <w:t>）为保证本基金的稳定运作以及为保护基金份额持有人的利益，本基金管理人对本基金的申购（含转换转入）投资进行大额限额，</w:t>
      </w:r>
      <w:r w:rsidR="00B93227">
        <w:rPr>
          <w:rFonts w:asciiTheme="minorEastAsia" w:eastAsiaTheme="minorEastAsia" w:hAnsiTheme="minorEastAsia"/>
          <w:sz w:val="24"/>
          <w:szCs w:val="24"/>
        </w:rPr>
        <w:t>单日单个基金账户累计申购（含转换转入）基金份额的最高金额为500万元（含），即如单日单个基金账户累计申购（含转换转入及定期定额投资）基金份额的金额超过500万元，本基金管理人有权全部或部分拒绝该类份额的申请。</w:t>
      </w:r>
    </w:p>
    <w:p w:rsidR="00A77D03" w:rsidRDefault="00A77D03" w:rsidP="00A77D0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基金管理人可在法律法规允许的情况下，调整上述规定申购金额、单个投资者累计持有基金份额上限及单个交易账户的最低基金份额余额的数量限制。基金管理人必须在调整实施前依照《信息披露办法》的有关规定在规定媒介上公告。</w:t>
      </w:r>
    </w:p>
    <w:bookmarkEnd w:id="3"/>
    <w:p w:rsidR="00A77D03" w:rsidRDefault="00A77D03" w:rsidP="00A77D0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A77D03" w:rsidRDefault="00A77D03" w:rsidP="00A77D0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（8）基金管理人可与其他销售机构约定，对投资者通过其他销售机构办理基金申购的，其他销售机构可以按照委托协议的相关规定办理，不必遵守以上限制。</w:t>
      </w:r>
    </w:p>
    <w:p w:rsidR="008A7B35" w:rsidRDefault="00384D7B">
      <w:pPr>
        <w:spacing w:line="560" w:lineRule="exact"/>
        <w:rPr>
          <w:rFonts w:asciiTheme="minorEastAsia" w:eastAsiaTheme="minorEastAsia" w:hAnsiTheme="minorEastAsia"/>
          <w:b/>
          <w:color w:val="000000"/>
          <w:sz w:val="24"/>
          <w:szCs w:val="24"/>
        </w:rPr>
      </w:pPr>
      <w:r w:rsidRPr="005350ED">
        <w:rPr>
          <w:rFonts w:asciiTheme="minorEastAsia" w:eastAsiaTheme="minorEastAsia" w:hAnsiTheme="minorEastAsia" w:hint="eastAsia"/>
          <w:b/>
          <w:color w:val="000000"/>
          <w:sz w:val="24"/>
          <w:szCs w:val="24"/>
        </w:rPr>
        <w:t>3</w:t>
      </w:r>
      <w:r w:rsidRPr="005350ED">
        <w:rPr>
          <w:rFonts w:asciiTheme="minorEastAsia" w:eastAsiaTheme="minorEastAsia" w:hAnsiTheme="minorEastAsia"/>
          <w:b/>
          <w:color w:val="000000"/>
          <w:sz w:val="24"/>
          <w:szCs w:val="24"/>
        </w:rPr>
        <w:t>.</w:t>
      </w:r>
      <w:r w:rsidRPr="005350ED">
        <w:rPr>
          <w:rFonts w:asciiTheme="minorEastAsia" w:eastAsiaTheme="minorEastAsia" w:hAnsiTheme="minorEastAsia" w:hint="eastAsia"/>
          <w:b/>
          <w:color w:val="000000"/>
          <w:sz w:val="24"/>
          <w:szCs w:val="24"/>
        </w:rPr>
        <w:t>2</w:t>
      </w:r>
      <w:r w:rsidRPr="005350ED">
        <w:rPr>
          <w:rFonts w:asciiTheme="minorEastAsia" w:eastAsiaTheme="minorEastAsia" w:hAnsiTheme="minorEastAsia"/>
          <w:b/>
          <w:color w:val="000000"/>
          <w:sz w:val="24"/>
          <w:szCs w:val="24"/>
        </w:rPr>
        <w:t xml:space="preserve"> 申购费率</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对于本基金，投资者在申购时需交纳前端申购费。投资者缴纳申购费用时，按单次认购金额采用比例费率，投资者在一天之内如果有多笔申购，适用费率按单笔分别计算。具体费率如下：用费率按单笔分别计算。具体费率如下：</w:t>
      </w:r>
    </w:p>
    <w:tbl>
      <w:tblPr>
        <w:tblStyle w:val="aa"/>
        <w:tblW w:w="8522" w:type="dxa"/>
        <w:jc w:val="center"/>
        <w:tblLayout w:type="fixed"/>
        <w:tblLook w:val="04A0"/>
      </w:tblPr>
      <w:tblGrid>
        <w:gridCol w:w="4644"/>
        <w:gridCol w:w="3878"/>
      </w:tblGrid>
      <w:tr w:rsidR="008A7B35">
        <w:trPr>
          <w:jc w:val="center"/>
        </w:trPr>
        <w:tc>
          <w:tcPr>
            <w:tcW w:w="4644" w:type="dxa"/>
          </w:tcPr>
          <w:p w:rsidR="008A7B35" w:rsidRDefault="00384D7B" w:rsidP="003E72F3">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申购金额</w:t>
            </w:r>
            <w:r w:rsidR="003E72F3">
              <w:rPr>
                <w:rFonts w:asciiTheme="minorEastAsia" w:eastAsiaTheme="minorEastAsia" w:hAnsiTheme="minorEastAsia"/>
                <w:color w:val="000000"/>
                <w:sz w:val="24"/>
                <w:szCs w:val="24"/>
              </w:rPr>
              <w:t>M</w:t>
            </w:r>
            <w:r>
              <w:rPr>
                <w:rFonts w:asciiTheme="minorEastAsia" w:eastAsiaTheme="minorEastAsia" w:hAnsiTheme="minorEastAsia" w:hint="eastAsia"/>
                <w:color w:val="000000"/>
                <w:sz w:val="24"/>
                <w:szCs w:val="24"/>
              </w:rPr>
              <w:t>（元）</w:t>
            </w:r>
          </w:p>
        </w:tc>
        <w:tc>
          <w:tcPr>
            <w:tcW w:w="3878"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申购费率</w:t>
            </w:r>
          </w:p>
        </w:tc>
      </w:tr>
      <w:tr w:rsidR="008A7B35">
        <w:trPr>
          <w:jc w:val="center"/>
        </w:trPr>
        <w:tc>
          <w:tcPr>
            <w:tcW w:w="4644" w:type="dxa"/>
          </w:tcPr>
          <w:p w:rsidR="008A7B35" w:rsidRDefault="003E72F3" w:rsidP="00C26DEA">
            <w:pPr>
              <w:spacing w:line="360" w:lineRule="auto"/>
              <w:jc w:val="center"/>
              <w:rPr>
                <w:rFonts w:asciiTheme="minorEastAsia" w:eastAsiaTheme="minorEastAsia" w:hAnsiTheme="minorEastAsia"/>
                <w:color w:val="000000"/>
                <w:sz w:val="24"/>
                <w:szCs w:val="24"/>
              </w:rPr>
            </w:pPr>
            <w:r w:rsidRPr="003E72F3">
              <w:rPr>
                <w:rFonts w:asciiTheme="minorEastAsia" w:eastAsiaTheme="minorEastAsia" w:hAnsiTheme="minorEastAsia"/>
                <w:color w:val="000000"/>
                <w:sz w:val="24"/>
                <w:szCs w:val="24"/>
              </w:rPr>
              <w:t>M</w:t>
            </w:r>
            <w:r w:rsidR="00384D7B">
              <w:rPr>
                <w:rFonts w:asciiTheme="minorEastAsia" w:eastAsiaTheme="minorEastAsia" w:hAnsiTheme="minorEastAsia" w:hint="eastAsia"/>
                <w:color w:val="000000"/>
                <w:sz w:val="24"/>
                <w:szCs w:val="24"/>
              </w:rPr>
              <w:t>＜100万</w:t>
            </w:r>
          </w:p>
        </w:tc>
        <w:tc>
          <w:tcPr>
            <w:tcW w:w="3878"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0.80%</w:t>
            </w:r>
          </w:p>
        </w:tc>
      </w:tr>
      <w:tr w:rsidR="008A7B35">
        <w:trPr>
          <w:jc w:val="center"/>
        </w:trPr>
        <w:tc>
          <w:tcPr>
            <w:tcW w:w="4644" w:type="dxa"/>
          </w:tcPr>
          <w:p w:rsidR="008A7B35" w:rsidRDefault="00C26DEA">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100</w:t>
            </w:r>
            <w:r w:rsidR="00384D7B">
              <w:rPr>
                <w:rFonts w:asciiTheme="minorEastAsia" w:eastAsiaTheme="minorEastAsia" w:hAnsiTheme="minorEastAsia" w:hint="eastAsia"/>
                <w:color w:val="000000"/>
                <w:sz w:val="24"/>
                <w:szCs w:val="24"/>
              </w:rPr>
              <w:t>万≤</w:t>
            </w:r>
            <w:r w:rsidR="003E72F3" w:rsidRPr="003E72F3">
              <w:rPr>
                <w:rFonts w:asciiTheme="minorEastAsia" w:eastAsiaTheme="minorEastAsia" w:hAnsiTheme="minorEastAsia"/>
                <w:color w:val="000000"/>
                <w:sz w:val="24"/>
                <w:szCs w:val="24"/>
              </w:rPr>
              <w:t>M</w:t>
            </w:r>
            <w:r w:rsidR="00384D7B">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200</w:t>
            </w:r>
            <w:r w:rsidR="00384D7B">
              <w:rPr>
                <w:rFonts w:asciiTheme="minorEastAsia" w:eastAsiaTheme="minorEastAsia" w:hAnsiTheme="minorEastAsia" w:hint="eastAsia"/>
                <w:color w:val="000000"/>
                <w:sz w:val="24"/>
                <w:szCs w:val="24"/>
              </w:rPr>
              <w:t>万</w:t>
            </w:r>
          </w:p>
        </w:tc>
        <w:tc>
          <w:tcPr>
            <w:tcW w:w="3878"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0.50%</w:t>
            </w:r>
          </w:p>
        </w:tc>
      </w:tr>
      <w:tr w:rsidR="008A7B35">
        <w:trPr>
          <w:jc w:val="center"/>
        </w:trPr>
        <w:tc>
          <w:tcPr>
            <w:tcW w:w="4644" w:type="dxa"/>
          </w:tcPr>
          <w:p w:rsidR="008A7B35" w:rsidRDefault="00C26DEA">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200</w:t>
            </w:r>
            <w:r w:rsidR="00384D7B">
              <w:rPr>
                <w:rFonts w:asciiTheme="minorEastAsia" w:eastAsiaTheme="minorEastAsia" w:hAnsiTheme="minorEastAsia" w:hint="eastAsia"/>
                <w:color w:val="000000"/>
                <w:sz w:val="24"/>
                <w:szCs w:val="24"/>
              </w:rPr>
              <w:t>万≤</w:t>
            </w:r>
            <w:r w:rsidR="003E72F3" w:rsidRPr="003E72F3">
              <w:rPr>
                <w:rFonts w:asciiTheme="minorEastAsia" w:eastAsiaTheme="minorEastAsia" w:hAnsiTheme="minorEastAsia"/>
                <w:color w:val="000000"/>
                <w:sz w:val="24"/>
                <w:szCs w:val="24"/>
              </w:rPr>
              <w:t>M</w:t>
            </w:r>
            <w:r w:rsidR="00384D7B">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500</w:t>
            </w:r>
            <w:r w:rsidR="00384D7B">
              <w:rPr>
                <w:rFonts w:asciiTheme="minorEastAsia" w:eastAsiaTheme="minorEastAsia" w:hAnsiTheme="minorEastAsia" w:hint="eastAsia"/>
                <w:color w:val="000000"/>
                <w:sz w:val="24"/>
                <w:szCs w:val="24"/>
              </w:rPr>
              <w:t>万</w:t>
            </w:r>
          </w:p>
        </w:tc>
        <w:tc>
          <w:tcPr>
            <w:tcW w:w="3878"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0.30%</w:t>
            </w:r>
          </w:p>
        </w:tc>
      </w:tr>
      <w:tr w:rsidR="008A7B35">
        <w:trPr>
          <w:jc w:val="center"/>
        </w:trPr>
        <w:tc>
          <w:tcPr>
            <w:tcW w:w="4644" w:type="dxa"/>
          </w:tcPr>
          <w:p w:rsidR="008A7B35" w:rsidRDefault="003E72F3">
            <w:pPr>
              <w:spacing w:line="360" w:lineRule="auto"/>
              <w:jc w:val="center"/>
              <w:rPr>
                <w:rFonts w:asciiTheme="minorEastAsia" w:eastAsiaTheme="minorEastAsia" w:hAnsiTheme="minorEastAsia"/>
                <w:color w:val="000000"/>
                <w:sz w:val="24"/>
                <w:szCs w:val="24"/>
              </w:rPr>
            </w:pPr>
            <w:r w:rsidRPr="003E72F3">
              <w:rPr>
                <w:rFonts w:asciiTheme="minorEastAsia" w:eastAsiaTheme="minorEastAsia" w:hAnsiTheme="minorEastAsia"/>
                <w:color w:val="000000"/>
                <w:sz w:val="24"/>
                <w:szCs w:val="24"/>
              </w:rPr>
              <w:t>M</w:t>
            </w:r>
            <w:r w:rsidR="00384D7B">
              <w:rPr>
                <w:rFonts w:asciiTheme="minorEastAsia" w:eastAsiaTheme="minorEastAsia" w:hAnsiTheme="minorEastAsia" w:hint="eastAsia"/>
                <w:color w:val="000000"/>
                <w:sz w:val="24"/>
                <w:szCs w:val="24"/>
              </w:rPr>
              <w:t>≥</w:t>
            </w:r>
            <w:r w:rsidR="00C26DEA">
              <w:rPr>
                <w:rFonts w:asciiTheme="minorEastAsia" w:eastAsiaTheme="minorEastAsia" w:hAnsiTheme="minorEastAsia" w:hint="eastAsia"/>
                <w:color w:val="000000"/>
                <w:sz w:val="24"/>
                <w:szCs w:val="24"/>
              </w:rPr>
              <w:t>500</w:t>
            </w:r>
            <w:r w:rsidR="00384D7B">
              <w:rPr>
                <w:rFonts w:asciiTheme="minorEastAsia" w:eastAsiaTheme="minorEastAsia" w:hAnsiTheme="minorEastAsia" w:hint="eastAsia"/>
                <w:color w:val="000000"/>
                <w:sz w:val="24"/>
                <w:szCs w:val="24"/>
              </w:rPr>
              <w:t>万</w:t>
            </w:r>
          </w:p>
        </w:tc>
        <w:tc>
          <w:tcPr>
            <w:tcW w:w="3878"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1000元/笔</w:t>
            </w:r>
          </w:p>
        </w:tc>
      </w:tr>
    </w:tbl>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本基金的申购费用由投资者承担，不列入基金财产，主要用于本基金的市场推广、销售、登记等各项费用。</w:t>
      </w:r>
    </w:p>
    <w:p w:rsidR="005E2E75" w:rsidRDefault="005E2E75" w:rsidP="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基金管理人可以在基金合同约定的范围内调整费率或收费方式，并最迟应于新的费率或收费方式实施日前依照《信息披露办法》的有关规定在</w:t>
      </w:r>
      <w:r w:rsidR="00E06CDE">
        <w:rPr>
          <w:rFonts w:asciiTheme="minorEastAsia" w:eastAsiaTheme="minorEastAsia" w:hAnsiTheme="minorEastAsia"/>
          <w:color w:val="000000"/>
          <w:sz w:val="24"/>
          <w:szCs w:val="24"/>
        </w:rPr>
        <w:t>规定媒介</w:t>
      </w:r>
      <w:r>
        <w:rPr>
          <w:rFonts w:asciiTheme="minorEastAsia" w:eastAsiaTheme="minorEastAsia" w:hAnsiTheme="minorEastAsia"/>
          <w:color w:val="000000"/>
          <w:sz w:val="24"/>
          <w:szCs w:val="24"/>
        </w:rPr>
        <w:t>上公告。</w:t>
      </w:r>
    </w:p>
    <w:p w:rsidR="005E2E75" w:rsidRDefault="005E2E75" w:rsidP="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信息披露办法》的有关规定在</w:t>
      </w:r>
      <w:r w:rsidR="00E06CDE">
        <w:rPr>
          <w:rFonts w:asciiTheme="minorEastAsia" w:eastAsiaTheme="minorEastAsia" w:hAnsiTheme="minorEastAsia"/>
          <w:color w:val="000000"/>
          <w:sz w:val="24"/>
          <w:szCs w:val="24"/>
        </w:rPr>
        <w:t>规定媒介</w:t>
      </w:r>
      <w:r>
        <w:rPr>
          <w:rFonts w:asciiTheme="minorEastAsia" w:eastAsiaTheme="minorEastAsia" w:hAnsiTheme="minorEastAsia"/>
          <w:color w:val="000000"/>
          <w:sz w:val="24"/>
          <w:szCs w:val="24"/>
        </w:rPr>
        <w:t>上公告。</w:t>
      </w:r>
    </w:p>
    <w:p w:rsidR="005E2E75" w:rsidRPr="005E2E75" w:rsidRDefault="005E2E75">
      <w:pPr>
        <w:spacing w:line="360" w:lineRule="auto"/>
        <w:ind w:firstLineChars="200" w:firstLine="480"/>
        <w:rPr>
          <w:rFonts w:asciiTheme="minorEastAsia" w:eastAsiaTheme="minorEastAsia" w:hAnsiTheme="minorEastAsia"/>
          <w:color w:val="000000"/>
          <w:sz w:val="24"/>
          <w:szCs w:val="24"/>
        </w:rPr>
      </w:pPr>
    </w:p>
    <w:p w:rsidR="008A7B35" w:rsidRDefault="00384D7B">
      <w:pPr>
        <w:spacing w:line="560" w:lineRule="exact"/>
        <w:rPr>
          <w:rFonts w:asciiTheme="minorEastAsia" w:eastAsiaTheme="minorEastAsia" w:hAnsiTheme="minorEastAsia"/>
          <w:b/>
          <w:color w:val="000000"/>
          <w:sz w:val="24"/>
          <w:szCs w:val="24"/>
        </w:rPr>
      </w:pPr>
      <w:r w:rsidRPr="00950E20">
        <w:rPr>
          <w:rFonts w:asciiTheme="minorEastAsia" w:eastAsiaTheme="minorEastAsia" w:hAnsiTheme="minorEastAsia" w:hint="eastAsia"/>
          <w:b/>
          <w:color w:val="000000"/>
          <w:sz w:val="24"/>
          <w:szCs w:val="24"/>
        </w:rPr>
        <w:t>3</w:t>
      </w:r>
      <w:r w:rsidRPr="00950E20">
        <w:rPr>
          <w:rFonts w:asciiTheme="minorEastAsia" w:eastAsiaTheme="minorEastAsia" w:hAnsiTheme="minorEastAsia"/>
          <w:b/>
          <w:color w:val="000000"/>
          <w:sz w:val="24"/>
          <w:szCs w:val="24"/>
        </w:rPr>
        <w:t>.</w:t>
      </w:r>
      <w:r w:rsidRPr="00950E20">
        <w:rPr>
          <w:rFonts w:asciiTheme="minorEastAsia" w:eastAsiaTheme="minorEastAsia" w:hAnsiTheme="minorEastAsia" w:hint="eastAsia"/>
          <w:b/>
          <w:color w:val="000000"/>
          <w:sz w:val="24"/>
          <w:szCs w:val="24"/>
        </w:rPr>
        <w:t>3</w:t>
      </w:r>
      <w:r w:rsidRPr="00950E20">
        <w:rPr>
          <w:rFonts w:asciiTheme="minorEastAsia" w:eastAsiaTheme="minorEastAsia" w:hAnsiTheme="minorEastAsia"/>
          <w:b/>
          <w:color w:val="000000"/>
          <w:sz w:val="24"/>
          <w:szCs w:val="24"/>
        </w:rPr>
        <w:t>其他与申购相关的事项</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384D7B">
        <w:rPr>
          <w:rFonts w:asciiTheme="minorEastAsia" w:eastAsiaTheme="minorEastAsia" w:hAnsiTheme="minorEastAsia"/>
          <w:color w:val="000000"/>
          <w:sz w:val="24"/>
          <w:szCs w:val="24"/>
        </w:rPr>
        <w:t>在开放期内发生下列情况时，基金管理人可拒绝或暂停接受投资者的申购申请：</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384D7B">
        <w:rPr>
          <w:rFonts w:asciiTheme="minorEastAsia" w:eastAsiaTheme="minorEastAsia" w:hAnsiTheme="minorEastAsia"/>
          <w:color w:val="000000"/>
          <w:sz w:val="24"/>
          <w:szCs w:val="24"/>
        </w:rPr>
        <w:t>因不可抗力导致基金无法正常运作。</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384D7B">
        <w:rPr>
          <w:rFonts w:asciiTheme="minorEastAsia" w:eastAsiaTheme="minorEastAsia" w:hAnsiTheme="minorEastAsia"/>
          <w:color w:val="000000"/>
          <w:sz w:val="24"/>
          <w:szCs w:val="24"/>
        </w:rPr>
        <w:t>发生基金合同规定的暂停基金资产估值情况时。</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384D7B">
        <w:rPr>
          <w:rFonts w:asciiTheme="minorEastAsia" w:eastAsiaTheme="minorEastAsia" w:hAnsiTheme="minorEastAsia"/>
          <w:color w:val="000000"/>
          <w:sz w:val="24"/>
          <w:szCs w:val="24"/>
        </w:rPr>
        <w:t>证券交易所交易时间非正常停市，导致基金管理人无法计算当日基金资产净值。</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384D7B">
        <w:rPr>
          <w:rFonts w:asciiTheme="minorEastAsia" w:eastAsiaTheme="minorEastAsia" w:hAnsiTheme="minorEastAsia"/>
          <w:color w:val="000000"/>
          <w:sz w:val="24"/>
          <w:szCs w:val="24"/>
        </w:rPr>
        <w:t>接受某笔或某些申购申请可能会影响或损害现有基金份额持有人利益时。</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384D7B">
        <w:rPr>
          <w:rFonts w:asciiTheme="minorEastAsia" w:eastAsiaTheme="minorEastAsia" w:hAnsiTheme="minorEastAsia"/>
          <w:color w:val="000000"/>
          <w:sz w:val="24"/>
          <w:szCs w:val="24"/>
        </w:rPr>
        <w:t>基金资产规模过大，使基金管理人无法找到合适的投资品种，或其他可能对基金业绩产生负面影响，或其他损害现有基金份额持有人利益的情形。</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384D7B">
        <w:rPr>
          <w:rFonts w:asciiTheme="minorEastAsia" w:eastAsiaTheme="minorEastAsia" w:hAnsiTheme="minorEastAsia"/>
          <w:color w:val="000000"/>
          <w:sz w:val="24"/>
          <w:szCs w:val="24"/>
        </w:rPr>
        <w:t>基金管理人、基金托管人、登记机构、销售机构、支付结算机构等因异常情况导致基金销售系统、基金销售支付结算系统、基金登记系统、基金会计系统等无法正常运行。</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384D7B">
        <w:rPr>
          <w:rFonts w:asciiTheme="minorEastAsia" w:eastAsiaTheme="minorEastAsia" w:hAnsiTheme="minorEastAsia"/>
          <w:color w:val="000000"/>
          <w:sz w:val="24"/>
          <w:szCs w:val="24"/>
        </w:rPr>
        <w:t>当</w:t>
      </w:r>
      <w:r w:rsidR="00BF784E">
        <w:rPr>
          <w:rFonts w:asciiTheme="minorEastAsia" w:eastAsiaTheme="minorEastAsia" w:hAnsiTheme="minorEastAsia" w:hint="eastAsia"/>
          <w:color w:val="000000"/>
          <w:sz w:val="24"/>
          <w:szCs w:val="24"/>
        </w:rPr>
        <w:t>特定资产占</w:t>
      </w:r>
      <w:r w:rsidR="00384D7B">
        <w:rPr>
          <w:rFonts w:asciiTheme="minorEastAsia" w:eastAsiaTheme="minorEastAsia" w:hAnsiTheme="minorEastAsia"/>
          <w:color w:val="000000"/>
          <w:sz w:val="24"/>
          <w:szCs w:val="24"/>
        </w:rPr>
        <w:t>前一估值日基金资产净值50%以上</w:t>
      </w:r>
      <w:r w:rsidR="00BF784E">
        <w:rPr>
          <w:rFonts w:asciiTheme="minorEastAsia" w:eastAsiaTheme="minorEastAsia" w:hAnsiTheme="minorEastAsia" w:hint="eastAsia"/>
          <w:color w:val="000000"/>
          <w:sz w:val="24"/>
          <w:szCs w:val="24"/>
        </w:rPr>
        <w:t>时</w:t>
      </w:r>
      <w:r w:rsidR="00384D7B">
        <w:rPr>
          <w:rFonts w:asciiTheme="minorEastAsia" w:eastAsiaTheme="minorEastAsia" w:hAnsiTheme="minorEastAsia"/>
          <w:color w:val="000000"/>
          <w:sz w:val="24"/>
          <w:szCs w:val="24"/>
        </w:rPr>
        <w:t>，经与基金托管人协商确认后，基金管理人应当暂停接受基金申购申请。</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sidR="00384D7B">
        <w:rPr>
          <w:rFonts w:asciiTheme="minorEastAsia" w:eastAsiaTheme="minorEastAsia" w:hAnsiTheme="minorEastAsia"/>
          <w:color w:val="000000"/>
          <w:sz w:val="24"/>
          <w:szCs w:val="24"/>
        </w:rPr>
        <w:t>申请超过基金管理人设定的基金总规模、单日净申购比例上限、单一投资者单日或单笔申购金额上限的。</w:t>
      </w:r>
    </w:p>
    <w:p w:rsidR="008A7B35" w:rsidRDefault="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sidR="00384D7B">
        <w:rPr>
          <w:rFonts w:asciiTheme="minorEastAsia" w:eastAsiaTheme="minorEastAsia" w:hAnsiTheme="minorEastAsia"/>
          <w:color w:val="000000"/>
          <w:sz w:val="24"/>
          <w:szCs w:val="24"/>
        </w:rPr>
        <w:t>法律法规规定或中国证监会认定的其他情形。</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发生上述第</w:t>
      </w:r>
      <w:r w:rsidR="005E2E75">
        <w:rPr>
          <w:rFonts w:asciiTheme="minorEastAsia" w:eastAsiaTheme="minorEastAsia" w:hAnsiTheme="minorEastAsia" w:hint="eastAsia"/>
          <w:color w:val="000000"/>
          <w:sz w:val="24"/>
          <w:szCs w:val="24"/>
        </w:rPr>
        <w:t>（1）、（2）、（3）、（5）、（6）、（7）、（9）</w:t>
      </w:r>
      <w:r>
        <w:rPr>
          <w:rFonts w:asciiTheme="minorEastAsia" w:eastAsiaTheme="minorEastAsia" w:hAnsiTheme="minorEastAsia"/>
          <w:color w:val="000000"/>
          <w:sz w:val="24"/>
          <w:szCs w:val="24"/>
        </w:rPr>
        <w:t>项情形之一且基金管理人决定拒绝或暂停申购申请时，基金管理人应当根据有关规定在</w:t>
      </w:r>
      <w:r w:rsidR="000348D8">
        <w:rPr>
          <w:rFonts w:asciiTheme="minorEastAsia" w:eastAsiaTheme="minorEastAsia" w:hAnsiTheme="minorEastAsia" w:hint="eastAsia"/>
          <w:color w:val="000000"/>
          <w:sz w:val="24"/>
          <w:szCs w:val="24"/>
        </w:rPr>
        <w:t>指定</w:t>
      </w:r>
      <w:r w:rsidR="00E06CDE">
        <w:rPr>
          <w:rFonts w:asciiTheme="minorEastAsia" w:eastAsiaTheme="minorEastAsia" w:hAnsiTheme="minorEastAsia"/>
          <w:color w:val="000000"/>
          <w:sz w:val="24"/>
          <w:szCs w:val="24"/>
        </w:rPr>
        <w:t>媒介</w:t>
      </w:r>
      <w:r>
        <w:rPr>
          <w:rFonts w:asciiTheme="minorEastAsia" w:eastAsiaTheme="minorEastAsia" w:hAnsiTheme="minorEastAsia"/>
          <w:color w:val="000000"/>
          <w:sz w:val="24"/>
          <w:szCs w:val="24"/>
        </w:rPr>
        <w:t>上进行公告。如果投资者的申购申请被拒绝，被拒绝的申购款项本金将退还给投资者。在暂停申购的情况消除时，基金管理人应及时恢复申购业务的办理，开放期相应顺延。</w:t>
      </w:r>
    </w:p>
    <w:p w:rsidR="005E2E75" w:rsidRDefault="005E2E75" w:rsidP="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当本基金发生大额申购情形时，基金管理人可以采用摆动定价机制以确保基金估值的公平性。具体处理原则与操作规范遵循相关法律法规以及监管部门、自律规则的规定。</w:t>
      </w:r>
    </w:p>
    <w:p w:rsidR="005E2E75" w:rsidRPr="005E2E75" w:rsidRDefault="005E2E75">
      <w:pPr>
        <w:spacing w:line="360" w:lineRule="auto"/>
        <w:ind w:firstLineChars="200" w:firstLine="480"/>
        <w:rPr>
          <w:rFonts w:asciiTheme="minorEastAsia" w:eastAsiaTheme="minorEastAsia" w:hAnsiTheme="minorEastAsia"/>
          <w:color w:val="000000"/>
          <w:sz w:val="24"/>
          <w:szCs w:val="24"/>
        </w:rPr>
      </w:pPr>
    </w:p>
    <w:p w:rsidR="008A7B35" w:rsidRDefault="00384D7B">
      <w:pPr>
        <w:pStyle w:val="2"/>
        <w:spacing w:line="560" w:lineRule="exact"/>
        <w:rPr>
          <w:rFonts w:asciiTheme="minorEastAsia" w:eastAsiaTheme="minorEastAsia" w:hAnsiTheme="minorEastAsia"/>
          <w:bCs w:val="0"/>
          <w:color w:val="000000"/>
          <w:sz w:val="24"/>
          <w:szCs w:val="24"/>
        </w:rPr>
      </w:pPr>
      <w:bookmarkStart w:id="4" w:name="_Toc275961398"/>
      <w:r>
        <w:rPr>
          <w:rFonts w:asciiTheme="minorEastAsia" w:eastAsiaTheme="minorEastAsia" w:hAnsiTheme="minorEastAsia" w:hint="eastAsia"/>
          <w:bCs w:val="0"/>
          <w:color w:val="000000"/>
          <w:sz w:val="24"/>
          <w:szCs w:val="24"/>
        </w:rPr>
        <w:t>4</w:t>
      </w:r>
      <w:r>
        <w:rPr>
          <w:rFonts w:asciiTheme="minorEastAsia" w:eastAsiaTheme="minorEastAsia" w:hAnsiTheme="minorEastAsia"/>
          <w:bCs w:val="0"/>
          <w:color w:val="000000"/>
          <w:sz w:val="24"/>
          <w:szCs w:val="24"/>
        </w:rPr>
        <w:t xml:space="preserve"> 日常赎回业务</w:t>
      </w:r>
      <w:bookmarkEnd w:id="4"/>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4</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 xml:space="preserve"> 赎回份额限制</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（1）投资者通过各代销机构赎回</w:t>
      </w:r>
      <w:r w:rsidR="00FB1A77">
        <w:rPr>
          <w:rFonts w:asciiTheme="minorEastAsia" w:eastAsiaTheme="minorEastAsia" w:hAnsiTheme="minorEastAsia" w:hint="eastAsia"/>
          <w:color w:val="000000"/>
          <w:sz w:val="24"/>
          <w:szCs w:val="24"/>
        </w:rPr>
        <w:t>的</w:t>
      </w:r>
      <w:r>
        <w:rPr>
          <w:rFonts w:asciiTheme="minorEastAsia" w:eastAsiaTheme="minorEastAsia" w:hAnsiTheme="minorEastAsia"/>
          <w:color w:val="000000"/>
          <w:sz w:val="24"/>
          <w:szCs w:val="24"/>
        </w:rPr>
        <w:t>，赎回最低份额为1份，基金份额余额不得低于1份，赎回后导致基金份额不足1份的需全部赎回。</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（2）投资者通过本公司网上交易平台赎回</w:t>
      </w:r>
      <w:r w:rsidR="000348D8">
        <w:rPr>
          <w:rFonts w:asciiTheme="minorEastAsia" w:eastAsiaTheme="minorEastAsia" w:hAnsiTheme="minorEastAsia" w:hint="eastAsia"/>
          <w:color w:val="000000"/>
          <w:sz w:val="24"/>
          <w:szCs w:val="24"/>
        </w:rPr>
        <w:t>的</w:t>
      </w:r>
      <w:r>
        <w:rPr>
          <w:rFonts w:asciiTheme="minorEastAsia" w:eastAsiaTheme="minorEastAsia" w:hAnsiTheme="minorEastAsia"/>
          <w:color w:val="000000"/>
          <w:sz w:val="24"/>
          <w:szCs w:val="24"/>
        </w:rPr>
        <w:t>，</w:t>
      </w:r>
      <w:r w:rsidR="0064526A">
        <w:rPr>
          <w:rFonts w:asciiTheme="minorEastAsia" w:eastAsiaTheme="minorEastAsia" w:hAnsiTheme="minorEastAsia" w:hint="eastAsia"/>
          <w:color w:val="000000"/>
          <w:sz w:val="24"/>
          <w:szCs w:val="24"/>
        </w:rPr>
        <w:t>单笔最低赎回</w:t>
      </w:r>
      <w:r>
        <w:rPr>
          <w:rFonts w:asciiTheme="minorEastAsia" w:eastAsiaTheme="minorEastAsia" w:hAnsiTheme="minorEastAsia"/>
          <w:color w:val="000000"/>
          <w:sz w:val="24"/>
          <w:szCs w:val="24"/>
        </w:rPr>
        <w:t>份额不</w:t>
      </w:r>
      <w:r w:rsidR="0064526A">
        <w:rPr>
          <w:rFonts w:asciiTheme="minorEastAsia" w:eastAsiaTheme="minorEastAsia" w:hAnsiTheme="minorEastAsia" w:hint="eastAsia"/>
          <w:color w:val="000000"/>
          <w:sz w:val="24"/>
          <w:szCs w:val="24"/>
        </w:rPr>
        <w:t>受限制</w:t>
      </w:r>
      <w:r>
        <w:rPr>
          <w:rFonts w:asciiTheme="minorEastAsia" w:eastAsiaTheme="minorEastAsia" w:hAnsiTheme="minorEastAsia"/>
          <w:color w:val="000000"/>
          <w:sz w:val="24"/>
          <w:szCs w:val="24"/>
        </w:rPr>
        <w:t>，持有基金份额不足10份时发起赎回需全部赎回。</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（3）投资者通过本公司直销柜台赎回时，赎回最低份额为1份，基金份额</w:t>
      </w:r>
      <w:r w:rsidR="0064526A">
        <w:rPr>
          <w:rFonts w:asciiTheme="minorEastAsia" w:eastAsiaTheme="minorEastAsia" w:hAnsiTheme="minorEastAsia" w:hint="eastAsia"/>
          <w:color w:val="000000"/>
          <w:sz w:val="24"/>
          <w:szCs w:val="24"/>
        </w:rPr>
        <w:t>余额</w:t>
      </w:r>
      <w:r>
        <w:rPr>
          <w:rFonts w:asciiTheme="minorEastAsia" w:eastAsiaTheme="minorEastAsia" w:hAnsiTheme="minorEastAsia"/>
          <w:color w:val="000000"/>
          <w:sz w:val="24"/>
          <w:szCs w:val="24"/>
        </w:rPr>
        <w:t>不</w:t>
      </w:r>
      <w:r w:rsidR="0064526A">
        <w:rPr>
          <w:rFonts w:asciiTheme="minorEastAsia" w:eastAsiaTheme="minorEastAsia" w:hAnsiTheme="minorEastAsia" w:hint="eastAsia"/>
          <w:color w:val="000000"/>
          <w:sz w:val="24"/>
          <w:szCs w:val="24"/>
        </w:rPr>
        <w:t>得低于</w:t>
      </w:r>
      <w:r>
        <w:rPr>
          <w:rFonts w:asciiTheme="minorEastAsia" w:eastAsiaTheme="minorEastAsia" w:hAnsiTheme="minorEastAsia"/>
          <w:color w:val="000000"/>
          <w:sz w:val="24"/>
          <w:szCs w:val="24"/>
        </w:rPr>
        <w:t>1份</w:t>
      </w:r>
      <w:r w:rsidR="0064526A">
        <w:rPr>
          <w:rFonts w:asciiTheme="minorEastAsia" w:eastAsiaTheme="minorEastAsia" w:hAnsiTheme="minorEastAsia" w:hint="eastAsia"/>
          <w:color w:val="000000"/>
          <w:sz w:val="24"/>
          <w:szCs w:val="24"/>
        </w:rPr>
        <w:t>，赎回后导致基金份额不足1份的</w:t>
      </w:r>
      <w:r>
        <w:rPr>
          <w:rFonts w:asciiTheme="minorEastAsia" w:eastAsiaTheme="minorEastAsia" w:hAnsiTheme="minorEastAsia"/>
          <w:color w:val="000000"/>
          <w:sz w:val="24"/>
          <w:szCs w:val="24"/>
        </w:rPr>
        <w:t>需全部赎回。</w:t>
      </w:r>
    </w:p>
    <w:p w:rsidR="008A7B35" w:rsidRDefault="00384D7B">
      <w:pPr>
        <w:spacing w:line="360" w:lineRule="auto"/>
        <w:ind w:firstLineChars="200" w:firstLine="480"/>
        <w:rPr>
          <w:rFonts w:asciiTheme="minorEastAsia" w:eastAsiaTheme="minorEastAsia" w:hAnsiTheme="minorEastAsia"/>
          <w:color w:val="000000"/>
          <w:sz w:val="24"/>
          <w:szCs w:val="24"/>
        </w:rPr>
      </w:pPr>
      <w:r w:rsidRPr="00C93F44">
        <w:rPr>
          <w:rFonts w:asciiTheme="minorEastAsia" w:eastAsiaTheme="minorEastAsia" w:hAnsiTheme="minorEastAsia"/>
          <w:color w:val="000000"/>
          <w:sz w:val="24"/>
          <w:szCs w:val="24"/>
        </w:rPr>
        <w:t>（4）基金管理人可在法律法规允许的情况下，调整上述规定赎回份额、单个投资者累计持有基金份额上限及单个交易账户的最低基金份额余额的数量限制。基金管理人必须在调整实施前依照《信息披露办法》的有关规定在</w:t>
      </w:r>
      <w:r w:rsidR="007931A8">
        <w:rPr>
          <w:rFonts w:asciiTheme="minorEastAsia" w:eastAsiaTheme="minorEastAsia" w:hAnsiTheme="minorEastAsia" w:hint="eastAsia"/>
          <w:color w:val="000000"/>
          <w:sz w:val="24"/>
          <w:szCs w:val="24"/>
        </w:rPr>
        <w:t>指定</w:t>
      </w:r>
      <w:r w:rsidR="00E06CDE">
        <w:rPr>
          <w:rFonts w:asciiTheme="minorEastAsia" w:eastAsiaTheme="minorEastAsia" w:hAnsiTheme="minorEastAsia"/>
          <w:color w:val="000000"/>
          <w:sz w:val="24"/>
          <w:szCs w:val="24"/>
        </w:rPr>
        <w:t>媒介</w:t>
      </w:r>
      <w:r w:rsidRPr="00C93F44">
        <w:rPr>
          <w:rFonts w:asciiTheme="minorEastAsia" w:eastAsiaTheme="minorEastAsia" w:hAnsiTheme="minorEastAsia"/>
          <w:color w:val="000000"/>
          <w:sz w:val="24"/>
          <w:szCs w:val="24"/>
        </w:rPr>
        <w:t>上公告</w:t>
      </w:r>
      <w:r w:rsidR="007931A8">
        <w:rPr>
          <w:rFonts w:asciiTheme="minorEastAsia" w:eastAsiaTheme="minorEastAsia" w:hAnsiTheme="minorEastAsia" w:hint="eastAsia"/>
          <w:color w:val="000000"/>
          <w:sz w:val="24"/>
          <w:szCs w:val="24"/>
        </w:rPr>
        <w:t>并报中国证监会备案</w:t>
      </w:r>
      <w:r w:rsidRPr="00C93F44">
        <w:rPr>
          <w:rFonts w:asciiTheme="minorEastAsia" w:eastAsiaTheme="minorEastAsia" w:hAnsiTheme="minorEastAsia"/>
          <w:color w:val="000000"/>
          <w:sz w:val="24"/>
          <w:szCs w:val="24"/>
        </w:rPr>
        <w:t>。</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（5）基金管理人可与其他销售机构约定，对投资者通过其他销售机构办理基金赎回的，其他销售机构可以按照委托协议的相关规定办理，不必遵守以上限制。</w:t>
      </w:r>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4</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2</w:t>
      </w:r>
      <w:r>
        <w:rPr>
          <w:rFonts w:asciiTheme="minorEastAsia" w:eastAsiaTheme="minorEastAsia" w:hAnsiTheme="minorEastAsia"/>
          <w:b/>
          <w:color w:val="000000"/>
          <w:sz w:val="24"/>
          <w:szCs w:val="24"/>
        </w:rPr>
        <w:t xml:space="preserve"> 赎回费率</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本基金赎回费用由赎回基金份额的基金份额持有人承担，在基金份额持有人赎回基金份额时收取。</w:t>
      </w:r>
    </w:p>
    <w:tbl>
      <w:tblPr>
        <w:tblStyle w:val="aa"/>
        <w:tblW w:w="8522" w:type="dxa"/>
        <w:tblLayout w:type="fixed"/>
        <w:tblLook w:val="04A0"/>
      </w:tblPr>
      <w:tblGrid>
        <w:gridCol w:w="5637"/>
        <w:gridCol w:w="2885"/>
      </w:tblGrid>
      <w:tr w:rsidR="008A7B35">
        <w:tc>
          <w:tcPr>
            <w:tcW w:w="5637"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持有基金份额期限</w:t>
            </w:r>
          </w:p>
        </w:tc>
        <w:tc>
          <w:tcPr>
            <w:tcW w:w="2885"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费率</w:t>
            </w:r>
          </w:p>
        </w:tc>
      </w:tr>
      <w:tr w:rsidR="008A7B35" w:rsidTr="00611AA3">
        <w:tc>
          <w:tcPr>
            <w:tcW w:w="5637"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在同一开放期内申购后又赎回的且持续持有期小于7日的基金份额</w:t>
            </w:r>
          </w:p>
        </w:tc>
        <w:tc>
          <w:tcPr>
            <w:tcW w:w="2885" w:type="dxa"/>
            <w:vAlign w:val="center"/>
          </w:tcPr>
          <w:p w:rsidR="008A7B35" w:rsidRDefault="00384D7B" w:rsidP="00611AA3">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1.50%</w:t>
            </w:r>
          </w:p>
        </w:tc>
      </w:tr>
      <w:tr w:rsidR="008A7B35" w:rsidTr="00611AA3">
        <w:tc>
          <w:tcPr>
            <w:tcW w:w="5637"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在同一开放期内申购后又赎回的且持续持有期大于7日（含7日）的基金份额</w:t>
            </w:r>
          </w:p>
        </w:tc>
        <w:tc>
          <w:tcPr>
            <w:tcW w:w="2885" w:type="dxa"/>
            <w:vAlign w:val="center"/>
          </w:tcPr>
          <w:p w:rsidR="008A7B35" w:rsidRDefault="00384D7B" w:rsidP="00611AA3">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0.50%</w:t>
            </w:r>
          </w:p>
        </w:tc>
      </w:tr>
      <w:tr w:rsidR="008A7B35" w:rsidTr="00611AA3">
        <w:tc>
          <w:tcPr>
            <w:tcW w:w="5637" w:type="dxa"/>
          </w:tcPr>
          <w:p w:rsidR="008A7B35" w:rsidRDefault="00384D7B">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在某一开放期申购并持有一个封闭期以上的基金份额</w:t>
            </w:r>
          </w:p>
        </w:tc>
        <w:tc>
          <w:tcPr>
            <w:tcW w:w="2885" w:type="dxa"/>
            <w:vAlign w:val="center"/>
          </w:tcPr>
          <w:p w:rsidR="008A7B35" w:rsidRDefault="00384D7B" w:rsidP="00611AA3">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0</w:t>
            </w:r>
          </w:p>
        </w:tc>
      </w:tr>
    </w:tbl>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对持续持有期小于7日的投资者收取的赎回费全额计入基金财产；对持续持有期大于7日（含7日）的投资者，应当将赎回费总额的25%计入基金财产。赎回费中计入基金财产之余的费用用于支付登记费和其他必要的手续费。</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基金管理人可以在基金合同约定的范围内调整费率或收费方式，并最迟应于新的费率或收费方式实施日前依照《信息披露办法》的有关规定在</w:t>
      </w:r>
      <w:r w:rsidR="00E06CDE">
        <w:rPr>
          <w:rFonts w:asciiTheme="minorEastAsia" w:eastAsiaTheme="minorEastAsia" w:hAnsiTheme="minorEastAsia"/>
          <w:color w:val="000000"/>
          <w:sz w:val="24"/>
          <w:szCs w:val="24"/>
        </w:rPr>
        <w:t>规定媒介</w:t>
      </w:r>
      <w:r>
        <w:rPr>
          <w:rFonts w:asciiTheme="minorEastAsia" w:eastAsiaTheme="minorEastAsia" w:hAnsiTheme="minorEastAsia"/>
          <w:color w:val="000000"/>
          <w:sz w:val="24"/>
          <w:szCs w:val="24"/>
        </w:rPr>
        <w:t>上公告。</w:t>
      </w:r>
    </w:p>
    <w:p w:rsidR="008A7B35" w:rsidRDefault="00384D7B" w:rsidP="0097530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w:t>
      </w:r>
      <w:r w:rsidRPr="00C207A4">
        <w:rPr>
          <w:rFonts w:asciiTheme="minorEastAsia" w:eastAsiaTheme="minorEastAsia" w:hAnsiTheme="minorEastAsia"/>
          <w:color w:val="000000"/>
          <w:sz w:val="24"/>
          <w:szCs w:val="24"/>
        </w:rPr>
        <w:t>《信息披露办法》的有关规定在</w:t>
      </w:r>
      <w:r w:rsidR="00E06CDE" w:rsidRPr="00C207A4">
        <w:rPr>
          <w:rFonts w:asciiTheme="minorEastAsia" w:eastAsiaTheme="minorEastAsia" w:hAnsiTheme="minorEastAsia"/>
          <w:color w:val="000000"/>
          <w:sz w:val="24"/>
          <w:szCs w:val="24"/>
        </w:rPr>
        <w:t>规定媒介</w:t>
      </w:r>
      <w:r w:rsidRPr="00C207A4">
        <w:rPr>
          <w:rFonts w:asciiTheme="minorEastAsia" w:eastAsiaTheme="minorEastAsia" w:hAnsiTheme="minorEastAsia"/>
          <w:color w:val="000000"/>
          <w:sz w:val="24"/>
          <w:szCs w:val="24"/>
        </w:rPr>
        <w:t>上公告。</w:t>
      </w:r>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4</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3</w:t>
      </w:r>
      <w:r>
        <w:rPr>
          <w:rFonts w:asciiTheme="minorEastAsia" w:eastAsiaTheme="minorEastAsia" w:hAnsiTheme="minorEastAsia"/>
          <w:b/>
          <w:color w:val="000000"/>
          <w:sz w:val="24"/>
          <w:szCs w:val="24"/>
        </w:rPr>
        <w:t xml:space="preserve"> 其他与赎回相关的事项</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384D7B">
        <w:rPr>
          <w:rFonts w:asciiTheme="minorEastAsia" w:eastAsiaTheme="minorEastAsia" w:hAnsiTheme="minorEastAsia"/>
          <w:color w:val="000000"/>
          <w:sz w:val="24"/>
          <w:szCs w:val="24"/>
        </w:rPr>
        <w:t>在开放期内发生下列情形时，基金管理人可暂停接受投资者的赎回申请或延缓支付赎回款项：</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384D7B">
        <w:rPr>
          <w:rFonts w:asciiTheme="minorEastAsia" w:eastAsiaTheme="minorEastAsia" w:hAnsiTheme="minorEastAsia"/>
          <w:color w:val="000000"/>
          <w:sz w:val="24"/>
          <w:szCs w:val="24"/>
        </w:rPr>
        <w:t>因不可抗力导致基金管理人不能支付赎回款项。</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384D7B">
        <w:rPr>
          <w:rFonts w:asciiTheme="minorEastAsia" w:eastAsiaTheme="minorEastAsia" w:hAnsiTheme="minorEastAsia"/>
          <w:color w:val="000000"/>
          <w:sz w:val="24"/>
          <w:szCs w:val="24"/>
        </w:rPr>
        <w:t>发生基金合同规定的暂停基金资产估值情况时。</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384D7B">
        <w:rPr>
          <w:rFonts w:asciiTheme="minorEastAsia" w:eastAsiaTheme="minorEastAsia" w:hAnsiTheme="minorEastAsia"/>
          <w:color w:val="000000"/>
          <w:sz w:val="24"/>
          <w:szCs w:val="24"/>
        </w:rPr>
        <w:t>证券交易所交易时间非正常停市，导致基金管理人无法计算当日基金资产净值。</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384D7B">
        <w:rPr>
          <w:rFonts w:asciiTheme="minorEastAsia" w:eastAsiaTheme="minorEastAsia" w:hAnsiTheme="minorEastAsia"/>
          <w:color w:val="000000"/>
          <w:sz w:val="24"/>
          <w:szCs w:val="24"/>
        </w:rPr>
        <w:t>连续两个或两个以上开放日发生巨额赎回。</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384D7B">
        <w:rPr>
          <w:rFonts w:asciiTheme="minorEastAsia" w:eastAsiaTheme="minorEastAsia" w:hAnsiTheme="minorEastAsia"/>
          <w:color w:val="000000"/>
          <w:sz w:val="24"/>
          <w:szCs w:val="24"/>
        </w:rPr>
        <w:t>继续接受赎回可能会影响或损害现有基金份额持有人利益时。</w:t>
      </w:r>
    </w:p>
    <w:p w:rsidR="008A7B35" w:rsidRDefault="00C80F5B" w:rsidP="005F5E7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5F5E7E" w:rsidRPr="005F5E7E">
        <w:rPr>
          <w:rFonts w:asciiTheme="minorEastAsia" w:eastAsiaTheme="minorEastAsia" w:hAnsiTheme="minorEastAsia" w:hint="eastAsia"/>
          <w:color w:val="000000"/>
          <w:sz w:val="24"/>
          <w:szCs w:val="24"/>
        </w:rPr>
        <w:t>当特定资产占前一估值日基金资产净值50%以上时，经与基金托管人协商确认后，基金管理人应当采取延缓支付赎回款项或暂停接受基金申购赎回申请的措施</w:t>
      </w:r>
      <w:r w:rsidR="00384D7B">
        <w:rPr>
          <w:rFonts w:asciiTheme="minorEastAsia" w:eastAsiaTheme="minorEastAsia" w:hAnsiTheme="minorEastAsia"/>
          <w:color w:val="000000"/>
          <w:sz w:val="24"/>
          <w:szCs w:val="24"/>
        </w:rPr>
        <w:t>。</w:t>
      </w:r>
    </w:p>
    <w:p w:rsidR="008A7B35" w:rsidRDefault="00C80F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384D7B">
        <w:rPr>
          <w:rFonts w:asciiTheme="minorEastAsia" w:eastAsiaTheme="minorEastAsia" w:hAnsiTheme="minorEastAsia"/>
          <w:color w:val="000000"/>
          <w:sz w:val="24"/>
          <w:szCs w:val="24"/>
        </w:rPr>
        <w:t>法律法规规定或中国证监会认定的其他情形。</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发生上述情形（第</w:t>
      </w:r>
      <w:r w:rsidR="00C80F5B">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项除外）之一且基金管理人决定暂停接受基金份额持有人赎回申请或延缓支付赎回款项时，基金管理人应</w:t>
      </w:r>
      <w:r w:rsidR="00C80F5B">
        <w:rPr>
          <w:rFonts w:asciiTheme="minorEastAsia" w:eastAsiaTheme="minorEastAsia" w:hAnsiTheme="minorEastAsia" w:hint="eastAsia"/>
          <w:color w:val="000000"/>
          <w:sz w:val="24"/>
          <w:szCs w:val="24"/>
        </w:rPr>
        <w:t>在</w:t>
      </w:r>
      <w:r w:rsidR="00892E9E" w:rsidRPr="00FA4487">
        <w:rPr>
          <w:rFonts w:asciiTheme="minorEastAsia" w:eastAsiaTheme="minorEastAsia" w:hAnsiTheme="minorEastAsia" w:hint="eastAsia"/>
          <w:bCs/>
          <w:sz w:val="24"/>
        </w:rPr>
        <w:t>规定期限内在</w:t>
      </w:r>
      <w:r w:rsidR="00382642" w:rsidRPr="00FA4487">
        <w:rPr>
          <w:rFonts w:asciiTheme="minorEastAsia" w:eastAsiaTheme="minorEastAsia" w:hAnsiTheme="minorEastAsia" w:hint="eastAsia"/>
          <w:bCs/>
          <w:sz w:val="24"/>
        </w:rPr>
        <w:t>指定</w:t>
      </w:r>
      <w:r w:rsidR="00E06CDE" w:rsidRPr="00FA4487">
        <w:rPr>
          <w:rFonts w:asciiTheme="minorEastAsia" w:eastAsiaTheme="minorEastAsia" w:hAnsiTheme="minorEastAsia" w:hint="eastAsia"/>
          <w:bCs/>
          <w:sz w:val="24"/>
        </w:rPr>
        <w:t>媒介</w:t>
      </w:r>
      <w:r w:rsidR="00892E9E" w:rsidRPr="00FA4487">
        <w:rPr>
          <w:rFonts w:asciiTheme="minorEastAsia" w:eastAsiaTheme="minorEastAsia" w:hAnsiTheme="minorEastAsia" w:hint="eastAsia"/>
          <w:bCs/>
          <w:sz w:val="24"/>
        </w:rPr>
        <w:t>上刊登公告。</w:t>
      </w:r>
      <w:r w:rsidRPr="00412264">
        <w:rPr>
          <w:rFonts w:asciiTheme="minorEastAsia" w:eastAsiaTheme="minorEastAsia" w:hAnsiTheme="minorEastAsia"/>
          <w:color w:val="000000"/>
          <w:sz w:val="24"/>
          <w:szCs w:val="24"/>
        </w:rPr>
        <w:t>已确认的赎回申请，基金管理人应足额支付；</w:t>
      </w:r>
      <w:r>
        <w:rPr>
          <w:rFonts w:asciiTheme="minorEastAsia" w:eastAsiaTheme="minorEastAsia" w:hAnsiTheme="minorEastAsia"/>
          <w:color w:val="000000"/>
          <w:sz w:val="24"/>
          <w:szCs w:val="24"/>
        </w:rPr>
        <w:t>如暂时不能足额支付，未支付部分可延期支付，并以赎回申请日的基金份额净值为依据计算赎回金额。若出现上述第</w:t>
      </w:r>
      <w:r w:rsidR="00C80F5B">
        <w:rPr>
          <w:rFonts w:asciiTheme="minorEastAsia" w:eastAsiaTheme="minorEastAsia" w:hAnsiTheme="minorEastAsia" w:hint="eastAsia"/>
          <w:color w:val="000000"/>
          <w:sz w:val="24"/>
          <w:szCs w:val="24"/>
        </w:rPr>
        <w:t>（4）</w:t>
      </w:r>
      <w:r>
        <w:rPr>
          <w:rFonts w:asciiTheme="minorEastAsia" w:eastAsiaTheme="minorEastAsia" w:hAnsiTheme="minorEastAsia"/>
          <w:color w:val="000000"/>
          <w:sz w:val="24"/>
          <w:szCs w:val="24"/>
        </w:rPr>
        <w:t>项所述情形，按基金合同的相关条款处理。基金份额持有人在申请赎回时可事先选择将当日可能未获受理部分予以撤销。在暂停赎回的情况消除时，基金管理人应及时恢复赎回业务的办理，开放期相应顺延。</w:t>
      </w:r>
    </w:p>
    <w:p w:rsidR="005E2E75" w:rsidRDefault="005E2E75" w:rsidP="005E2E7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当本基金发生大额赎回情形时，基金管理人可以采用摆动定价机制以确保基金估值的公平性。具体处理原则与操作规范遵循相关法律法规以及监管部门、自律规则的规定。</w:t>
      </w:r>
    </w:p>
    <w:p w:rsidR="005E2E75" w:rsidRPr="005E2E75" w:rsidRDefault="005E2E75">
      <w:pPr>
        <w:spacing w:line="360" w:lineRule="auto"/>
        <w:ind w:firstLineChars="200" w:firstLine="480"/>
        <w:rPr>
          <w:rFonts w:asciiTheme="minorEastAsia" w:eastAsiaTheme="minorEastAsia" w:hAnsiTheme="minorEastAsia"/>
          <w:color w:val="000000"/>
          <w:sz w:val="24"/>
          <w:szCs w:val="24"/>
        </w:rPr>
      </w:pPr>
    </w:p>
    <w:p w:rsidR="008A7B35" w:rsidRDefault="00384D7B">
      <w:pPr>
        <w:pStyle w:val="2"/>
        <w:spacing w:line="560" w:lineRule="exact"/>
        <w:rPr>
          <w:rFonts w:asciiTheme="minorEastAsia" w:eastAsiaTheme="minorEastAsia" w:hAnsiTheme="minorEastAsia"/>
          <w:bCs w:val="0"/>
          <w:color w:val="000000"/>
          <w:sz w:val="24"/>
          <w:szCs w:val="24"/>
        </w:rPr>
      </w:pPr>
      <w:bookmarkStart w:id="5" w:name="_Toc275961399"/>
      <w:r>
        <w:rPr>
          <w:rFonts w:asciiTheme="minorEastAsia" w:eastAsiaTheme="minorEastAsia" w:hAnsiTheme="minorEastAsia" w:hint="eastAsia"/>
          <w:bCs w:val="0"/>
          <w:color w:val="000000"/>
          <w:sz w:val="24"/>
          <w:szCs w:val="24"/>
        </w:rPr>
        <w:t>5</w:t>
      </w:r>
      <w:r>
        <w:rPr>
          <w:rFonts w:asciiTheme="minorEastAsia" w:eastAsiaTheme="minorEastAsia" w:hAnsiTheme="minorEastAsia"/>
          <w:bCs w:val="0"/>
          <w:color w:val="000000"/>
          <w:sz w:val="24"/>
          <w:szCs w:val="24"/>
        </w:rPr>
        <w:t xml:space="preserve"> 日常转换业务</w:t>
      </w:r>
      <w:bookmarkEnd w:id="5"/>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5</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 xml:space="preserve"> 转换费率</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费用由转出基金的赎回费用加上转出与转入基金申购费用补差两部分构成,具体收取情况视每次转换时两只基金的申购费差异情况和转出基金的赎回费而定。基金转换费用由基金份额持有人承担，具体计算如下：</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基金转换申购补差费：按照转入基金与转出基金的申购费的差额收取补差费。转出基金净金额所对应的转出基金申购费低于转入基金的申购费的,补差费为转入基金的申购费和转出基金的申购费差额。转出基金净金额所对应的转出基金申购费高于转入基金的申购费的,补差费为零。</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（2）转出基金赎回费:按转出基金正常赎回时的赎回费率收取费用。</w:t>
      </w:r>
    </w:p>
    <w:p w:rsidR="008A7B35" w:rsidRPr="00A378E6" w:rsidRDefault="00384D7B">
      <w:pPr>
        <w:spacing w:line="560" w:lineRule="exact"/>
        <w:rPr>
          <w:rFonts w:asciiTheme="minorEastAsia" w:eastAsiaTheme="minorEastAsia" w:hAnsiTheme="minorEastAsia"/>
          <w:b/>
          <w:color w:val="000000"/>
          <w:sz w:val="24"/>
          <w:szCs w:val="24"/>
        </w:rPr>
      </w:pPr>
      <w:r w:rsidRPr="00A378E6">
        <w:rPr>
          <w:rFonts w:asciiTheme="minorEastAsia" w:eastAsiaTheme="minorEastAsia" w:hAnsiTheme="minorEastAsia" w:hint="eastAsia"/>
          <w:b/>
          <w:color w:val="000000"/>
          <w:sz w:val="24"/>
          <w:szCs w:val="24"/>
        </w:rPr>
        <w:t>5</w:t>
      </w:r>
      <w:r w:rsidRPr="00A378E6">
        <w:rPr>
          <w:rFonts w:asciiTheme="minorEastAsia" w:eastAsiaTheme="minorEastAsia" w:hAnsiTheme="minorEastAsia"/>
          <w:b/>
          <w:color w:val="000000"/>
          <w:sz w:val="24"/>
          <w:szCs w:val="24"/>
        </w:rPr>
        <w:t>.</w:t>
      </w:r>
      <w:r w:rsidRPr="00A378E6">
        <w:rPr>
          <w:rFonts w:asciiTheme="minorEastAsia" w:eastAsiaTheme="minorEastAsia" w:hAnsiTheme="minorEastAsia" w:hint="eastAsia"/>
          <w:b/>
          <w:color w:val="000000"/>
          <w:sz w:val="24"/>
          <w:szCs w:val="24"/>
        </w:rPr>
        <w:t>2</w:t>
      </w:r>
      <w:r w:rsidRPr="00A378E6">
        <w:rPr>
          <w:rFonts w:asciiTheme="minorEastAsia" w:eastAsiaTheme="minorEastAsia" w:hAnsiTheme="minorEastAsia"/>
          <w:b/>
          <w:color w:val="000000"/>
          <w:sz w:val="24"/>
          <w:szCs w:val="24"/>
        </w:rPr>
        <w:t xml:space="preserve"> 其他与转换相关的事项</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（1）基金转换份额的计算</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基金转换计算公式如下：</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sidRPr="00255964">
        <w:rPr>
          <w:rFonts w:asciiTheme="minorEastAsia" w:eastAsiaTheme="minorEastAsia" w:hAnsiTheme="minorEastAsia" w:hint="eastAsia"/>
          <w:color w:val="000000"/>
          <w:sz w:val="24"/>
          <w:szCs w:val="24"/>
        </w:rPr>
        <w:t>转出金额＝转出份额×转出基金当日基金份额净值</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转出基金赎回手续费＝转出份额×转出基金当日基金份额净值×转出基金赎回手续费率</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转入基金的申购费用（价外法）＝（转出金额－转出基金赎回手续费）×转入基金的申购费率/（1＋转入基金的申购费率）</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转出基金的申购费用（价外法）＝（转出金额－转出基金赎回手续费）×转出基金的申购费率/（1＋转出基金的申购费率）</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补差费＝转入基金的申购费用-转出基金的申购费用。</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转换费用＝转出基金赎回手续费＋补差费</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转入金额＝转出金额－转换费用</w:t>
      </w:r>
    </w:p>
    <w:p w:rsidR="00A378E6" w:rsidRPr="00F65AC0"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转入份额＝转入金额/转入基金当日基金份额净值</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例如：某基金份额持有人持有a基金550,000份基金份额</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一年后决定转换为b基金，假设转换当日转出基金份额净值是1.1364元，转入基金的份额净值是1.103元，申购费率为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对应赎回费率为0.0％，则可得到的转换份额为：</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转出金额＝550,000×1.1364＝625,020元</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转出基金赎回手续费＝550,000×1.1364×0.0％＝0元</w:t>
      </w:r>
    </w:p>
    <w:p w:rsidR="00A378E6" w:rsidRPr="00B0110F"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1.5%/(1+1.5%)</w:t>
      </w:r>
      <w:r w:rsidRPr="00F65AC0">
        <w:rPr>
          <w:rFonts w:asciiTheme="minorEastAsia" w:eastAsiaTheme="minorEastAsia" w:hAnsiTheme="minorEastAsia" w:hint="eastAsia"/>
          <w:color w:val="000000"/>
          <w:sz w:val="24"/>
          <w:szCs w:val="24"/>
        </w:rPr>
        <w:t>＝</w:t>
      </w:r>
      <w:r w:rsidRPr="00B0110F">
        <w:t xml:space="preserve"> </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5元</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1.2%/(1+1.2%)</w:t>
      </w:r>
      <w:r w:rsidRPr="00F65AC0">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Pr>
          <w:rFonts w:asciiTheme="minorEastAsia" w:eastAsiaTheme="minorEastAsia" w:hAnsiTheme="minorEastAsia"/>
          <w:color w:val="000000"/>
          <w:sz w:val="24"/>
          <w:szCs w:val="24"/>
        </w:rPr>
        <w:t>元</w:t>
      </w:r>
    </w:p>
    <w:p w:rsidR="00A378E6" w:rsidRPr="00B0110F" w:rsidRDefault="00A378E6" w:rsidP="00A378E6">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sidRPr="00F65AC0">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1,825.45</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转换费用＝0+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元</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转入金额＝625,020－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元</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转入份额＝</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/1.103＝</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即：某基金份额持有人持有550,000份a基金份额一年后决定转换为b基金，假设转换当日</w:t>
      </w:r>
      <w:r w:rsidR="00170254">
        <w:rPr>
          <w:rFonts w:asciiTheme="minorEastAsia" w:eastAsiaTheme="minorEastAsia" w:hAnsiTheme="minorEastAsia" w:hint="eastAsia"/>
          <w:color w:val="000000"/>
          <w:sz w:val="24"/>
          <w:szCs w:val="24"/>
        </w:rPr>
        <w:t>a</w:t>
      </w:r>
      <w:r>
        <w:rPr>
          <w:rFonts w:asciiTheme="minorEastAsia" w:eastAsiaTheme="minorEastAsia" w:hAnsiTheme="minorEastAsia"/>
          <w:color w:val="000000"/>
          <w:sz w:val="24"/>
          <w:szCs w:val="24"/>
        </w:rPr>
        <w:t>基金份额净值是1.1364元，转入基金的基金份额净值是1.103元，在a</w:t>
      </w:r>
      <w:r w:rsidR="00170254">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份额赎回费率为0.0％，a</w:t>
      </w:r>
      <w:r w:rsidR="00170254" w:rsidRPr="00170254">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、b</w:t>
      </w:r>
      <w:r w:rsidR="00170254" w:rsidRPr="00170254">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份额的申购费率为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％的情况下，则可得到b</w:t>
      </w:r>
      <w:r w:rsidR="00170254" w:rsidRPr="00170254">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的转换份额为</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（2）转换业务规则</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a.基金转换只能在同一销售机构进行，且办理基金转换业务的代理销售机构须同时具备拟转出基金及拟转入基金的合法授权代理资格，并开通了相应的基金转换业务。</w:t>
      </w:r>
    </w:p>
    <w:p w:rsidR="00A378E6" w:rsidRDefault="00A378E6" w:rsidP="00A378E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b.注册登记机构以收到有效转换申请的当天作为转换申请日（T日）。投资者转换基金成功的，注册登记机构在T+1日为投资者办理权益转换的注册登记手续，通常情况下,投资者可自T+2日（含该日）后向业务办理网点查询转换业务的确认情况，并有权转换或赎回该部分基金份额。</w:t>
      </w:r>
    </w:p>
    <w:p w:rsidR="008A7B35" w:rsidRPr="00A378E6" w:rsidRDefault="00A378E6" w:rsidP="00A378E6">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c.基金转换后，转入的基金份额的持有期将自转入的基金份额被确认之日起重新开始计算。</w:t>
      </w:r>
    </w:p>
    <w:p w:rsidR="008A7B35" w:rsidRDefault="00384D7B">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6</w:t>
      </w:r>
      <w:r>
        <w:rPr>
          <w:rFonts w:asciiTheme="minorEastAsia" w:eastAsiaTheme="minorEastAsia" w:hAnsiTheme="minorEastAsia"/>
          <w:bCs w:val="0"/>
          <w:color w:val="000000"/>
          <w:sz w:val="24"/>
          <w:szCs w:val="24"/>
        </w:rPr>
        <w:t xml:space="preserve"> 基金销售机构</w:t>
      </w:r>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 xml:space="preserve"> 场外销售机构</w:t>
      </w:r>
    </w:p>
    <w:p w:rsidR="008A7B35" w:rsidRDefault="00384D7B">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 xml:space="preserve"> 直销机构</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名称：金鹰基金管理有限公司</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注册地址：</w:t>
      </w:r>
      <w:r w:rsidR="00927AB8" w:rsidRPr="00927AB8">
        <w:rPr>
          <w:rFonts w:asciiTheme="minorEastAsia" w:eastAsiaTheme="minorEastAsia" w:hAnsiTheme="minorEastAsia" w:hint="eastAsia"/>
          <w:color w:val="000000"/>
          <w:sz w:val="24"/>
          <w:szCs w:val="24"/>
        </w:rPr>
        <w:t>广东省广州市南沙区横沥镇汇通二街2号3212房</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办公地址：广东省广州市天河区珠江东路越秀金融大厦30层</w:t>
      </w:r>
    </w:p>
    <w:p w:rsidR="00BD0C58" w:rsidRDefault="00BD0C5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法定代表人：</w:t>
      </w:r>
      <w:r w:rsidR="004107FB">
        <w:rPr>
          <w:rFonts w:asciiTheme="minorEastAsia" w:eastAsiaTheme="minorEastAsia" w:hAnsiTheme="minorEastAsia" w:hint="eastAsia"/>
          <w:color w:val="000000"/>
          <w:sz w:val="24"/>
          <w:szCs w:val="24"/>
        </w:rPr>
        <w:t>姚文强</w:t>
      </w:r>
    </w:p>
    <w:p w:rsidR="008A7B35" w:rsidRDefault="00611AA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联系人：蔡晓燕</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电话：</w:t>
      </w:r>
      <w:r w:rsidR="00611AA3">
        <w:rPr>
          <w:rFonts w:asciiTheme="minorEastAsia" w:eastAsiaTheme="minorEastAsia" w:hAnsiTheme="minorEastAsia"/>
          <w:color w:val="000000"/>
          <w:sz w:val="24"/>
          <w:szCs w:val="24"/>
        </w:rPr>
        <w:t>020-</w:t>
      </w:r>
      <w:r w:rsidR="000721EA" w:rsidRPr="000721EA">
        <w:rPr>
          <w:rFonts w:asciiTheme="minorEastAsia" w:eastAsiaTheme="minorEastAsia" w:hAnsiTheme="minorEastAsia"/>
          <w:color w:val="000000"/>
          <w:sz w:val="24"/>
          <w:szCs w:val="24"/>
        </w:rPr>
        <w:t>22825633</w:t>
      </w:r>
    </w:p>
    <w:p w:rsidR="008A7B35" w:rsidRDefault="003F4B9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客</w:t>
      </w:r>
      <w:r w:rsidR="00384D7B">
        <w:rPr>
          <w:rFonts w:asciiTheme="minorEastAsia" w:eastAsiaTheme="minorEastAsia" w:hAnsiTheme="minorEastAsia"/>
          <w:color w:val="000000"/>
          <w:sz w:val="24"/>
          <w:szCs w:val="24"/>
        </w:rPr>
        <w:t>服电话：4006-135-888</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网址：www.gefund.com.cn</w:t>
      </w:r>
    </w:p>
    <w:p w:rsidR="0077059A" w:rsidRDefault="0077059A">
      <w:pPr>
        <w:spacing w:line="560" w:lineRule="exact"/>
        <w:rPr>
          <w:rFonts w:asciiTheme="minorEastAsia" w:eastAsiaTheme="minorEastAsia" w:hAnsiTheme="minorEastAsia"/>
          <w:b/>
          <w:color w:val="000000"/>
          <w:sz w:val="24"/>
          <w:szCs w:val="24"/>
        </w:rPr>
      </w:pPr>
    </w:p>
    <w:p w:rsidR="00593665" w:rsidRPr="00593665" w:rsidRDefault="00384D7B" w:rsidP="00593665">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2</w:t>
      </w:r>
      <w:r>
        <w:rPr>
          <w:rFonts w:asciiTheme="minorEastAsia" w:eastAsiaTheme="minorEastAsia" w:hAnsiTheme="minorEastAsia"/>
          <w:b/>
          <w:color w:val="000000"/>
          <w:sz w:val="24"/>
          <w:szCs w:val="24"/>
        </w:rPr>
        <w:t xml:space="preserve"> 场外非直销机构</w:t>
      </w: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名称：兴业银行股份有限公司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客服电话：95561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网址：www.cib.com.cn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名称：中国邮政储蓄银行股份有限公司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客服电话：95580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网址：www.psbc.com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名称：宁波银行股份有限公司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客服电话：95574</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网址：www.nbcb.cn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名称：杭州银行股份有限公司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客服电话：95398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 xml:space="preserve">网址：www.hzbank.com.cn </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名称：江苏银行股份有限公司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客服电话：95319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网址：www.jsbchina.cn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名称：东莞农村商业银行股份有限公司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客服电话：0769-961122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网址：www.drcbank.com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名称：国泰海通证券股份有限公司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客服电话：95521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网址：www.gtht.com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名称：国信证券股份有限公司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客服电话：95536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网址：www.guosen.com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名称：中信证券股份有限公司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客服电话：95548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网址：www.cs.ecitic.com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名称：湘财证券股份有限公司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客服电话：95351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网址：www.xcsc.com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名称：万联证券股份有限公司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客服电话：95322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网址：www.wlzq.cn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名称：中信证券（山东）有限责任公司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客服电话：95548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网址：sd.citics.com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名称：东吴证券股份有限公司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客服电话：95330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网址：www.dwzq.com.cn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名称：东方证券股份有限公司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客服电话：95503</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网址：www.dfzq.com.cn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名称：中信证券华南股份有限公司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客服电话：95548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网址：www.gzs.com.cn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名称：国盛证券股份有限公司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客服电话：956080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网址：www.gszq.com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名称：华西证券股份有限公司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客服电话：95584</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网址：www.hx168.com.cn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名称：第一创业证券股份有限公司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客服电话：95358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网址：www.firstcapital.com.cn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名称：华林证券股份有限公司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客服电话：400-188-3888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网址：www.chinalin.com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名称：粤开证券股份有限公司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客服电话：95564</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网址：www.ykzq.com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名称：国金证券股份有限公司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客服电话：95310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网址：www.gjzq.com.cn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名称：华宝证券股份有限公司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客服电话：400-820-9898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网址：www.cnhbstock.com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名称：英大证券有限责任公司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客服电话：400-0188-688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网址：www.ydsc.com.cn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名称：华创证券有限责任公司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客服电话：4008-6666-89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网址：www.hczq.com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名称：中邮证券有限责任公司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客服电话：400-8888-005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网址：www.cnpsec.com.cn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名称：麦高证券有限责任公司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客服电话：400-618-3355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网址：www.wxzq.com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名称：联储证券股份有限公司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客服电话：956006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网址：www.lczq.com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名称：申港证券股份有限公司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客服电话：956029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网址：www.shgsec.com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名称：鼎信汇金（北京）投资管理有限公司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客服电话：400-158-5050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网址：www.tl50.com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color w:val="000000"/>
          <w:sz w:val="24"/>
          <w:szCs w:val="24"/>
        </w:rPr>
        <w:t xml:space="preserve"> </w:t>
      </w: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名称：广州经传多赢投资咨询有限公司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客服电话：400-9088-988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网址：www.jingzhuan.cn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名称：深圳市新兰德证券投资咨询有限公司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客服电话：400-166-1188转2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网址：www.new-rand.cn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名称：和讯信息科技有限公司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客服电话：4009200022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网址：licaike.hexun.com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名称：厦门市鑫鼎盛控股有限公司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客服电话：400-6533-789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网址：www.xds.com.cn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名称：众惠基金销售有限公司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客服电话：400-839-1818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网址：www.zhfundsales.com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名称：上海陆享基金销售有限公司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客服电话：400-168-1235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网址：www.luxxfund.com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名称：贵州省贵文文化基金销售有限公司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客服电话：0851-85407888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网址：www.gwcaifu.com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名称：青岛意才基金销售有限公司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客服电话：400-612-3303</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网址：www.yitsai.com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名称：博时财富基金销售有限公司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客服电话：400-610-5568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网址：www.boserawealth.com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名称：诺亚正行基金销售有限公司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客服电话：400-821-5399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网址：www.noah-fund.com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名称：深圳众禄基金销售股份有限公司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客服电话：4006-788-887</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网址：www.zlfund.cn/www.jjmmw.com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名称：上海天天基金销售有限公司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客服电话：95021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网址：www.1234567.com.cn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名称：蚂蚁（杭州）基金销售有限公司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客服电话：95188-8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网址：www.fund123.cn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名称：上海长量基金销售有限公司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客服电话：400-820-2899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网址：www.erichfund.com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名称：浙江同花顺基金销售有限公司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客服电话：952555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网址：www.5ifund.com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名称：上海利得基金销售有限公司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客服电话：400-032-5885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网址：www.leadfund.com.cn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名称：嘉实财富管理有限公司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客服电话：400-021-8850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网址：www.harvestwm.cn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名称：北京创金启富基金销售有限公司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客服电话：010-66154828-8032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网址：www.5irich.com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名称：泛华普益基金销售有限公司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客服电话：400-080-3388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网址：www.puyifund.com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名称：宜信普泽（北京）基金销售有限公司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客服电话：400-6099-200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网址：www.yixinfund.com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名称：南京苏宁基金销售公司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客服电话：95177</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网址：www.snjijin.com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名称：深圳腾元基金销售有限公司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客服电话：400-990-8601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网址：www.tenyuanfund.com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名称：通华财富（上海）基金销售有限公司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客服电话：400-101-9301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网址：www.tonghuafund.com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名称：华源证券股份有限公司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客服电话：95305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网址：www.jzsec.com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名称：北京汇成基金销售有限公司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客服电话：010-63158805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网址：www.hcfunds.com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名称：北京广源达信基金销售有限公司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客服电话：400-616-7531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网址：www.guangyuandaxin.com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名称：上海大智慧基金销售有限公司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客服电话：021-20292031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网址：www.wg.com.cn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名称：北京济安基金销售有限公司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客服电话：400-673-7010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网址：www.jianfortune.com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名称：上海万得基金销售有限公司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客服电话：400-799-1888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网址：www.520fund.com.cn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名称：上海国信嘉利基金销售有限公司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客服电话：4000216088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网址：www.gxjlcn.com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名称：上海联泰基金销售有限公司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客服电话：400-118-1188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网址：www.66liantai.com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名称：上海汇付基金销售有限公司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客服电话：021-34013999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网址：www.hotjijin.com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名称：北京坤元基金销售有限公司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客服电话：010-86340269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网址:www.kunyuanfund.com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名称：泰信财富基金销售有限公司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客服电话：400-004-8821</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网址：www.taixincf.com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名称：上海基煜基金销售有限公司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客服电话：400-820-5369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网址：www.jiyufund.com.cn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名称：上海中正达广基金销售有限公司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客服电话：400-6767-523</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网址：www.zzwealth.cn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名称：上海攀赢基金销售有限公司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客服电话：021-68889082</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网址：www.pytz.cn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名称：珠海盈米基金销售有限公司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客服电话：020-89629066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网址：www.yingmi.cn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名称：中证金牛（北京）基金销售有限公司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客服电话：4008-909-998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网址：www.jnlc.com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名称：京东肯特瑞基金销售有限公司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客服电话：95118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网址：www.kenterui.jd.com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名称：大连网金基金销售有限公司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客服电话：4000-899-100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网址：www.yibaijin.com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名称：上海证达通基金销售有限公司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客服电话：400-820-1515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网址：www.zhengtongfunds.com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名称：北京雪球基金销售有限公司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客服电话：400-159-9288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网址：danjuanfunds.com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color w:val="000000"/>
          <w:sz w:val="24"/>
          <w:szCs w:val="24"/>
        </w:rPr>
        <w:t xml:space="preserve"> </w:t>
      </w: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名称：深圳市前海排排网基金销售有限责任公司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客服电话：400-666-7388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网址：www.simuwang.com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名称：上海中欧财富基金销售有限公司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客服电话：400-100-2666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网址：www.zocaifu.com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名称：万家财富基金销售（天津）有限公司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客服电话：010-59013895</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网址：www.wanjiawealth.com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名称：上海华夏财富投资管理有限公司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客服电话：400-817-5666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网址：www.amcfortune.com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名称：中信期货有限公司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客服电话：400-990-8826</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网址：www.citicsf.com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名称：中衍期货有限公司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客服电话：4006881117</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网址：www.cdfco.com.cn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名称：东方财富证券股份有限公司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 xml:space="preserve">客服电话：95357 </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网址：www.18.cn</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名称：玄元保险代理有限公司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客服电话：400-080-8208</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网址：www.licaimofang.com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名称：阳光人寿保险股份有限公司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客服电话：95510</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网址：fund.sinosig.com</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5B718B" w:rsidRPr="005B718B" w:rsidRDefault="005B718B" w:rsidP="005B718B">
      <w:pPr>
        <w:numPr>
          <w:ilvl w:val="0"/>
          <w:numId w:val="20"/>
        </w:numPr>
        <w:spacing w:line="560" w:lineRule="exact"/>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名称：中国人寿保险股份有限公司</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客服电话：95519</w:t>
      </w:r>
    </w:p>
    <w:p w:rsidR="005B718B" w:rsidRPr="005B718B" w:rsidRDefault="005B718B" w:rsidP="005B718B">
      <w:pPr>
        <w:spacing w:line="560" w:lineRule="exact"/>
        <w:ind w:firstLineChars="200" w:firstLine="480"/>
        <w:rPr>
          <w:rFonts w:asciiTheme="minorEastAsia" w:eastAsiaTheme="minorEastAsia" w:hAnsiTheme="minorEastAsia"/>
          <w:color w:val="000000"/>
          <w:sz w:val="24"/>
          <w:szCs w:val="24"/>
        </w:rPr>
      </w:pPr>
      <w:r w:rsidRPr="005B718B">
        <w:rPr>
          <w:rFonts w:asciiTheme="minorEastAsia" w:eastAsiaTheme="minorEastAsia" w:hAnsiTheme="minorEastAsia" w:hint="eastAsia"/>
          <w:color w:val="000000"/>
          <w:sz w:val="24"/>
          <w:szCs w:val="24"/>
        </w:rPr>
        <w:t>网址：www.e-chinalife.com</w:t>
      </w:r>
    </w:p>
    <w:p w:rsidR="005B718B" w:rsidRDefault="005B718B" w:rsidP="005B718B">
      <w:pPr>
        <w:spacing w:line="560" w:lineRule="exact"/>
        <w:ind w:firstLineChars="200" w:firstLine="480"/>
        <w:rPr>
          <w:rFonts w:asciiTheme="minorEastAsia" w:eastAsiaTheme="minorEastAsia" w:hAnsiTheme="minorEastAsia"/>
          <w:color w:val="000000"/>
          <w:sz w:val="24"/>
          <w:szCs w:val="24"/>
        </w:rPr>
      </w:pPr>
    </w:p>
    <w:p w:rsidR="009B6B2C" w:rsidRDefault="009B6B2C" w:rsidP="00112084">
      <w:pPr>
        <w:spacing w:line="560" w:lineRule="exact"/>
        <w:ind w:firstLineChars="200" w:firstLine="480"/>
        <w:rPr>
          <w:rFonts w:asciiTheme="minorEastAsia" w:eastAsiaTheme="minorEastAsia" w:hAnsiTheme="minorEastAsia"/>
          <w:color w:val="000000"/>
          <w:sz w:val="24"/>
          <w:szCs w:val="24"/>
        </w:rPr>
      </w:pPr>
      <w:r w:rsidRPr="009B6B2C">
        <w:rPr>
          <w:rFonts w:asciiTheme="minorEastAsia" w:eastAsiaTheme="minorEastAsia" w:hAnsiTheme="minorEastAsia" w:hint="eastAsia"/>
          <w:color w:val="000000"/>
          <w:sz w:val="24"/>
          <w:szCs w:val="24"/>
        </w:rPr>
        <w:t>基金管理人可根据有关法律法规的要求，选择其他符合要求的机构销售本基金。代销机构信息，以基金管理人网站公示为准。</w:t>
      </w:r>
    </w:p>
    <w:p w:rsidR="009B6B2C" w:rsidRDefault="009B6B2C" w:rsidP="009B6B2C">
      <w:pPr>
        <w:spacing w:line="560" w:lineRule="exact"/>
        <w:rPr>
          <w:rFonts w:asciiTheme="minorEastAsia" w:eastAsiaTheme="minorEastAsia" w:hAnsiTheme="minorEastAsia"/>
          <w:color w:val="000000"/>
          <w:sz w:val="24"/>
          <w:szCs w:val="24"/>
        </w:rPr>
      </w:pPr>
    </w:p>
    <w:p w:rsidR="008A7B35" w:rsidRDefault="00384D7B" w:rsidP="009B6B2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6</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2</w:t>
      </w:r>
      <w:r>
        <w:rPr>
          <w:rFonts w:asciiTheme="minorEastAsia" w:eastAsiaTheme="minorEastAsia" w:hAnsiTheme="minorEastAsia"/>
          <w:b/>
          <w:color w:val="000000"/>
          <w:sz w:val="24"/>
          <w:szCs w:val="24"/>
        </w:rPr>
        <w:t xml:space="preserve"> 场内销售机构</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本基金无场内销售机构。</w:t>
      </w:r>
    </w:p>
    <w:p w:rsidR="008A7B35" w:rsidRDefault="00384D7B">
      <w:pPr>
        <w:pStyle w:val="2"/>
        <w:spacing w:line="560" w:lineRule="exact"/>
        <w:rPr>
          <w:rStyle w:val="af"/>
          <w:rFonts w:asciiTheme="minorEastAsia" w:eastAsiaTheme="minorEastAsia" w:hAnsiTheme="minorEastAsia"/>
          <w:color w:val="000000"/>
          <w:sz w:val="24"/>
          <w:szCs w:val="24"/>
        </w:rPr>
      </w:pPr>
      <w:bookmarkStart w:id="6" w:name="_Toc275961402"/>
      <w:r>
        <w:rPr>
          <w:rFonts w:asciiTheme="minorEastAsia" w:eastAsiaTheme="minorEastAsia" w:hAnsiTheme="minorEastAsia" w:hint="eastAsia"/>
          <w:bCs w:val="0"/>
          <w:color w:val="000000"/>
          <w:sz w:val="24"/>
          <w:szCs w:val="24"/>
        </w:rPr>
        <w:t>7</w:t>
      </w:r>
      <w:r>
        <w:rPr>
          <w:rFonts w:asciiTheme="minorEastAsia" w:eastAsiaTheme="minorEastAsia" w:hAnsiTheme="minorEastAsia"/>
          <w:bCs w:val="0"/>
          <w:color w:val="000000"/>
          <w:sz w:val="24"/>
          <w:szCs w:val="24"/>
        </w:rPr>
        <w:t xml:space="preserve"> </w:t>
      </w:r>
      <w:r w:rsidR="006E58D0">
        <w:rPr>
          <w:rFonts w:asciiTheme="minorEastAsia" w:eastAsiaTheme="minorEastAsia" w:hAnsiTheme="minorEastAsia"/>
          <w:bCs w:val="0"/>
          <w:color w:val="000000"/>
          <w:sz w:val="24"/>
          <w:szCs w:val="24"/>
        </w:rPr>
        <w:t>基金</w:t>
      </w:r>
      <w:r w:rsidR="00143611">
        <w:rPr>
          <w:rFonts w:asciiTheme="minorEastAsia" w:eastAsiaTheme="minorEastAsia" w:hAnsiTheme="minorEastAsia" w:hint="eastAsia"/>
          <w:bCs w:val="0"/>
          <w:color w:val="000000"/>
          <w:sz w:val="24"/>
          <w:szCs w:val="24"/>
        </w:rPr>
        <w:t>份额</w:t>
      </w:r>
      <w:r>
        <w:rPr>
          <w:rFonts w:asciiTheme="minorEastAsia" w:eastAsiaTheme="minorEastAsia" w:hAnsiTheme="minorEastAsia"/>
          <w:bCs w:val="0"/>
          <w:color w:val="000000"/>
          <w:sz w:val="24"/>
          <w:szCs w:val="24"/>
        </w:rPr>
        <w:t>净值</w:t>
      </w:r>
      <w:bookmarkEnd w:id="6"/>
      <w:r w:rsidR="00143611">
        <w:rPr>
          <w:rFonts w:asciiTheme="minorEastAsia" w:eastAsiaTheme="minorEastAsia" w:hAnsiTheme="minorEastAsia" w:hint="eastAsia"/>
          <w:bCs w:val="0"/>
          <w:color w:val="000000"/>
          <w:sz w:val="24"/>
          <w:szCs w:val="24"/>
        </w:rPr>
        <w:t>公告/基金收益公告的披露安排</w:t>
      </w:r>
    </w:p>
    <w:p w:rsidR="00095C05" w:rsidRDefault="00095C05" w:rsidP="00ED169C">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本基金基金份额净值的计算，保留到小数点后4位，小数点后第5位四舍五入，由此产生的收益或损失由基金财产承担。</w:t>
      </w:r>
    </w:p>
    <w:p w:rsidR="00ED169C" w:rsidRPr="00401CEE" w:rsidRDefault="00ED169C" w:rsidP="00ED169C">
      <w:pPr>
        <w:spacing w:line="360" w:lineRule="auto"/>
        <w:ind w:firstLineChars="200" w:firstLine="480"/>
        <w:rPr>
          <w:rFonts w:asciiTheme="minorEastAsia" w:eastAsiaTheme="minorEastAsia" w:hAnsiTheme="minorEastAsia"/>
          <w:color w:val="000000"/>
          <w:sz w:val="24"/>
          <w:szCs w:val="24"/>
        </w:rPr>
      </w:pPr>
      <w:r w:rsidRPr="00401CEE">
        <w:rPr>
          <w:rFonts w:asciiTheme="minorEastAsia" w:eastAsiaTheme="minorEastAsia" w:hAnsiTheme="minorEastAsia" w:hint="eastAsia"/>
          <w:color w:val="000000"/>
          <w:sz w:val="24"/>
          <w:szCs w:val="24"/>
        </w:rPr>
        <w:t>自基金合同生效后，在开始办理基金份额申购或者赎回前，</w:t>
      </w:r>
      <w:r w:rsidR="00892E9E">
        <w:rPr>
          <w:rFonts w:asciiTheme="minorEastAsia" w:eastAsiaTheme="minorEastAsia" w:hAnsiTheme="minorEastAsia" w:hint="eastAsia"/>
          <w:color w:val="000000"/>
          <w:sz w:val="24"/>
          <w:szCs w:val="24"/>
        </w:rPr>
        <w:t>基金管理人</w:t>
      </w:r>
      <w:r w:rsidRPr="00401CEE">
        <w:rPr>
          <w:rFonts w:asciiTheme="minorEastAsia" w:eastAsiaTheme="minorEastAsia" w:hAnsiTheme="minorEastAsia" w:hint="eastAsia"/>
          <w:color w:val="000000"/>
          <w:sz w:val="24"/>
          <w:szCs w:val="24"/>
        </w:rPr>
        <w:t>至少每周在指定网站披露一次基金份额净值和基金份额累计净值；</w:t>
      </w:r>
    </w:p>
    <w:p w:rsidR="00ED169C" w:rsidRPr="00401CEE" w:rsidRDefault="00892E9E" w:rsidP="00ED169C">
      <w:pPr>
        <w:spacing w:line="360" w:lineRule="auto"/>
        <w:ind w:firstLineChars="200" w:firstLine="480"/>
        <w:rPr>
          <w:rFonts w:asciiTheme="minorEastAsia" w:eastAsiaTheme="minorEastAsia" w:hAnsiTheme="minorEastAsia"/>
          <w:color w:val="000000"/>
          <w:sz w:val="24"/>
          <w:szCs w:val="24"/>
        </w:rPr>
      </w:pPr>
      <w:r w:rsidRPr="00FA4487">
        <w:rPr>
          <w:rFonts w:asciiTheme="minorEastAsia" w:eastAsiaTheme="minorEastAsia" w:hAnsiTheme="minorEastAsia" w:hint="eastAsia"/>
          <w:bCs/>
          <w:sz w:val="24"/>
        </w:rPr>
        <w:t>在开始办理基金份额申购或者赎回后，</w:t>
      </w:r>
      <w:r w:rsidR="00ED169C" w:rsidRPr="00401CEE">
        <w:rPr>
          <w:rFonts w:asciiTheme="minorEastAsia" w:eastAsiaTheme="minorEastAsia" w:hAnsiTheme="minorEastAsia" w:hint="eastAsia"/>
          <w:color w:val="000000"/>
          <w:sz w:val="24"/>
          <w:szCs w:val="24"/>
        </w:rPr>
        <w:t>基金管理人在不晚于每个开放日的次日，通过指定网站、基金销售机构网站或者营业网点</w:t>
      </w:r>
      <w:r>
        <w:rPr>
          <w:rFonts w:asciiTheme="minorEastAsia" w:eastAsiaTheme="minorEastAsia" w:hAnsiTheme="minorEastAsia" w:hint="eastAsia"/>
          <w:color w:val="000000"/>
          <w:sz w:val="24"/>
          <w:szCs w:val="24"/>
        </w:rPr>
        <w:t>，</w:t>
      </w:r>
      <w:r w:rsidR="00ED169C" w:rsidRPr="00401CEE">
        <w:rPr>
          <w:rFonts w:asciiTheme="minorEastAsia" w:eastAsiaTheme="minorEastAsia" w:hAnsiTheme="minorEastAsia" w:hint="eastAsia"/>
          <w:color w:val="000000"/>
          <w:sz w:val="24"/>
          <w:szCs w:val="24"/>
        </w:rPr>
        <w:t>披露开放日的基金份额净值和基金份额累计净值；</w:t>
      </w:r>
    </w:p>
    <w:p w:rsidR="008A7B35" w:rsidRDefault="00ED169C" w:rsidP="00ED169C">
      <w:pPr>
        <w:spacing w:line="360" w:lineRule="auto"/>
        <w:ind w:firstLineChars="200" w:firstLine="480"/>
        <w:rPr>
          <w:rFonts w:asciiTheme="minorEastAsia" w:eastAsiaTheme="minorEastAsia" w:hAnsiTheme="minorEastAsia"/>
          <w:color w:val="000000"/>
          <w:sz w:val="24"/>
          <w:szCs w:val="24"/>
        </w:rPr>
      </w:pPr>
      <w:r w:rsidRPr="00401CEE">
        <w:rPr>
          <w:rFonts w:asciiTheme="minorEastAsia" w:eastAsiaTheme="minorEastAsia" w:hAnsiTheme="minorEastAsia" w:hint="eastAsia"/>
          <w:color w:val="000000"/>
          <w:sz w:val="24"/>
          <w:szCs w:val="24"/>
        </w:rPr>
        <w:t>基金管理人在不晚于半年度和年度最后一日的次日，在指定网站披露半年度和年度最后一日的基金份额净值和基金份额累计净值。</w:t>
      </w:r>
    </w:p>
    <w:p w:rsidR="00095C05" w:rsidRPr="00095C05" w:rsidRDefault="00095C05" w:rsidP="00ED169C">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遇特殊情况，经</w:t>
      </w:r>
      <w:r>
        <w:rPr>
          <w:rFonts w:asciiTheme="minorEastAsia" w:eastAsiaTheme="minorEastAsia" w:hAnsiTheme="minorEastAsia" w:hint="eastAsia"/>
          <w:color w:val="000000"/>
          <w:sz w:val="24"/>
          <w:szCs w:val="24"/>
        </w:rPr>
        <w:t>履行适当程序</w:t>
      </w:r>
      <w:r>
        <w:rPr>
          <w:rFonts w:asciiTheme="minorEastAsia" w:eastAsiaTheme="minorEastAsia" w:hAnsiTheme="minorEastAsia"/>
          <w:color w:val="000000"/>
          <w:sz w:val="24"/>
          <w:szCs w:val="24"/>
        </w:rPr>
        <w:t>，可以适当延迟计算或公告。</w:t>
      </w:r>
    </w:p>
    <w:p w:rsidR="008A7B35" w:rsidRDefault="00384D7B">
      <w:pPr>
        <w:pStyle w:val="2"/>
        <w:spacing w:line="560" w:lineRule="exact"/>
        <w:rPr>
          <w:rFonts w:asciiTheme="minorEastAsia" w:eastAsiaTheme="minorEastAsia" w:hAnsiTheme="minorEastAsia"/>
          <w:bCs w:val="0"/>
          <w:color w:val="000000"/>
          <w:sz w:val="24"/>
          <w:szCs w:val="24"/>
        </w:rPr>
      </w:pPr>
      <w:bookmarkStart w:id="7" w:name="_Toc275961403"/>
      <w:r>
        <w:rPr>
          <w:rFonts w:asciiTheme="minorEastAsia" w:eastAsiaTheme="minorEastAsia" w:hAnsiTheme="minorEastAsia" w:hint="eastAsia"/>
          <w:bCs w:val="0"/>
          <w:color w:val="000000"/>
          <w:sz w:val="24"/>
          <w:szCs w:val="24"/>
        </w:rPr>
        <w:t xml:space="preserve">8 </w:t>
      </w:r>
      <w:r>
        <w:rPr>
          <w:rFonts w:asciiTheme="minorEastAsia" w:eastAsiaTheme="minorEastAsia" w:hAnsiTheme="minorEastAsia"/>
          <w:bCs w:val="0"/>
          <w:color w:val="000000"/>
          <w:sz w:val="24"/>
          <w:szCs w:val="24"/>
        </w:rPr>
        <w:t>其他需要提示的事项</w:t>
      </w:r>
      <w:bookmarkEnd w:id="7"/>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（1）本基金单一投资者持有的基金份额或者构成一致行动人的多个投资者持有的基金份额可达到或者超过50%，本基金不向个人投资者公开发售。</w:t>
      </w:r>
    </w:p>
    <w:p w:rsidR="008A7B35" w:rsidRDefault="00384D7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sidR="000C41A9">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）投资者可拨打本基金管理人的客户服务电话（4006-135-888）了解基金申购、赎回、转换转入、转托管等事宜，亦可通过本基金管理人网站（www.gefund.com.cn）了解基金销售相关事宜。</w:t>
      </w:r>
    </w:p>
    <w:p w:rsidR="00F233E9" w:rsidRPr="00F233E9" w:rsidRDefault="00F233E9">
      <w:pPr>
        <w:spacing w:line="360" w:lineRule="auto"/>
        <w:ind w:firstLineChars="200" w:firstLine="480"/>
        <w:rPr>
          <w:rFonts w:asciiTheme="minorEastAsia" w:eastAsiaTheme="minorEastAsia" w:hAnsiTheme="minorEastAsia"/>
          <w:color w:val="000000"/>
          <w:sz w:val="24"/>
          <w:szCs w:val="24"/>
        </w:rPr>
      </w:pPr>
    </w:p>
    <w:p w:rsidR="008A7B35" w:rsidRDefault="00F824BF" w:rsidP="0047155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w:t>
      </w:r>
      <w:r w:rsidR="005C03E8" w:rsidRPr="005C03E8">
        <w:rPr>
          <w:rFonts w:asciiTheme="minorEastAsia" w:eastAsiaTheme="minorEastAsia" w:hAnsiTheme="minorEastAsia" w:hint="eastAsia"/>
          <w:color w:val="000000"/>
          <w:sz w:val="24"/>
          <w:szCs w:val="24"/>
        </w:rPr>
        <w:t>本基金管理人承诺以诚实信用、勤勉尽责的原则管理和运用基金资产。本基金管理人不保证基金一定盈利，也不保证最低收益。中国证监会对基金募集的注册或核准，不代表对基金收益和风险的实质性判断和保证。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w:t>
      </w:r>
      <w:r w:rsidR="005C03E8" w:rsidRPr="005C03E8">
        <w:rPr>
          <w:rFonts w:asciiTheme="minorEastAsia" w:eastAsiaTheme="minorEastAsia" w:hAnsiTheme="minorEastAsia"/>
          <w:color w:val="000000"/>
          <w:sz w:val="24"/>
          <w:szCs w:val="24"/>
        </w:rPr>
        <w:t>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w:t>
      </w:r>
      <w:r w:rsidR="005C03E8" w:rsidRPr="005C03E8">
        <w:rPr>
          <w:rFonts w:asciiTheme="minorEastAsia" w:eastAsiaTheme="minorEastAsia" w:hAnsiTheme="minorEastAsia" w:hint="eastAsia"/>
          <w:color w:val="000000"/>
          <w:sz w:val="24"/>
          <w:szCs w:val="24"/>
        </w:rPr>
        <w:t>化引致的投资风险，由投资者自行负责。</w:t>
      </w:r>
    </w:p>
    <w:p w:rsidR="008A7B35" w:rsidRPr="0047155D" w:rsidRDefault="00384D7B" w:rsidP="0047155D">
      <w:pPr>
        <w:spacing w:line="360" w:lineRule="auto"/>
        <w:ind w:firstLine="480"/>
        <w:rPr>
          <w:rFonts w:asciiTheme="minorEastAsia" w:eastAsiaTheme="minorEastAsia" w:hAnsiTheme="minorEastAsia"/>
          <w:color w:val="000000"/>
          <w:sz w:val="24"/>
          <w:szCs w:val="24"/>
        </w:rPr>
      </w:pPr>
      <w:r w:rsidRPr="0047155D">
        <w:rPr>
          <w:rFonts w:asciiTheme="minorEastAsia" w:eastAsiaTheme="minorEastAsia" w:hAnsiTheme="minorEastAsia" w:hint="eastAsia"/>
          <w:color w:val="000000"/>
          <w:sz w:val="24"/>
          <w:szCs w:val="24"/>
        </w:rPr>
        <w:t>特此公告。</w:t>
      </w:r>
    </w:p>
    <w:p w:rsidR="008A7B35" w:rsidRDefault="008A7B35" w:rsidP="004B7D1B">
      <w:pPr>
        <w:spacing w:line="360" w:lineRule="auto"/>
        <w:ind w:firstLine="480"/>
        <w:rPr>
          <w:rFonts w:asciiTheme="minorEastAsia" w:eastAsiaTheme="minorEastAsia" w:hAnsiTheme="minorEastAsia"/>
          <w:sz w:val="24"/>
          <w:szCs w:val="24"/>
        </w:rPr>
      </w:pPr>
    </w:p>
    <w:p w:rsidR="001C7612" w:rsidRDefault="00384D7B" w:rsidP="00BD4FFF">
      <w:pPr>
        <w:spacing w:line="360" w:lineRule="auto"/>
        <w:ind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金鹰基金管理有限公司</w:t>
      </w:r>
    </w:p>
    <w:p w:rsidR="008A7B35" w:rsidRDefault="00970120" w:rsidP="00BD4FFF">
      <w:pPr>
        <w:spacing w:line="360" w:lineRule="auto"/>
        <w:ind w:firstLine="480"/>
        <w:jc w:val="right"/>
        <w:rPr>
          <w:rFonts w:asciiTheme="minorEastAsia" w:eastAsiaTheme="minorEastAsia" w:hAnsiTheme="minorEastAsia"/>
          <w:sz w:val="24"/>
          <w:szCs w:val="24"/>
        </w:rPr>
      </w:pPr>
      <w:r w:rsidRPr="00970120">
        <w:rPr>
          <w:rFonts w:asciiTheme="minorEastAsia" w:eastAsiaTheme="minorEastAsia" w:hAnsiTheme="minorEastAsia" w:hint="eastAsia"/>
          <w:sz w:val="24"/>
          <w:szCs w:val="24"/>
        </w:rPr>
        <w:t>20</w:t>
      </w:r>
      <w:r w:rsidRPr="00970120">
        <w:rPr>
          <w:rFonts w:asciiTheme="minorEastAsia" w:eastAsiaTheme="minorEastAsia" w:hAnsiTheme="minorEastAsia"/>
          <w:sz w:val="24"/>
          <w:szCs w:val="24"/>
        </w:rPr>
        <w:t>25</w:t>
      </w:r>
      <w:r w:rsidRPr="00970120">
        <w:rPr>
          <w:rFonts w:asciiTheme="minorEastAsia" w:eastAsiaTheme="minorEastAsia" w:hAnsiTheme="minorEastAsia" w:hint="eastAsia"/>
          <w:sz w:val="24"/>
          <w:szCs w:val="24"/>
        </w:rPr>
        <w:t>年</w:t>
      </w:r>
      <w:r w:rsidR="00AA26A9">
        <w:rPr>
          <w:rFonts w:asciiTheme="minorEastAsia" w:eastAsiaTheme="minorEastAsia" w:hAnsiTheme="minorEastAsia"/>
          <w:sz w:val="24"/>
          <w:szCs w:val="24"/>
        </w:rPr>
        <w:t>12</w:t>
      </w:r>
      <w:r w:rsidRPr="00970120">
        <w:rPr>
          <w:rFonts w:asciiTheme="minorEastAsia" w:eastAsiaTheme="minorEastAsia" w:hAnsiTheme="minorEastAsia" w:hint="eastAsia"/>
          <w:sz w:val="24"/>
          <w:szCs w:val="24"/>
        </w:rPr>
        <w:t>月</w:t>
      </w:r>
      <w:r w:rsidR="00AA26A9">
        <w:rPr>
          <w:rFonts w:asciiTheme="minorEastAsia" w:eastAsiaTheme="minorEastAsia" w:hAnsiTheme="minorEastAsia"/>
          <w:sz w:val="24"/>
          <w:szCs w:val="24"/>
        </w:rPr>
        <w:t>4</w:t>
      </w:r>
      <w:bookmarkStart w:id="8" w:name="_GoBack"/>
      <w:bookmarkEnd w:id="8"/>
      <w:r w:rsidRPr="00970120">
        <w:rPr>
          <w:rFonts w:asciiTheme="minorEastAsia" w:eastAsiaTheme="minorEastAsia" w:hAnsiTheme="minorEastAsia" w:hint="eastAsia"/>
          <w:sz w:val="24"/>
          <w:szCs w:val="24"/>
        </w:rPr>
        <w:t>日</w:t>
      </w:r>
    </w:p>
    <w:sectPr w:rsidR="008A7B35" w:rsidSect="007847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0CD" w:rsidRDefault="00F560CD" w:rsidP="00611AA3">
      <w:r>
        <w:separator/>
      </w:r>
    </w:p>
  </w:endnote>
  <w:endnote w:type="continuationSeparator" w:id="0">
    <w:p w:rsidR="00F560CD" w:rsidRDefault="00F560CD" w:rsidP="00611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0CD" w:rsidRDefault="00F560CD" w:rsidP="00611AA3">
      <w:r>
        <w:separator/>
      </w:r>
    </w:p>
  </w:footnote>
  <w:footnote w:type="continuationSeparator" w:id="0">
    <w:p w:rsidR="00F560CD" w:rsidRDefault="00F560CD" w:rsidP="00611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B21"/>
    <w:multiLevelType w:val="hybridMultilevel"/>
    <w:tmpl w:val="80B0478E"/>
    <w:lvl w:ilvl="0" w:tplc="29CC0672">
      <w:start w:val="1"/>
      <w:numFmt w:val="decimal"/>
      <w:lvlText w:val="（%1）"/>
      <w:lvlJc w:val="left"/>
      <w:pPr>
        <w:ind w:left="7910" w:hanging="420"/>
      </w:pPr>
      <w:rPr>
        <w:rFonts w:hint="default"/>
        <w:b w:val="0"/>
      </w:rPr>
    </w:lvl>
    <w:lvl w:ilvl="1" w:tplc="04090019" w:tentative="1">
      <w:start w:val="1"/>
      <w:numFmt w:val="lowerLetter"/>
      <w:lvlText w:val="%2)"/>
      <w:lvlJc w:val="left"/>
      <w:pPr>
        <w:ind w:left="8330" w:hanging="420"/>
      </w:pPr>
    </w:lvl>
    <w:lvl w:ilvl="2" w:tplc="0409001B" w:tentative="1">
      <w:start w:val="1"/>
      <w:numFmt w:val="lowerRoman"/>
      <w:lvlText w:val="%3."/>
      <w:lvlJc w:val="right"/>
      <w:pPr>
        <w:ind w:left="8750" w:hanging="420"/>
      </w:pPr>
    </w:lvl>
    <w:lvl w:ilvl="3" w:tplc="0409000F" w:tentative="1">
      <w:start w:val="1"/>
      <w:numFmt w:val="decimal"/>
      <w:lvlText w:val="%4."/>
      <w:lvlJc w:val="left"/>
      <w:pPr>
        <w:ind w:left="9170" w:hanging="420"/>
      </w:pPr>
    </w:lvl>
    <w:lvl w:ilvl="4" w:tplc="04090019" w:tentative="1">
      <w:start w:val="1"/>
      <w:numFmt w:val="lowerLetter"/>
      <w:lvlText w:val="%5)"/>
      <w:lvlJc w:val="left"/>
      <w:pPr>
        <w:ind w:left="9590" w:hanging="420"/>
      </w:pPr>
    </w:lvl>
    <w:lvl w:ilvl="5" w:tplc="0409001B" w:tentative="1">
      <w:start w:val="1"/>
      <w:numFmt w:val="lowerRoman"/>
      <w:lvlText w:val="%6."/>
      <w:lvlJc w:val="right"/>
      <w:pPr>
        <w:ind w:left="10010" w:hanging="420"/>
      </w:pPr>
    </w:lvl>
    <w:lvl w:ilvl="6" w:tplc="0409000F" w:tentative="1">
      <w:start w:val="1"/>
      <w:numFmt w:val="decimal"/>
      <w:lvlText w:val="%7."/>
      <w:lvlJc w:val="left"/>
      <w:pPr>
        <w:ind w:left="10430" w:hanging="420"/>
      </w:pPr>
    </w:lvl>
    <w:lvl w:ilvl="7" w:tplc="04090019" w:tentative="1">
      <w:start w:val="1"/>
      <w:numFmt w:val="lowerLetter"/>
      <w:lvlText w:val="%8)"/>
      <w:lvlJc w:val="left"/>
      <w:pPr>
        <w:ind w:left="10850" w:hanging="420"/>
      </w:pPr>
    </w:lvl>
    <w:lvl w:ilvl="8" w:tplc="0409001B" w:tentative="1">
      <w:start w:val="1"/>
      <w:numFmt w:val="lowerRoman"/>
      <w:lvlText w:val="%9."/>
      <w:lvlJc w:val="right"/>
      <w:pPr>
        <w:ind w:left="11270" w:hanging="420"/>
      </w:pPr>
    </w:lvl>
  </w:abstractNum>
  <w:abstractNum w:abstractNumId="1">
    <w:nsid w:val="16E91308"/>
    <w:multiLevelType w:val="hybridMultilevel"/>
    <w:tmpl w:val="AD12F8D4"/>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5D7B18"/>
    <w:multiLevelType w:val="hybridMultilevel"/>
    <w:tmpl w:val="1C8EC164"/>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1934C1"/>
    <w:multiLevelType w:val="hybridMultilevel"/>
    <w:tmpl w:val="09C0826C"/>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A9E3929"/>
    <w:multiLevelType w:val="hybridMultilevel"/>
    <w:tmpl w:val="26001230"/>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D1F62"/>
    <w:multiLevelType w:val="hybridMultilevel"/>
    <w:tmpl w:val="458809A0"/>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20942A9"/>
    <w:multiLevelType w:val="hybridMultilevel"/>
    <w:tmpl w:val="2ECA7C40"/>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3061BB0"/>
    <w:multiLevelType w:val="hybridMultilevel"/>
    <w:tmpl w:val="0694B2FC"/>
    <w:lvl w:ilvl="0" w:tplc="9DB0D95A">
      <w:start w:val="1"/>
      <w:numFmt w:val="decimal"/>
      <w:suff w:val="space"/>
      <w:lvlText w:val="（%1）"/>
      <w:lvlJc w:val="left"/>
      <w:pPr>
        <w:ind w:left="4252" w:hanging="1134"/>
      </w:pPr>
      <w:rPr>
        <w:rFonts w:hint="default"/>
        <w:b w:val="0"/>
      </w:rPr>
    </w:lvl>
    <w:lvl w:ilvl="1" w:tplc="04090019" w:tentative="1">
      <w:start w:val="1"/>
      <w:numFmt w:val="lowerLetter"/>
      <w:lvlText w:val="%2)"/>
      <w:lvlJc w:val="left"/>
      <w:pPr>
        <w:ind w:left="3958" w:hanging="420"/>
      </w:pPr>
    </w:lvl>
    <w:lvl w:ilvl="2" w:tplc="0409001B" w:tentative="1">
      <w:start w:val="1"/>
      <w:numFmt w:val="lowerRoman"/>
      <w:lvlText w:val="%3."/>
      <w:lvlJc w:val="right"/>
      <w:pPr>
        <w:ind w:left="4378" w:hanging="420"/>
      </w:pPr>
    </w:lvl>
    <w:lvl w:ilvl="3" w:tplc="0409000F" w:tentative="1">
      <w:start w:val="1"/>
      <w:numFmt w:val="decimal"/>
      <w:lvlText w:val="%4."/>
      <w:lvlJc w:val="left"/>
      <w:pPr>
        <w:ind w:left="4798" w:hanging="420"/>
      </w:pPr>
    </w:lvl>
    <w:lvl w:ilvl="4" w:tplc="04090019" w:tentative="1">
      <w:start w:val="1"/>
      <w:numFmt w:val="lowerLetter"/>
      <w:lvlText w:val="%5)"/>
      <w:lvlJc w:val="left"/>
      <w:pPr>
        <w:ind w:left="5218" w:hanging="420"/>
      </w:pPr>
    </w:lvl>
    <w:lvl w:ilvl="5" w:tplc="0409001B" w:tentative="1">
      <w:start w:val="1"/>
      <w:numFmt w:val="lowerRoman"/>
      <w:lvlText w:val="%6."/>
      <w:lvlJc w:val="right"/>
      <w:pPr>
        <w:ind w:left="5638" w:hanging="420"/>
      </w:pPr>
    </w:lvl>
    <w:lvl w:ilvl="6" w:tplc="0409000F" w:tentative="1">
      <w:start w:val="1"/>
      <w:numFmt w:val="decimal"/>
      <w:lvlText w:val="%7."/>
      <w:lvlJc w:val="left"/>
      <w:pPr>
        <w:ind w:left="6058" w:hanging="420"/>
      </w:pPr>
    </w:lvl>
    <w:lvl w:ilvl="7" w:tplc="04090019" w:tentative="1">
      <w:start w:val="1"/>
      <w:numFmt w:val="lowerLetter"/>
      <w:lvlText w:val="%8)"/>
      <w:lvlJc w:val="left"/>
      <w:pPr>
        <w:ind w:left="6478" w:hanging="420"/>
      </w:pPr>
    </w:lvl>
    <w:lvl w:ilvl="8" w:tplc="0409001B" w:tentative="1">
      <w:start w:val="1"/>
      <w:numFmt w:val="lowerRoman"/>
      <w:lvlText w:val="%9."/>
      <w:lvlJc w:val="right"/>
      <w:pPr>
        <w:ind w:left="6898" w:hanging="420"/>
      </w:pPr>
    </w:lvl>
  </w:abstractNum>
  <w:abstractNum w:abstractNumId="8">
    <w:nsid w:val="3A3C3FE4"/>
    <w:multiLevelType w:val="hybridMultilevel"/>
    <w:tmpl w:val="842E55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1520E0"/>
    <w:multiLevelType w:val="hybridMultilevel"/>
    <w:tmpl w:val="EB8C029A"/>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B474B7"/>
    <w:multiLevelType w:val="hybridMultilevel"/>
    <w:tmpl w:val="E6AE3502"/>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BF0814"/>
    <w:multiLevelType w:val="hybridMultilevel"/>
    <w:tmpl w:val="E64228CC"/>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35D367F"/>
    <w:multiLevelType w:val="hybridMultilevel"/>
    <w:tmpl w:val="D7C2AA7A"/>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CF3001"/>
    <w:multiLevelType w:val="hybridMultilevel"/>
    <w:tmpl w:val="84263708"/>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77A7A56"/>
    <w:multiLevelType w:val="hybridMultilevel"/>
    <w:tmpl w:val="AF90BE84"/>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FBD00E5"/>
    <w:multiLevelType w:val="hybridMultilevel"/>
    <w:tmpl w:val="0BDEBD1E"/>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0AF35B2"/>
    <w:multiLevelType w:val="hybridMultilevel"/>
    <w:tmpl w:val="570AAE46"/>
    <w:lvl w:ilvl="0" w:tplc="29CC0672">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A9D3848"/>
    <w:multiLevelType w:val="hybridMultilevel"/>
    <w:tmpl w:val="27543862"/>
    <w:lvl w:ilvl="0" w:tplc="D898BE82">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F0D645C"/>
    <w:multiLevelType w:val="hybridMultilevel"/>
    <w:tmpl w:val="B30A09FA"/>
    <w:lvl w:ilvl="0" w:tplc="89D8CE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42589C"/>
    <w:multiLevelType w:val="hybridMultilevel"/>
    <w:tmpl w:val="5F629F00"/>
    <w:lvl w:ilvl="0" w:tplc="89D8CE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7"/>
  </w:num>
  <w:num w:numId="3">
    <w:abstractNumId w:val="7"/>
  </w:num>
  <w:num w:numId="4">
    <w:abstractNumId w:val="8"/>
  </w:num>
  <w:num w:numId="5">
    <w:abstractNumId w:val="19"/>
  </w:num>
  <w:num w:numId="6">
    <w:abstractNumId w:val="0"/>
  </w:num>
  <w:num w:numId="7">
    <w:abstractNumId w:val="4"/>
  </w:num>
  <w:num w:numId="8">
    <w:abstractNumId w:val="12"/>
  </w:num>
  <w:num w:numId="9">
    <w:abstractNumId w:val="10"/>
  </w:num>
  <w:num w:numId="10">
    <w:abstractNumId w:val="9"/>
  </w:num>
  <w:num w:numId="11">
    <w:abstractNumId w:val="2"/>
  </w:num>
  <w:num w:numId="12">
    <w:abstractNumId w:val="11"/>
  </w:num>
  <w:num w:numId="13">
    <w:abstractNumId w:val="6"/>
  </w:num>
  <w:num w:numId="14">
    <w:abstractNumId w:val="16"/>
  </w:num>
  <w:num w:numId="15">
    <w:abstractNumId w:val="15"/>
  </w:num>
  <w:num w:numId="16">
    <w:abstractNumId w:val="3"/>
  </w:num>
  <w:num w:numId="17">
    <w:abstractNumId w:val="13"/>
  </w:num>
  <w:num w:numId="18">
    <w:abstractNumId w:val="1"/>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3D"/>
    <w:rsid w:val="00001A9C"/>
    <w:rsid w:val="00011C60"/>
    <w:rsid w:val="00017A26"/>
    <w:rsid w:val="00023A51"/>
    <w:rsid w:val="000348D8"/>
    <w:rsid w:val="00037639"/>
    <w:rsid w:val="00041353"/>
    <w:rsid w:val="0004251D"/>
    <w:rsid w:val="00043AEE"/>
    <w:rsid w:val="000520B1"/>
    <w:rsid w:val="0005402B"/>
    <w:rsid w:val="000721EA"/>
    <w:rsid w:val="000864EA"/>
    <w:rsid w:val="000914FE"/>
    <w:rsid w:val="00092517"/>
    <w:rsid w:val="00095C05"/>
    <w:rsid w:val="000A602B"/>
    <w:rsid w:val="000B693A"/>
    <w:rsid w:val="000C2B29"/>
    <w:rsid w:val="000C41A9"/>
    <w:rsid w:val="000E25A0"/>
    <w:rsid w:val="000F1ED6"/>
    <w:rsid w:val="000F2BA6"/>
    <w:rsid w:val="000F2DEE"/>
    <w:rsid w:val="000F56BF"/>
    <w:rsid w:val="001102C0"/>
    <w:rsid w:val="00112084"/>
    <w:rsid w:val="00122706"/>
    <w:rsid w:val="00123E64"/>
    <w:rsid w:val="00124B88"/>
    <w:rsid w:val="00137FCA"/>
    <w:rsid w:val="00143611"/>
    <w:rsid w:val="001458AA"/>
    <w:rsid w:val="00152AD6"/>
    <w:rsid w:val="00152B7A"/>
    <w:rsid w:val="001569C1"/>
    <w:rsid w:val="00166A9B"/>
    <w:rsid w:val="00170254"/>
    <w:rsid w:val="0017112A"/>
    <w:rsid w:val="00172A27"/>
    <w:rsid w:val="00176185"/>
    <w:rsid w:val="0019121A"/>
    <w:rsid w:val="001A4FEC"/>
    <w:rsid w:val="001B362B"/>
    <w:rsid w:val="001C7612"/>
    <w:rsid w:val="001D0852"/>
    <w:rsid w:val="001D24D4"/>
    <w:rsid w:val="001E1931"/>
    <w:rsid w:val="001E3714"/>
    <w:rsid w:val="001E5464"/>
    <w:rsid w:val="001F6247"/>
    <w:rsid w:val="001F6B9B"/>
    <w:rsid w:val="00205AF1"/>
    <w:rsid w:val="00207238"/>
    <w:rsid w:val="00215C39"/>
    <w:rsid w:val="00224357"/>
    <w:rsid w:val="002304B9"/>
    <w:rsid w:val="00242D8F"/>
    <w:rsid w:val="002509E8"/>
    <w:rsid w:val="002520E1"/>
    <w:rsid w:val="00255FAF"/>
    <w:rsid w:val="00267A58"/>
    <w:rsid w:val="00280AA3"/>
    <w:rsid w:val="00281BD5"/>
    <w:rsid w:val="00292A2C"/>
    <w:rsid w:val="00296F25"/>
    <w:rsid w:val="002A2A85"/>
    <w:rsid w:val="002B6AB6"/>
    <w:rsid w:val="002D4E4E"/>
    <w:rsid w:val="002E30B0"/>
    <w:rsid w:val="002E76DF"/>
    <w:rsid w:val="002F24C1"/>
    <w:rsid w:val="00302AC7"/>
    <w:rsid w:val="00325760"/>
    <w:rsid w:val="00335100"/>
    <w:rsid w:val="00337F2E"/>
    <w:rsid w:val="00347376"/>
    <w:rsid w:val="00347C5C"/>
    <w:rsid w:val="003633C0"/>
    <w:rsid w:val="003642F6"/>
    <w:rsid w:val="00376C12"/>
    <w:rsid w:val="003814A2"/>
    <w:rsid w:val="00382642"/>
    <w:rsid w:val="00384D7B"/>
    <w:rsid w:val="003902C4"/>
    <w:rsid w:val="00395996"/>
    <w:rsid w:val="003A6C83"/>
    <w:rsid w:val="003B2571"/>
    <w:rsid w:val="003B346B"/>
    <w:rsid w:val="003D253E"/>
    <w:rsid w:val="003E7153"/>
    <w:rsid w:val="003E72F3"/>
    <w:rsid w:val="003F4B95"/>
    <w:rsid w:val="00401CEE"/>
    <w:rsid w:val="004107FB"/>
    <w:rsid w:val="00411469"/>
    <w:rsid w:val="00412264"/>
    <w:rsid w:val="00412DE1"/>
    <w:rsid w:val="00415A69"/>
    <w:rsid w:val="00416291"/>
    <w:rsid w:val="004219F3"/>
    <w:rsid w:val="00425272"/>
    <w:rsid w:val="00427551"/>
    <w:rsid w:val="004366CD"/>
    <w:rsid w:val="00462584"/>
    <w:rsid w:val="004662BA"/>
    <w:rsid w:val="00470969"/>
    <w:rsid w:val="0047155D"/>
    <w:rsid w:val="0047298B"/>
    <w:rsid w:val="0047299D"/>
    <w:rsid w:val="00492898"/>
    <w:rsid w:val="00495D39"/>
    <w:rsid w:val="004966BA"/>
    <w:rsid w:val="004A20C9"/>
    <w:rsid w:val="004A5402"/>
    <w:rsid w:val="004B0FD6"/>
    <w:rsid w:val="004B1136"/>
    <w:rsid w:val="004B7D1B"/>
    <w:rsid w:val="004D1E70"/>
    <w:rsid w:val="004D290A"/>
    <w:rsid w:val="004E2F24"/>
    <w:rsid w:val="004E5A85"/>
    <w:rsid w:val="004F1CC1"/>
    <w:rsid w:val="004F3E67"/>
    <w:rsid w:val="005118AF"/>
    <w:rsid w:val="005350ED"/>
    <w:rsid w:val="0054597D"/>
    <w:rsid w:val="00546C9E"/>
    <w:rsid w:val="00547A94"/>
    <w:rsid w:val="00562727"/>
    <w:rsid w:val="00573F08"/>
    <w:rsid w:val="0058263E"/>
    <w:rsid w:val="00591340"/>
    <w:rsid w:val="005921D8"/>
    <w:rsid w:val="00592D79"/>
    <w:rsid w:val="00593665"/>
    <w:rsid w:val="0059573C"/>
    <w:rsid w:val="0059628C"/>
    <w:rsid w:val="005A04FB"/>
    <w:rsid w:val="005A2A42"/>
    <w:rsid w:val="005A40E7"/>
    <w:rsid w:val="005A6FA1"/>
    <w:rsid w:val="005B3DDE"/>
    <w:rsid w:val="005B4979"/>
    <w:rsid w:val="005B718B"/>
    <w:rsid w:val="005C03E8"/>
    <w:rsid w:val="005C6365"/>
    <w:rsid w:val="005C7221"/>
    <w:rsid w:val="005E21DB"/>
    <w:rsid w:val="005E2E75"/>
    <w:rsid w:val="005E5987"/>
    <w:rsid w:val="005E7139"/>
    <w:rsid w:val="005F2262"/>
    <w:rsid w:val="005F5E7E"/>
    <w:rsid w:val="00611AA3"/>
    <w:rsid w:val="00622A72"/>
    <w:rsid w:val="006279F3"/>
    <w:rsid w:val="006404E5"/>
    <w:rsid w:val="0064526A"/>
    <w:rsid w:val="00645504"/>
    <w:rsid w:val="00674C14"/>
    <w:rsid w:val="0068545C"/>
    <w:rsid w:val="0069308E"/>
    <w:rsid w:val="006B6F63"/>
    <w:rsid w:val="006B7710"/>
    <w:rsid w:val="006E58D0"/>
    <w:rsid w:val="006F2E2E"/>
    <w:rsid w:val="006F5D44"/>
    <w:rsid w:val="00720AF9"/>
    <w:rsid w:val="00730DEB"/>
    <w:rsid w:val="0074415C"/>
    <w:rsid w:val="00752A9C"/>
    <w:rsid w:val="007555BC"/>
    <w:rsid w:val="0077059A"/>
    <w:rsid w:val="00773325"/>
    <w:rsid w:val="007740AA"/>
    <w:rsid w:val="007759B5"/>
    <w:rsid w:val="00777EC3"/>
    <w:rsid w:val="007847B8"/>
    <w:rsid w:val="007931A8"/>
    <w:rsid w:val="007A3D9D"/>
    <w:rsid w:val="007B2398"/>
    <w:rsid w:val="007C70E2"/>
    <w:rsid w:val="007D0009"/>
    <w:rsid w:val="007D10CA"/>
    <w:rsid w:val="007D2F90"/>
    <w:rsid w:val="007F3D4C"/>
    <w:rsid w:val="008036A7"/>
    <w:rsid w:val="008048C7"/>
    <w:rsid w:val="0082483B"/>
    <w:rsid w:val="008313A9"/>
    <w:rsid w:val="0083392A"/>
    <w:rsid w:val="00853F6F"/>
    <w:rsid w:val="00860340"/>
    <w:rsid w:val="00873727"/>
    <w:rsid w:val="00877422"/>
    <w:rsid w:val="0088405F"/>
    <w:rsid w:val="00885086"/>
    <w:rsid w:val="0089140E"/>
    <w:rsid w:val="00891A84"/>
    <w:rsid w:val="00892E9E"/>
    <w:rsid w:val="008952C6"/>
    <w:rsid w:val="00895CA3"/>
    <w:rsid w:val="008A7A91"/>
    <w:rsid w:val="008A7B35"/>
    <w:rsid w:val="008C37FE"/>
    <w:rsid w:val="008D1790"/>
    <w:rsid w:val="008D59C4"/>
    <w:rsid w:val="008E1998"/>
    <w:rsid w:val="008E273C"/>
    <w:rsid w:val="008E57CF"/>
    <w:rsid w:val="008F76B2"/>
    <w:rsid w:val="009018FC"/>
    <w:rsid w:val="00923E00"/>
    <w:rsid w:val="00924071"/>
    <w:rsid w:val="00927AB8"/>
    <w:rsid w:val="00927AF9"/>
    <w:rsid w:val="00935C2F"/>
    <w:rsid w:val="00950E20"/>
    <w:rsid w:val="009533B0"/>
    <w:rsid w:val="00956B0F"/>
    <w:rsid w:val="00970120"/>
    <w:rsid w:val="00972055"/>
    <w:rsid w:val="00973B79"/>
    <w:rsid w:val="0097530D"/>
    <w:rsid w:val="00976DEA"/>
    <w:rsid w:val="00994773"/>
    <w:rsid w:val="009A0FE2"/>
    <w:rsid w:val="009B6B2C"/>
    <w:rsid w:val="009D7194"/>
    <w:rsid w:val="009E190F"/>
    <w:rsid w:val="009E2595"/>
    <w:rsid w:val="009F1EA1"/>
    <w:rsid w:val="00A019B0"/>
    <w:rsid w:val="00A25351"/>
    <w:rsid w:val="00A26FD2"/>
    <w:rsid w:val="00A378E6"/>
    <w:rsid w:val="00A37C8F"/>
    <w:rsid w:val="00A56DF0"/>
    <w:rsid w:val="00A62667"/>
    <w:rsid w:val="00A628E2"/>
    <w:rsid w:val="00A62BEE"/>
    <w:rsid w:val="00A77D03"/>
    <w:rsid w:val="00A80460"/>
    <w:rsid w:val="00A914B9"/>
    <w:rsid w:val="00A95423"/>
    <w:rsid w:val="00AA26A9"/>
    <w:rsid w:val="00AA43BB"/>
    <w:rsid w:val="00AB1295"/>
    <w:rsid w:val="00AB233D"/>
    <w:rsid w:val="00AB49F5"/>
    <w:rsid w:val="00AC20FC"/>
    <w:rsid w:val="00AC6E8D"/>
    <w:rsid w:val="00AD513A"/>
    <w:rsid w:val="00AE1393"/>
    <w:rsid w:val="00AE5F6C"/>
    <w:rsid w:val="00B039D6"/>
    <w:rsid w:val="00B1456E"/>
    <w:rsid w:val="00B36F08"/>
    <w:rsid w:val="00B372D6"/>
    <w:rsid w:val="00B40B39"/>
    <w:rsid w:val="00B42A2D"/>
    <w:rsid w:val="00B5314F"/>
    <w:rsid w:val="00B56A91"/>
    <w:rsid w:val="00B719F1"/>
    <w:rsid w:val="00B77144"/>
    <w:rsid w:val="00B82E3A"/>
    <w:rsid w:val="00B9014E"/>
    <w:rsid w:val="00B90CAE"/>
    <w:rsid w:val="00B91E8A"/>
    <w:rsid w:val="00B93227"/>
    <w:rsid w:val="00B94893"/>
    <w:rsid w:val="00B955E4"/>
    <w:rsid w:val="00BA5009"/>
    <w:rsid w:val="00BB6A55"/>
    <w:rsid w:val="00BD0C58"/>
    <w:rsid w:val="00BD4FFF"/>
    <w:rsid w:val="00BD5F93"/>
    <w:rsid w:val="00BD63DE"/>
    <w:rsid w:val="00BE366C"/>
    <w:rsid w:val="00BF784E"/>
    <w:rsid w:val="00C11C49"/>
    <w:rsid w:val="00C163EE"/>
    <w:rsid w:val="00C207A4"/>
    <w:rsid w:val="00C26DEA"/>
    <w:rsid w:val="00C371FC"/>
    <w:rsid w:val="00C44D65"/>
    <w:rsid w:val="00C46067"/>
    <w:rsid w:val="00C50444"/>
    <w:rsid w:val="00C733C1"/>
    <w:rsid w:val="00C80F5B"/>
    <w:rsid w:val="00C859A7"/>
    <w:rsid w:val="00C93F44"/>
    <w:rsid w:val="00C959BD"/>
    <w:rsid w:val="00CA2948"/>
    <w:rsid w:val="00CB2497"/>
    <w:rsid w:val="00CC32FC"/>
    <w:rsid w:val="00CC7E4F"/>
    <w:rsid w:val="00CD0FDC"/>
    <w:rsid w:val="00CF234F"/>
    <w:rsid w:val="00D02293"/>
    <w:rsid w:val="00D11B87"/>
    <w:rsid w:val="00D128A9"/>
    <w:rsid w:val="00D33A12"/>
    <w:rsid w:val="00D52628"/>
    <w:rsid w:val="00D56C6E"/>
    <w:rsid w:val="00D610BB"/>
    <w:rsid w:val="00D64B1C"/>
    <w:rsid w:val="00D70CC1"/>
    <w:rsid w:val="00D7358E"/>
    <w:rsid w:val="00D76587"/>
    <w:rsid w:val="00D810DD"/>
    <w:rsid w:val="00D815C5"/>
    <w:rsid w:val="00DA62C3"/>
    <w:rsid w:val="00DA79B5"/>
    <w:rsid w:val="00DB7F57"/>
    <w:rsid w:val="00DC6552"/>
    <w:rsid w:val="00DD777B"/>
    <w:rsid w:val="00DE671D"/>
    <w:rsid w:val="00E038BD"/>
    <w:rsid w:val="00E03CFC"/>
    <w:rsid w:val="00E06CDE"/>
    <w:rsid w:val="00E07E1D"/>
    <w:rsid w:val="00E21FC0"/>
    <w:rsid w:val="00E3463E"/>
    <w:rsid w:val="00E44410"/>
    <w:rsid w:val="00E44E95"/>
    <w:rsid w:val="00E45E97"/>
    <w:rsid w:val="00E57E24"/>
    <w:rsid w:val="00E6474A"/>
    <w:rsid w:val="00E72A91"/>
    <w:rsid w:val="00E77012"/>
    <w:rsid w:val="00E84DCD"/>
    <w:rsid w:val="00EA2DB3"/>
    <w:rsid w:val="00EA6C24"/>
    <w:rsid w:val="00EB0C3F"/>
    <w:rsid w:val="00EB2FC2"/>
    <w:rsid w:val="00EC031E"/>
    <w:rsid w:val="00EC1313"/>
    <w:rsid w:val="00EC6088"/>
    <w:rsid w:val="00ED169C"/>
    <w:rsid w:val="00ED38A0"/>
    <w:rsid w:val="00EE3E08"/>
    <w:rsid w:val="00EE4694"/>
    <w:rsid w:val="00EE5969"/>
    <w:rsid w:val="00EE780B"/>
    <w:rsid w:val="00EF147F"/>
    <w:rsid w:val="00F00E10"/>
    <w:rsid w:val="00F059CD"/>
    <w:rsid w:val="00F233E9"/>
    <w:rsid w:val="00F24C95"/>
    <w:rsid w:val="00F46AF8"/>
    <w:rsid w:val="00F560CD"/>
    <w:rsid w:val="00F5660B"/>
    <w:rsid w:val="00F73DB2"/>
    <w:rsid w:val="00F742F6"/>
    <w:rsid w:val="00F77155"/>
    <w:rsid w:val="00F824BF"/>
    <w:rsid w:val="00F96E4C"/>
    <w:rsid w:val="00F973DA"/>
    <w:rsid w:val="00FA4487"/>
    <w:rsid w:val="00FB14E7"/>
    <w:rsid w:val="00FB1A77"/>
    <w:rsid w:val="00FB565D"/>
    <w:rsid w:val="00FC2B97"/>
    <w:rsid w:val="00FC3720"/>
    <w:rsid w:val="00FC79A5"/>
    <w:rsid w:val="00FD34D5"/>
    <w:rsid w:val="00FF3B6E"/>
    <w:rsid w:val="00FF7AA4"/>
    <w:rsid w:val="036531F0"/>
    <w:rsid w:val="081870A2"/>
    <w:rsid w:val="0C0412D8"/>
    <w:rsid w:val="18B14196"/>
    <w:rsid w:val="36070AB3"/>
    <w:rsid w:val="556032A3"/>
    <w:rsid w:val="5832319E"/>
    <w:rsid w:val="5CB41F9D"/>
    <w:rsid w:val="68AA427D"/>
    <w:rsid w:val="753414D6"/>
    <w:rsid w:val="7AFF4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53E"/>
    <w:pPr>
      <w:widowControl w:val="0"/>
      <w:jc w:val="both"/>
    </w:pPr>
    <w:rPr>
      <w:rFonts w:eastAsia="方正仿宋简体"/>
      <w:kern w:val="2"/>
      <w:sz w:val="32"/>
    </w:rPr>
  </w:style>
  <w:style w:type="paragraph" w:styleId="2">
    <w:name w:val="heading 2"/>
    <w:basedOn w:val="a"/>
    <w:next w:val="a"/>
    <w:link w:val="2Char"/>
    <w:qFormat/>
    <w:rsid w:val="007847B8"/>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847B8"/>
    <w:pPr>
      <w:jc w:val="left"/>
    </w:pPr>
  </w:style>
  <w:style w:type="paragraph" w:styleId="a4">
    <w:name w:val="Balloon Text"/>
    <w:basedOn w:val="a"/>
    <w:link w:val="Char0"/>
    <w:uiPriority w:val="99"/>
    <w:semiHidden/>
    <w:unhideWhenUsed/>
    <w:qFormat/>
    <w:rsid w:val="007847B8"/>
    <w:rPr>
      <w:sz w:val="18"/>
      <w:szCs w:val="18"/>
    </w:rPr>
  </w:style>
  <w:style w:type="paragraph" w:styleId="a5">
    <w:name w:val="footer"/>
    <w:basedOn w:val="a"/>
    <w:link w:val="Char1"/>
    <w:uiPriority w:val="99"/>
    <w:unhideWhenUsed/>
    <w:qFormat/>
    <w:rsid w:val="007847B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847B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7847B8"/>
    <w:pPr>
      <w:snapToGrid w:val="0"/>
      <w:jc w:val="left"/>
    </w:pPr>
    <w:rPr>
      <w:rFonts w:eastAsia="宋体"/>
      <w:sz w:val="18"/>
    </w:rPr>
  </w:style>
  <w:style w:type="paragraph" w:styleId="a8">
    <w:name w:val="Normal (Web)"/>
    <w:basedOn w:val="a"/>
    <w:uiPriority w:val="99"/>
    <w:unhideWhenUsed/>
    <w:qFormat/>
    <w:rsid w:val="007847B8"/>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7847B8"/>
    <w:rPr>
      <w:b/>
      <w:bCs/>
    </w:rPr>
  </w:style>
  <w:style w:type="table" w:styleId="aa">
    <w:name w:val="Table Grid"/>
    <w:basedOn w:val="a1"/>
    <w:uiPriority w:val="59"/>
    <w:qFormat/>
    <w:rsid w:val="0078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7847B8"/>
    <w:rPr>
      <w:color w:val="4C4C4C"/>
      <w:u w:val="none"/>
    </w:rPr>
  </w:style>
  <w:style w:type="character" w:styleId="ac">
    <w:name w:val="Emphasis"/>
    <w:basedOn w:val="a0"/>
    <w:uiPriority w:val="20"/>
    <w:qFormat/>
    <w:rsid w:val="007847B8"/>
  </w:style>
  <w:style w:type="character" w:styleId="HTML">
    <w:name w:val="HTML Acronym"/>
    <w:basedOn w:val="a0"/>
    <w:uiPriority w:val="99"/>
    <w:semiHidden/>
    <w:unhideWhenUsed/>
    <w:qFormat/>
    <w:rsid w:val="007847B8"/>
  </w:style>
  <w:style w:type="character" w:styleId="ad">
    <w:name w:val="Hyperlink"/>
    <w:basedOn w:val="a0"/>
    <w:uiPriority w:val="99"/>
    <w:unhideWhenUsed/>
    <w:qFormat/>
    <w:rsid w:val="007847B8"/>
    <w:rPr>
      <w:color w:val="4C4C4C"/>
      <w:u w:val="none"/>
    </w:rPr>
  </w:style>
  <w:style w:type="character" w:styleId="ae">
    <w:name w:val="annotation reference"/>
    <w:basedOn w:val="a0"/>
    <w:uiPriority w:val="99"/>
    <w:semiHidden/>
    <w:unhideWhenUsed/>
    <w:qFormat/>
    <w:rsid w:val="007847B8"/>
    <w:rPr>
      <w:sz w:val="21"/>
      <w:szCs w:val="21"/>
    </w:rPr>
  </w:style>
  <w:style w:type="character" w:styleId="af">
    <w:name w:val="footnote reference"/>
    <w:basedOn w:val="a0"/>
    <w:rsid w:val="007847B8"/>
    <w:rPr>
      <w:vertAlign w:val="superscript"/>
    </w:rPr>
  </w:style>
  <w:style w:type="character" w:customStyle="1" w:styleId="2Char">
    <w:name w:val="标题 2 Char"/>
    <w:basedOn w:val="a0"/>
    <w:link w:val="2"/>
    <w:rsid w:val="007847B8"/>
    <w:rPr>
      <w:rFonts w:ascii="Arial" w:eastAsia="黑体" w:hAnsi="Arial" w:cs="Times New Roman"/>
      <w:b/>
      <w:bCs/>
      <w:sz w:val="32"/>
      <w:szCs w:val="32"/>
    </w:rPr>
  </w:style>
  <w:style w:type="character" w:customStyle="1" w:styleId="Char3">
    <w:name w:val="脚注文本 Char"/>
    <w:basedOn w:val="a0"/>
    <w:link w:val="a7"/>
    <w:qFormat/>
    <w:rsid w:val="007847B8"/>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7847B8"/>
    <w:rPr>
      <w:rFonts w:ascii="Times New Roman" w:eastAsia="方正仿宋简体" w:hAnsi="Times New Roman" w:cs="Times New Roman"/>
      <w:sz w:val="18"/>
      <w:szCs w:val="18"/>
    </w:rPr>
  </w:style>
  <w:style w:type="character" w:customStyle="1" w:styleId="Char2">
    <w:name w:val="页眉 Char"/>
    <w:basedOn w:val="a0"/>
    <w:link w:val="a6"/>
    <w:uiPriority w:val="99"/>
    <w:qFormat/>
    <w:rsid w:val="007847B8"/>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7847B8"/>
    <w:rPr>
      <w:rFonts w:ascii="Times New Roman" w:eastAsia="方正仿宋简体" w:hAnsi="Times New Roman" w:cs="Times New Roman"/>
      <w:sz w:val="18"/>
      <w:szCs w:val="18"/>
    </w:rPr>
  </w:style>
  <w:style w:type="character" w:customStyle="1" w:styleId="Char">
    <w:name w:val="批注文字 Char"/>
    <w:basedOn w:val="a0"/>
    <w:link w:val="a3"/>
    <w:uiPriority w:val="99"/>
    <w:semiHidden/>
    <w:qFormat/>
    <w:rsid w:val="007847B8"/>
    <w:rPr>
      <w:rFonts w:ascii="Times New Roman" w:eastAsia="方正仿宋简体" w:hAnsi="Times New Roman" w:cs="Times New Roman"/>
      <w:sz w:val="32"/>
      <w:szCs w:val="20"/>
    </w:rPr>
  </w:style>
  <w:style w:type="character" w:customStyle="1" w:styleId="Char4">
    <w:name w:val="批注主题 Char"/>
    <w:basedOn w:val="Char"/>
    <w:link w:val="a9"/>
    <w:uiPriority w:val="99"/>
    <w:semiHidden/>
    <w:qFormat/>
    <w:rsid w:val="007847B8"/>
    <w:rPr>
      <w:rFonts w:ascii="Times New Roman" w:eastAsia="方正仿宋简体" w:hAnsi="Times New Roman" w:cs="Times New Roman"/>
      <w:b/>
      <w:bCs/>
      <w:sz w:val="32"/>
      <w:szCs w:val="20"/>
    </w:rPr>
  </w:style>
  <w:style w:type="paragraph" w:customStyle="1" w:styleId="Default">
    <w:name w:val="Default"/>
    <w:uiPriority w:val="99"/>
    <w:unhideWhenUsed/>
    <w:qFormat/>
    <w:rsid w:val="007847B8"/>
    <w:pPr>
      <w:widowControl w:val="0"/>
      <w:autoSpaceDE w:val="0"/>
      <w:autoSpaceDN w:val="0"/>
      <w:adjustRightInd w:val="0"/>
    </w:pPr>
    <w:rPr>
      <w:rFonts w:ascii="宋体" w:hAnsi="宋体" w:hint="eastAsia"/>
      <w:color w:val="000000"/>
      <w:sz w:val="24"/>
    </w:rPr>
  </w:style>
  <w:style w:type="character" w:customStyle="1" w:styleId="icon">
    <w:name w:val="icon"/>
    <w:basedOn w:val="a0"/>
    <w:qFormat/>
    <w:rsid w:val="007847B8"/>
  </w:style>
  <w:style w:type="character" w:customStyle="1" w:styleId="on26">
    <w:name w:val="on26"/>
    <w:basedOn w:val="a0"/>
    <w:rsid w:val="007847B8"/>
    <w:rPr>
      <w:color w:val="F88413"/>
    </w:rPr>
  </w:style>
  <w:style w:type="character" w:customStyle="1" w:styleId="on27">
    <w:name w:val="on27"/>
    <w:basedOn w:val="a0"/>
    <w:qFormat/>
    <w:rsid w:val="007847B8"/>
  </w:style>
  <w:style w:type="character" w:customStyle="1" w:styleId="span3">
    <w:name w:val="span3"/>
    <w:basedOn w:val="a0"/>
    <w:rsid w:val="007847B8"/>
  </w:style>
  <w:style w:type="character" w:customStyle="1" w:styleId="span01">
    <w:name w:val="span01"/>
    <w:basedOn w:val="a0"/>
    <w:rsid w:val="007847B8"/>
    <w:rPr>
      <w:sz w:val="19"/>
      <w:szCs w:val="19"/>
    </w:rPr>
  </w:style>
  <w:style w:type="character" w:customStyle="1" w:styleId="span011">
    <w:name w:val="span011"/>
    <w:basedOn w:val="a0"/>
    <w:qFormat/>
    <w:rsid w:val="007847B8"/>
  </w:style>
  <w:style w:type="character" w:customStyle="1" w:styleId="span02">
    <w:name w:val="span02"/>
    <w:basedOn w:val="a0"/>
    <w:qFormat/>
    <w:rsid w:val="007847B8"/>
    <w:rPr>
      <w:sz w:val="19"/>
      <w:szCs w:val="19"/>
    </w:rPr>
  </w:style>
  <w:style w:type="character" w:customStyle="1" w:styleId="span021">
    <w:name w:val="span021"/>
    <w:basedOn w:val="a0"/>
    <w:qFormat/>
    <w:rsid w:val="007847B8"/>
  </w:style>
  <w:style w:type="character" w:customStyle="1" w:styleId="span03">
    <w:name w:val="span03"/>
    <w:basedOn w:val="a0"/>
    <w:qFormat/>
    <w:rsid w:val="007847B8"/>
  </w:style>
  <w:style w:type="character" w:customStyle="1" w:styleId="span031">
    <w:name w:val="span031"/>
    <w:basedOn w:val="a0"/>
    <w:qFormat/>
    <w:rsid w:val="007847B8"/>
  </w:style>
  <w:style w:type="character" w:customStyle="1" w:styleId="span1">
    <w:name w:val="span1"/>
    <w:basedOn w:val="a0"/>
    <w:rsid w:val="007847B8"/>
  </w:style>
  <w:style w:type="character" w:customStyle="1" w:styleId="hover46">
    <w:name w:val="hover46"/>
    <w:basedOn w:val="a0"/>
    <w:qFormat/>
    <w:rsid w:val="007847B8"/>
    <w:rPr>
      <w:color w:val="F88413"/>
    </w:rPr>
  </w:style>
  <w:style w:type="character" w:customStyle="1" w:styleId="hover47">
    <w:name w:val="hover47"/>
    <w:basedOn w:val="a0"/>
    <w:qFormat/>
    <w:rsid w:val="007847B8"/>
    <w:rPr>
      <w:shd w:val="clear" w:color="auto" w:fill="FEF2E7"/>
    </w:rPr>
  </w:style>
  <w:style w:type="character" w:customStyle="1" w:styleId="span2">
    <w:name w:val="span2"/>
    <w:basedOn w:val="a0"/>
    <w:qFormat/>
    <w:rsid w:val="007847B8"/>
  </w:style>
  <w:style w:type="character" w:customStyle="1" w:styleId="span4">
    <w:name w:val="span4"/>
    <w:basedOn w:val="a0"/>
    <w:rsid w:val="007847B8"/>
  </w:style>
  <w:style w:type="character" w:customStyle="1" w:styleId="icon2">
    <w:name w:val="icon2"/>
    <w:basedOn w:val="a0"/>
    <w:qFormat/>
    <w:rsid w:val="007847B8"/>
  </w:style>
  <w:style w:type="character" w:customStyle="1" w:styleId="1">
    <w:name w:val="未处理的提及1"/>
    <w:basedOn w:val="a0"/>
    <w:uiPriority w:val="99"/>
    <w:semiHidden/>
    <w:unhideWhenUsed/>
    <w:rsid w:val="00166A9B"/>
    <w:rPr>
      <w:color w:val="605E5C"/>
      <w:shd w:val="clear" w:color="auto" w:fill="E1DFDD"/>
    </w:rPr>
  </w:style>
  <w:style w:type="paragraph" w:styleId="af0">
    <w:name w:val="Revision"/>
    <w:hidden/>
    <w:uiPriority w:val="99"/>
    <w:semiHidden/>
    <w:rsid w:val="00A25351"/>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w:divs>
    <w:div w:id="159152795">
      <w:bodyDiv w:val="1"/>
      <w:marLeft w:val="0"/>
      <w:marRight w:val="0"/>
      <w:marTop w:val="0"/>
      <w:marBottom w:val="0"/>
      <w:divBdr>
        <w:top w:val="none" w:sz="0" w:space="0" w:color="auto"/>
        <w:left w:val="none" w:sz="0" w:space="0" w:color="auto"/>
        <w:bottom w:val="none" w:sz="0" w:space="0" w:color="auto"/>
        <w:right w:val="none" w:sz="0" w:space="0" w:color="auto"/>
      </w:divBdr>
    </w:div>
    <w:div w:id="239947851">
      <w:bodyDiv w:val="1"/>
      <w:marLeft w:val="0"/>
      <w:marRight w:val="0"/>
      <w:marTop w:val="0"/>
      <w:marBottom w:val="0"/>
      <w:divBdr>
        <w:top w:val="none" w:sz="0" w:space="0" w:color="auto"/>
        <w:left w:val="none" w:sz="0" w:space="0" w:color="auto"/>
        <w:bottom w:val="none" w:sz="0" w:space="0" w:color="auto"/>
        <w:right w:val="none" w:sz="0" w:space="0" w:color="auto"/>
      </w:divBdr>
    </w:div>
    <w:div w:id="340590976">
      <w:bodyDiv w:val="1"/>
      <w:marLeft w:val="0"/>
      <w:marRight w:val="0"/>
      <w:marTop w:val="0"/>
      <w:marBottom w:val="0"/>
      <w:divBdr>
        <w:top w:val="none" w:sz="0" w:space="0" w:color="auto"/>
        <w:left w:val="none" w:sz="0" w:space="0" w:color="auto"/>
        <w:bottom w:val="none" w:sz="0" w:space="0" w:color="auto"/>
        <w:right w:val="none" w:sz="0" w:space="0" w:color="auto"/>
      </w:divBdr>
    </w:div>
    <w:div w:id="373425565">
      <w:bodyDiv w:val="1"/>
      <w:marLeft w:val="0"/>
      <w:marRight w:val="0"/>
      <w:marTop w:val="0"/>
      <w:marBottom w:val="0"/>
      <w:divBdr>
        <w:top w:val="none" w:sz="0" w:space="0" w:color="auto"/>
        <w:left w:val="none" w:sz="0" w:space="0" w:color="auto"/>
        <w:bottom w:val="none" w:sz="0" w:space="0" w:color="auto"/>
        <w:right w:val="none" w:sz="0" w:space="0" w:color="auto"/>
      </w:divBdr>
    </w:div>
    <w:div w:id="450393529">
      <w:bodyDiv w:val="1"/>
      <w:marLeft w:val="0"/>
      <w:marRight w:val="0"/>
      <w:marTop w:val="0"/>
      <w:marBottom w:val="0"/>
      <w:divBdr>
        <w:top w:val="none" w:sz="0" w:space="0" w:color="auto"/>
        <w:left w:val="none" w:sz="0" w:space="0" w:color="auto"/>
        <w:bottom w:val="none" w:sz="0" w:space="0" w:color="auto"/>
        <w:right w:val="none" w:sz="0" w:space="0" w:color="auto"/>
      </w:divBdr>
    </w:div>
    <w:div w:id="519010640">
      <w:bodyDiv w:val="1"/>
      <w:marLeft w:val="0"/>
      <w:marRight w:val="0"/>
      <w:marTop w:val="0"/>
      <w:marBottom w:val="0"/>
      <w:divBdr>
        <w:top w:val="none" w:sz="0" w:space="0" w:color="auto"/>
        <w:left w:val="none" w:sz="0" w:space="0" w:color="auto"/>
        <w:bottom w:val="none" w:sz="0" w:space="0" w:color="auto"/>
        <w:right w:val="none" w:sz="0" w:space="0" w:color="auto"/>
      </w:divBdr>
    </w:div>
    <w:div w:id="534541407">
      <w:bodyDiv w:val="1"/>
      <w:marLeft w:val="0"/>
      <w:marRight w:val="0"/>
      <w:marTop w:val="0"/>
      <w:marBottom w:val="0"/>
      <w:divBdr>
        <w:top w:val="none" w:sz="0" w:space="0" w:color="auto"/>
        <w:left w:val="none" w:sz="0" w:space="0" w:color="auto"/>
        <w:bottom w:val="none" w:sz="0" w:space="0" w:color="auto"/>
        <w:right w:val="none" w:sz="0" w:space="0" w:color="auto"/>
      </w:divBdr>
    </w:div>
    <w:div w:id="640575521">
      <w:bodyDiv w:val="1"/>
      <w:marLeft w:val="0"/>
      <w:marRight w:val="0"/>
      <w:marTop w:val="0"/>
      <w:marBottom w:val="0"/>
      <w:divBdr>
        <w:top w:val="none" w:sz="0" w:space="0" w:color="auto"/>
        <w:left w:val="none" w:sz="0" w:space="0" w:color="auto"/>
        <w:bottom w:val="none" w:sz="0" w:space="0" w:color="auto"/>
        <w:right w:val="none" w:sz="0" w:space="0" w:color="auto"/>
      </w:divBdr>
    </w:div>
    <w:div w:id="740254002">
      <w:bodyDiv w:val="1"/>
      <w:marLeft w:val="0"/>
      <w:marRight w:val="0"/>
      <w:marTop w:val="0"/>
      <w:marBottom w:val="0"/>
      <w:divBdr>
        <w:top w:val="none" w:sz="0" w:space="0" w:color="auto"/>
        <w:left w:val="none" w:sz="0" w:space="0" w:color="auto"/>
        <w:bottom w:val="none" w:sz="0" w:space="0" w:color="auto"/>
        <w:right w:val="none" w:sz="0" w:space="0" w:color="auto"/>
      </w:divBdr>
    </w:div>
    <w:div w:id="875505672">
      <w:bodyDiv w:val="1"/>
      <w:marLeft w:val="0"/>
      <w:marRight w:val="0"/>
      <w:marTop w:val="0"/>
      <w:marBottom w:val="0"/>
      <w:divBdr>
        <w:top w:val="none" w:sz="0" w:space="0" w:color="auto"/>
        <w:left w:val="none" w:sz="0" w:space="0" w:color="auto"/>
        <w:bottom w:val="none" w:sz="0" w:space="0" w:color="auto"/>
        <w:right w:val="none" w:sz="0" w:space="0" w:color="auto"/>
      </w:divBdr>
    </w:div>
    <w:div w:id="934510246">
      <w:bodyDiv w:val="1"/>
      <w:marLeft w:val="0"/>
      <w:marRight w:val="0"/>
      <w:marTop w:val="0"/>
      <w:marBottom w:val="0"/>
      <w:divBdr>
        <w:top w:val="none" w:sz="0" w:space="0" w:color="auto"/>
        <w:left w:val="none" w:sz="0" w:space="0" w:color="auto"/>
        <w:bottom w:val="none" w:sz="0" w:space="0" w:color="auto"/>
        <w:right w:val="none" w:sz="0" w:space="0" w:color="auto"/>
      </w:divBdr>
      <w:divsChild>
        <w:div w:id="256328250">
          <w:marLeft w:val="0"/>
          <w:marRight w:val="0"/>
          <w:marTop w:val="0"/>
          <w:marBottom w:val="0"/>
          <w:divBdr>
            <w:top w:val="none" w:sz="0" w:space="0" w:color="auto"/>
            <w:left w:val="none" w:sz="0" w:space="0" w:color="auto"/>
            <w:bottom w:val="none" w:sz="0" w:space="0" w:color="auto"/>
            <w:right w:val="none" w:sz="0" w:space="0" w:color="auto"/>
          </w:divBdr>
          <w:divsChild>
            <w:div w:id="1798136899">
              <w:marLeft w:val="0"/>
              <w:marRight w:val="0"/>
              <w:marTop w:val="0"/>
              <w:marBottom w:val="0"/>
              <w:divBdr>
                <w:top w:val="none" w:sz="0" w:space="0" w:color="auto"/>
                <w:left w:val="none" w:sz="0" w:space="0" w:color="auto"/>
                <w:bottom w:val="none" w:sz="0" w:space="0" w:color="auto"/>
                <w:right w:val="none" w:sz="0" w:space="0" w:color="auto"/>
              </w:divBdr>
              <w:divsChild>
                <w:div w:id="1640040224">
                  <w:marLeft w:val="0"/>
                  <w:marRight w:val="0"/>
                  <w:marTop w:val="0"/>
                  <w:marBottom w:val="0"/>
                  <w:divBdr>
                    <w:top w:val="none" w:sz="0" w:space="0" w:color="auto"/>
                    <w:left w:val="none" w:sz="0" w:space="0" w:color="auto"/>
                    <w:bottom w:val="none" w:sz="0" w:space="0" w:color="auto"/>
                    <w:right w:val="none" w:sz="0" w:space="0" w:color="auto"/>
                  </w:divBdr>
                  <w:divsChild>
                    <w:div w:id="80418690">
                      <w:marLeft w:val="0"/>
                      <w:marRight w:val="0"/>
                      <w:marTop w:val="0"/>
                      <w:marBottom w:val="0"/>
                      <w:divBdr>
                        <w:top w:val="none" w:sz="0" w:space="0" w:color="auto"/>
                        <w:left w:val="none" w:sz="0" w:space="0" w:color="auto"/>
                        <w:bottom w:val="none" w:sz="0" w:space="0" w:color="auto"/>
                        <w:right w:val="none" w:sz="0" w:space="0" w:color="auto"/>
                      </w:divBdr>
                      <w:divsChild>
                        <w:div w:id="975256387">
                          <w:marLeft w:val="0"/>
                          <w:marRight w:val="0"/>
                          <w:marTop w:val="15"/>
                          <w:marBottom w:val="0"/>
                          <w:divBdr>
                            <w:top w:val="none" w:sz="0" w:space="0" w:color="auto"/>
                            <w:left w:val="none" w:sz="0" w:space="0" w:color="auto"/>
                            <w:bottom w:val="none" w:sz="0" w:space="0" w:color="auto"/>
                            <w:right w:val="none" w:sz="0" w:space="0" w:color="auto"/>
                          </w:divBdr>
                          <w:divsChild>
                            <w:div w:id="88741020">
                              <w:marLeft w:val="0"/>
                              <w:marRight w:val="0"/>
                              <w:marTop w:val="0"/>
                              <w:marBottom w:val="0"/>
                              <w:divBdr>
                                <w:top w:val="none" w:sz="0" w:space="0" w:color="auto"/>
                                <w:left w:val="none" w:sz="0" w:space="0" w:color="auto"/>
                                <w:bottom w:val="none" w:sz="0" w:space="0" w:color="auto"/>
                                <w:right w:val="none" w:sz="0" w:space="0" w:color="auto"/>
                              </w:divBdr>
                              <w:divsChild>
                                <w:div w:id="43069308">
                                  <w:marLeft w:val="0"/>
                                  <w:marRight w:val="0"/>
                                  <w:marTop w:val="0"/>
                                  <w:marBottom w:val="0"/>
                                  <w:divBdr>
                                    <w:top w:val="none" w:sz="0" w:space="0" w:color="auto"/>
                                    <w:left w:val="none" w:sz="0" w:space="0" w:color="auto"/>
                                    <w:bottom w:val="none" w:sz="0" w:space="0" w:color="auto"/>
                                    <w:right w:val="none" w:sz="0" w:space="0" w:color="auto"/>
                                  </w:divBdr>
                                </w:div>
                                <w:div w:id="723673035">
                                  <w:marLeft w:val="0"/>
                                  <w:marRight w:val="0"/>
                                  <w:marTop w:val="0"/>
                                  <w:marBottom w:val="0"/>
                                  <w:divBdr>
                                    <w:top w:val="none" w:sz="0" w:space="0" w:color="auto"/>
                                    <w:left w:val="none" w:sz="0" w:space="0" w:color="auto"/>
                                    <w:bottom w:val="none" w:sz="0" w:space="0" w:color="auto"/>
                                    <w:right w:val="none" w:sz="0" w:space="0" w:color="auto"/>
                                  </w:divBdr>
                                </w:div>
                                <w:div w:id="618997959">
                                  <w:marLeft w:val="0"/>
                                  <w:marRight w:val="0"/>
                                  <w:marTop w:val="0"/>
                                  <w:marBottom w:val="0"/>
                                  <w:divBdr>
                                    <w:top w:val="none" w:sz="0" w:space="0" w:color="auto"/>
                                    <w:left w:val="none" w:sz="0" w:space="0" w:color="auto"/>
                                    <w:bottom w:val="none" w:sz="0" w:space="0" w:color="auto"/>
                                    <w:right w:val="none" w:sz="0" w:space="0" w:color="auto"/>
                                  </w:divBdr>
                                </w:div>
                                <w:div w:id="2007047218">
                                  <w:marLeft w:val="0"/>
                                  <w:marRight w:val="0"/>
                                  <w:marTop w:val="0"/>
                                  <w:marBottom w:val="0"/>
                                  <w:divBdr>
                                    <w:top w:val="none" w:sz="0" w:space="0" w:color="auto"/>
                                    <w:left w:val="none" w:sz="0" w:space="0" w:color="auto"/>
                                    <w:bottom w:val="none" w:sz="0" w:space="0" w:color="auto"/>
                                    <w:right w:val="none" w:sz="0" w:space="0" w:color="auto"/>
                                  </w:divBdr>
                                </w:div>
                                <w:div w:id="814641712">
                                  <w:marLeft w:val="0"/>
                                  <w:marRight w:val="0"/>
                                  <w:marTop w:val="0"/>
                                  <w:marBottom w:val="0"/>
                                  <w:divBdr>
                                    <w:top w:val="none" w:sz="0" w:space="0" w:color="auto"/>
                                    <w:left w:val="none" w:sz="0" w:space="0" w:color="auto"/>
                                    <w:bottom w:val="none" w:sz="0" w:space="0" w:color="auto"/>
                                    <w:right w:val="none" w:sz="0" w:space="0" w:color="auto"/>
                                  </w:divBdr>
                                </w:div>
                                <w:div w:id="902915028">
                                  <w:marLeft w:val="0"/>
                                  <w:marRight w:val="0"/>
                                  <w:marTop w:val="0"/>
                                  <w:marBottom w:val="0"/>
                                  <w:divBdr>
                                    <w:top w:val="none" w:sz="0" w:space="0" w:color="auto"/>
                                    <w:left w:val="none" w:sz="0" w:space="0" w:color="auto"/>
                                    <w:bottom w:val="none" w:sz="0" w:space="0" w:color="auto"/>
                                    <w:right w:val="none" w:sz="0" w:space="0" w:color="auto"/>
                                  </w:divBdr>
                                </w:div>
                                <w:div w:id="1339389811">
                                  <w:marLeft w:val="0"/>
                                  <w:marRight w:val="0"/>
                                  <w:marTop w:val="0"/>
                                  <w:marBottom w:val="0"/>
                                  <w:divBdr>
                                    <w:top w:val="none" w:sz="0" w:space="0" w:color="auto"/>
                                    <w:left w:val="none" w:sz="0" w:space="0" w:color="auto"/>
                                    <w:bottom w:val="none" w:sz="0" w:space="0" w:color="auto"/>
                                    <w:right w:val="none" w:sz="0" w:space="0" w:color="auto"/>
                                  </w:divBdr>
                                </w:div>
                                <w:div w:id="454102036">
                                  <w:marLeft w:val="0"/>
                                  <w:marRight w:val="0"/>
                                  <w:marTop w:val="0"/>
                                  <w:marBottom w:val="0"/>
                                  <w:divBdr>
                                    <w:top w:val="none" w:sz="0" w:space="0" w:color="auto"/>
                                    <w:left w:val="none" w:sz="0" w:space="0" w:color="auto"/>
                                    <w:bottom w:val="none" w:sz="0" w:space="0" w:color="auto"/>
                                    <w:right w:val="none" w:sz="0" w:space="0" w:color="auto"/>
                                  </w:divBdr>
                                </w:div>
                                <w:div w:id="1519347424">
                                  <w:marLeft w:val="0"/>
                                  <w:marRight w:val="0"/>
                                  <w:marTop w:val="0"/>
                                  <w:marBottom w:val="0"/>
                                  <w:divBdr>
                                    <w:top w:val="none" w:sz="0" w:space="0" w:color="auto"/>
                                    <w:left w:val="none" w:sz="0" w:space="0" w:color="auto"/>
                                    <w:bottom w:val="none" w:sz="0" w:space="0" w:color="auto"/>
                                    <w:right w:val="none" w:sz="0" w:space="0" w:color="auto"/>
                                  </w:divBdr>
                                </w:div>
                                <w:div w:id="1422025560">
                                  <w:marLeft w:val="0"/>
                                  <w:marRight w:val="0"/>
                                  <w:marTop w:val="0"/>
                                  <w:marBottom w:val="0"/>
                                  <w:divBdr>
                                    <w:top w:val="none" w:sz="0" w:space="0" w:color="auto"/>
                                    <w:left w:val="none" w:sz="0" w:space="0" w:color="auto"/>
                                    <w:bottom w:val="none" w:sz="0" w:space="0" w:color="auto"/>
                                    <w:right w:val="none" w:sz="0" w:space="0" w:color="auto"/>
                                  </w:divBdr>
                                </w:div>
                                <w:div w:id="1308440016">
                                  <w:marLeft w:val="0"/>
                                  <w:marRight w:val="0"/>
                                  <w:marTop w:val="0"/>
                                  <w:marBottom w:val="0"/>
                                  <w:divBdr>
                                    <w:top w:val="none" w:sz="0" w:space="0" w:color="auto"/>
                                    <w:left w:val="none" w:sz="0" w:space="0" w:color="auto"/>
                                    <w:bottom w:val="none" w:sz="0" w:space="0" w:color="auto"/>
                                    <w:right w:val="none" w:sz="0" w:space="0" w:color="auto"/>
                                  </w:divBdr>
                                </w:div>
                                <w:div w:id="304970410">
                                  <w:marLeft w:val="0"/>
                                  <w:marRight w:val="0"/>
                                  <w:marTop w:val="0"/>
                                  <w:marBottom w:val="0"/>
                                  <w:divBdr>
                                    <w:top w:val="none" w:sz="0" w:space="0" w:color="auto"/>
                                    <w:left w:val="none" w:sz="0" w:space="0" w:color="auto"/>
                                    <w:bottom w:val="none" w:sz="0" w:space="0" w:color="auto"/>
                                    <w:right w:val="none" w:sz="0" w:space="0" w:color="auto"/>
                                  </w:divBdr>
                                </w:div>
                                <w:div w:id="124202288">
                                  <w:marLeft w:val="0"/>
                                  <w:marRight w:val="0"/>
                                  <w:marTop w:val="0"/>
                                  <w:marBottom w:val="0"/>
                                  <w:divBdr>
                                    <w:top w:val="none" w:sz="0" w:space="0" w:color="auto"/>
                                    <w:left w:val="none" w:sz="0" w:space="0" w:color="auto"/>
                                    <w:bottom w:val="none" w:sz="0" w:space="0" w:color="auto"/>
                                    <w:right w:val="none" w:sz="0" w:space="0" w:color="auto"/>
                                  </w:divBdr>
                                </w:div>
                                <w:div w:id="607347704">
                                  <w:marLeft w:val="0"/>
                                  <w:marRight w:val="0"/>
                                  <w:marTop w:val="0"/>
                                  <w:marBottom w:val="0"/>
                                  <w:divBdr>
                                    <w:top w:val="none" w:sz="0" w:space="0" w:color="auto"/>
                                    <w:left w:val="none" w:sz="0" w:space="0" w:color="auto"/>
                                    <w:bottom w:val="none" w:sz="0" w:space="0" w:color="auto"/>
                                    <w:right w:val="none" w:sz="0" w:space="0" w:color="auto"/>
                                  </w:divBdr>
                                </w:div>
                                <w:div w:id="1059787810">
                                  <w:marLeft w:val="0"/>
                                  <w:marRight w:val="0"/>
                                  <w:marTop w:val="0"/>
                                  <w:marBottom w:val="0"/>
                                  <w:divBdr>
                                    <w:top w:val="none" w:sz="0" w:space="0" w:color="auto"/>
                                    <w:left w:val="none" w:sz="0" w:space="0" w:color="auto"/>
                                    <w:bottom w:val="none" w:sz="0" w:space="0" w:color="auto"/>
                                    <w:right w:val="none" w:sz="0" w:space="0" w:color="auto"/>
                                  </w:divBdr>
                                </w:div>
                                <w:div w:id="1634486020">
                                  <w:marLeft w:val="0"/>
                                  <w:marRight w:val="0"/>
                                  <w:marTop w:val="0"/>
                                  <w:marBottom w:val="0"/>
                                  <w:divBdr>
                                    <w:top w:val="none" w:sz="0" w:space="0" w:color="auto"/>
                                    <w:left w:val="none" w:sz="0" w:space="0" w:color="auto"/>
                                    <w:bottom w:val="none" w:sz="0" w:space="0" w:color="auto"/>
                                    <w:right w:val="none" w:sz="0" w:space="0" w:color="auto"/>
                                  </w:divBdr>
                                </w:div>
                                <w:div w:id="21439065">
                                  <w:marLeft w:val="0"/>
                                  <w:marRight w:val="0"/>
                                  <w:marTop w:val="0"/>
                                  <w:marBottom w:val="0"/>
                                  <w:divBdr>
                                    <w:top w:val="none" w:sz="0" w:space="0" w:color="auto"/>
                                    <w:left w:val="none" w:sz="0" w:space="0" w:color="auto"/>
                                    <w:bottom w:val="none" w:sz="0" w:space="0" w:color="auto"/>
                                    <w:right w:val="none" w:sz="0" w:space="0" w:color="auto"/>
                                  </w:divBdr>
                                </w:div>
                                <w:div w:id="1003044222">
                                  <w:marLeft w:val="0"/>
                                  <w:marRight w:val="0"/>
                                  <w:marTop w:val="0"/>
                                  <w:marBottom w:val="0"/>
                                  <w:divBdr>
                                    <w:top w:val="none" w:sz="0" w:space="0" w:color="auto"/>
                                    <w:left w:val="none" w:sz="0" w:space="0" w:color="auto"/>
                                    <w:bottom w:val="none" w:sz="0" w:space="0" w:color="auto"/>
                                    <w:right w:val="none" w:sz="0" w:space="0" w:color="auto"/>
                                  </w:divBdr>
                                </w:div>
                                <w:div w:id="804005713">
                                  <w:marLeft w:val="0"/>
                                  <w:marRight w:val="0"/>
                                  <w:marTop w:val="0"/>
                                  <w:marBottom w:val="0"/>
                                  <w:divBdr>
                                    <w:top w:val="none" w:sz="0" w:space="0" w:color="auto"/>
                                    <w:left w:val="none" w:sz="0" w:space="0" w:color="auto"/>
                                    <w:bottom w:val="none" w:sz="0" w:space="0" w:color="auto"/>
                                    <w:right w:val="none" w:sz="0" w:space="0" w:color="auto"/>
                                  </w:divBdr>
                                </w:div>
                                <w:div w:id="1480808884">
                                  <w:marLeft w:val="0"/>
                                  <w:marRight w:val="0"/>
                                  <w:marTop w:val="0"/>
                                  <w:marBottom w:val="0"/>
                                  <w:divBdr>
                                    <w:top w:val="none" w:sz="0" w:space="0" w:color="auto"/>
                                    <w:left w:val="none" w:sz="0" w:space="0" w:color="auto"/>
                                    <w:bottom w:val="none" w:sz="0" w:space="0" w:color="auto"/>
                                    <w:right w:val="none" w:sz="0" w:space="0" w:color="auto"/>
                                  </w:divBdr>
                                </w:div>
                                <w:div w:id="1759786241">
                                  <w:marLeft w:val="0"/>
                                  <w:marRight w:val="0"/>
                                  <w:marTop w:val="0"/>
                                  <w:marBottom w:val="0"/>
                                  <w:divBdr>
                                    <w:top w:val="none" w:sz="0" w:space="0" w:color="auto"/>
                                    <w:left w:val="none" w:sz="0" w:space="0" w:color="auto"/>
                                    <w:bottom w:val="none" w:sz="0" w:space="0" w:color="auto"/>
                                    <w:right w:val="none" w:sz="0" w:space="0" w:color="auto"/>
                                  </w:divBdr>
                                </w:div>
                                <w:div w:id="1925990136">
                                  <w:marLeft w:val="0"/>
                                  <w:marRight w:val="0"/>
                                  <w:marTop w:val="0"/>
                                  <w:marBottom w:val="0"/>
                                  <w:divBdr>
                                    <w:top w:val="none" w:sz="0" w:space="0" w:color="auto"/>
                                    <w:left w:val="none" w:sz="0" w:space="0" w:color="auto"/>
                                    <w:bottom w:val="none" w:sz="0" w:space="0" w:color="auto"/>
                                    <w:right w:val="none" w:sz="0" w:space="0" w:color="auto"/>
                                  </w:divBdr>
                                </w:div>
                                <w:div w:id="932786662">
                                  <w:marLeft w:val="0"/>
                                  <w:marRight w:val="0"/>
                                  <w:marTop w:val="0"/>
                                  <w:marBottom w:val="0"/>
                                  <w:divBdr>
                                    <w:top w:val="none" w:sz="0" w:space="0" w:color="auto"/>
                                    <w:left w:val="none" w:sz="0" w:space="0" w:color="auto"/>
                                    <w:bottom w:val="none" w:sz="0" w:space="0" w:color="auto"/>
                                    <w:right w:val="none" w:sz="0" w:space="0" w:color="auto"/>
                                  </w:divBdr>
                                </w:div>
                                <w:div w:id="1376615077">
                                  <w:marLeft w:val="0"/>
                                  <w:marRight w:val="0"/>
                                  <w:marTop w:val="0"/>
                                  <w:marBottom w:val="0"/>
                                  <w:divBdr>
                                    <w:top w:val="none" w:sz="0" w:space="0" w:color="auto"/>
                                    <w:left w:val="none" w:sz="0" w:space="0" w:color="auto"/>
                                    <w:bottom w:val="none" w:sz="0" w:space="0" w:color="auto"/>
                                    <w:right w:val="none" w:sz="0" w:space="0" w:color="auto"/>
                                  </w:divBdr>
                                </w:div>
                                <w:div w:id="1135299387">
                                  <w:marLeft w:val="0"/>
                                  <w:marRight w:val="0"/>
                                  <w:marTop w:val="0"/>
                                  <w:marBottom w:val="0"/>
                                  <w:divBdr>
                                    <w:top w:val="none" w:sz="0" w:space="0" w:color="auto"/>
                                    <w:left w:val="none" w:sz="0" w:space="0" w:color="auto"/>
                                    <w:bottom w:val="none" w:sz="0" w:space="0" w:color="auto"/>
                                    <w:right w:val="none" w:sz="0" w:space="0" w:color="auto"/>
                                  </w:divBdr>
                                </w:div>
                                <w:div w:id="678585550">
                                  <w:marLeft w:val="0"/>
                                  <w:marRight w:val="0"/>
                                  <w:marTop w:val="0"/>
                                  <w:marBottom w:val="0"/>
                                  <w:divBdr>
                                    <w:top w:val="none" w:sz="0" w:space="0" w:color="auto"/>
                                    <w:left w:val="none" w:sz="0" w:space="0" w:color="auto"/>
                                    <w:bottom w:val="none" w:sz="0" w:space="0" w:color="auto"/>
                                    <w:right w:val="none" w:sz="0" w:space="0" w:color="auto"/>
                                  </w:divBdr>
                                </w:div>
                                <w:div w:id="1272013555">
                                  <w:marLeft w:val="0"/>
                                  <w:marRight w:val="0"/>
                                  <w:marTop w:val="0"/>
                                  <w:marBottom w:val="0"/>
                                  <w:divBdr>
                                    <w:top w:val="none" w:sz="0" w:space="0" w:color="auto"/>
                                    <w:left w:val="none" w:sz="0" w:space="0" w:color="auto"/>
                                    <w:bottom w:val="none" w:sz="0" w:space="0" w:color="auto"/>
                                    <w:right w:val="none" w:sz="0" w:space="0" w:color="auto"/>
                                  </w:divBdr>
                                </w:div>
                                <w:div w:id="552696197">
                                  <w:marLeft w:val="0"/>
                                  <w:marRight w:val="0"/>
                                  <w:marTop w:val="0"/>
                                  <w:marBottom w:val="0"/>
                                  <w:divBdr>
                                    <w:top w:val="none" w:sz="0" w:space="0" w:color="auto"/>
                                    <w:left w:val="none" w:sz="0" w:space="0" w:color="auto"/>
                                    <w:bottom w:val="none" w:sz="0" w:space="0" w:color="auto"/>
                                    <w:right w:val="none" w:sz="0" w:space="0" w:color="auto"/>
                                  </w:divBdr>
                                </w:div>
                                <w:div w:id="82531344">
                                  <w:marLeft w:val="0"/>
                                  <w:marRight w:val="0"/>
                                  <w:marTop w:val="0"/>
                                  <w:marBottom w:val="0"/>
                                  <w:divBdr>
                                    <w:top w:val="none" w:sz="0" w:space="0" w:color="auto"/>
                                    <w:left w:val="none" w:sz="0" w:space="0" w:color="auto"/>
                                    <w:bottom w:val="none" w:sz="0" w:space="0" w:color="auto"/>
                                    <w:right w:val="none" w:sz="0" w:space="0" w:color="auto"/>
                                  </w:divBdr>
                                </w:div>
                                <w:div w:id="165635678">
                                  <w:marLeft w:val="0"/>
                                  <w:marRight w:val="0"/>
                                  <w:marTop w:val="0"/>
                                  <w:marBottom w:val="0"/>
                                  <w:divBdr>
                                    <w:top w:val="none" w:sz="0" w:space="0" w:color="auto"/>
                                    <w:left w:val="none" w:sz="0" w:space="0" w:color="auto"/>
                                    <w:bottom w:val="none" w:sz="0" w:space="0" w:color="auto"/>
                                    <w:right w:val="none" w:sz="0" w:space="0" w:color="auto"/>
                                  </w:divBdr>
                                </w:div>
                                <w:div w:id="1564439492">
                                  <w:marLeft w:val="0"/>
                                  <w:marRight w:val="0"/>
                                  <w:marTop w:val="0"/>
                                  <w:marBottom w:val="0"/>
                                  <w:divBdr>
                                    <w:top w:val="none" w:sz="0" w:space="0" w:color="auto"/>
                                    <w:left w:val="none" w:sz="0" w:space="0" w:color="auto"/>
                                    <w:bottom w:val="none" w:sz="0" w:space="0" w:color="auto"/>
                                    <w:right w:val="none" w:sz="0" w:space="0" w:color="auto"/>
                                  </w:divBdr>
                                </w:div>
                                <w:div w:id="1574117461">
                                  <w:marLeft w:val="0"/>
                                  <w:marRight w:val="0"/>
                                  <w:marTop w:val="0"/>
                                  <w:marBottom w:val="0"/>
                                  <w:divBdr>
                                    <w:top w:val="none" w:sz="0" w:space="0" w:color="auto"/>
                                    <w:left w:val="none" w:sz="0" w:space="0" w:color="auto"/>
                                    <w:bottom w:val="none" w:sz="0" w:space="0" w:color="auto"/>
                                    <w:right w:val="none" w:sz="0" w:space="0" w:color="auto"/>
                                  </w:divBdr>
                                </w:div>
                                <w:div w:id="1996374557">
                                  <w:marLeft w:val="0"/>
                                  <w:marRight w:val="0"/>
                                  <w:marTop w:val="0"/>
                                  <w:marBottom w:val="0"/>
                                  <w:divBdr>
                                    <w:top w:val="none" w:sz="0" w:space="0" w:color="auto"/>
                                    <w:left w:val="none" w:sz="0" w:space="0" w:color="auto"/>
                                    <w:bottom w:val="none" w:sz="0" w:space="0" w:color="auto"/>
                                    <w:right w:val="none" w:sz="0" w:space="0" w:color="auto"/>
                                  </w:divBdr>
                                </w:div>
                                <w:div w:id="2109887616">
                                  <w:marLeft w:val="0"/>
                                  <w:marRight w:val="0"/>
                                  <w:marTop w:val="0"/>
                                  <w:marBottom w:val="0"/>
                                  <w:divBdr>
                                    <w:top w:val="none" w:sz="0" w:space="0" w:color="auto"/>
                                    <w:left w:val="none" w:sz="0" w:space="0" w:color="auto"/>
                                    <w:bottom w:val="none" w:sz="0" w:space="0" w:color="auto"/>
                                    <w:right w:val="none" w:sz="0" w:space="0" w:color="auto"/>
                                  </w:divBdr>
                                </w:div>
                                <w:div w:id="1271473470">
                                  <w:marLeft w:val="0"/>
                                  <w:marRight w:val="0"/>
                                  <w:marTop w:val="0"/>
                                  <w:marBottom w:val="0"/>
                                  <w:divBdr>
                                    <w:top w:val="none" w:sz="0" w:space="0" w:color="auto"/>
                                    <w:left w:val="none" w:sz="0" w:space="0" w:color="auto"/>
                                    <w:bottom w:val="none" w:sz="0" w:space="0" w:color="auto"/>
                                    <w:right w:val="none" w:sz="0" w:space="0" w:color="auto"/>
                                  </w:divBdr>
                                </w:div>
                                <w:div w:id="1629630953">
                                  <w:marLeft w:val="0"/>
                                  <w:marRight w:val="0"/>
                                  <w:marTop w:val="0"/>
                                  <w:marBottom w:val="0"/>
                                  <w:divBdr>
                                    <w:top w:val="none" w:sz="0" w:space="0" w:color="auto"/>
                                    <w:left w:val="none" w:sz="0" w:space="0" w:color="auto"/>
                                    <w:bottom w:val="none" w:sz="0" w:space="0" w:color="auto"/>
                                    <w:right w:val="none" w:sz="0" w:space="0" w:color="auto"/>
                                  </w:divBdr>
                                </w:div>
                                <w:div w:id="1097947606">
                                  <w:marLeft w:val="0"/>
                                  <w:marRight w:val="0"/>
                                  <w:marTop w:val="0"/>
                                  <w:marBottom w:val="0"/>
                                  <w:divBdr>
                                    <w:top w:val="none" w:sz="0" w:space="0" w:color="auto"/>
                                    <w:left w:val="none" w:sz="0" w:space="0" w:color="auto"/>
                                    <w:bottom w:val="none" w:sz="0" w:space="0" w:color="auto"/>
                                    <w:right w:val="none" w:sz="0" w:space="0" w:color="auto"/>
                                  </w:divBdr>
                                </w:div>
                                <w:div w:id="63265529">
                                  <w:marLeft w:val="0"/>
                                  <w:marRight w:val="0"/>
                                  <w:marTop w:val="0"/>
                                  <w:marBottom w:val="0"/>
                                  <w:divBdr>
                                    <w:top w:val="none" w:sz="0" w:space="0" w:color="auto"/>
                                    <w:left w:val="none" w:sz="0" w:space="0" w:color="auto"/>
                                    <w:bottom w:val="none" w:sz="0" w:space="0" w:color="auto"/>
                                    <w:right w:val="none" w:sz="0" w:space="0" w:color="auto"/>
                                  </w:divBdr>
                                </w:div>
                                <w:div w:id="764351278">
                                  <w:marLeft w:val="0"/>
                                  <w:marRight w:val="0"/>
                                  <w:marTop w:val="0"/>
                                  <w:marBottom w:val="0"/>
                                  <w:divBdr>
                                    <w:top w:val="none" w:sz="0" w:space="0" w:color="auto"/>
                                    <w:left w:val="none" w:sz="0" w:space="0" w:color="auto"/>
                                    <w:bottom w:val="none" w:sz="0" w:space="0" w:color="auto"/>
                                    <w:right w:val="none" w:sz="0" w:space="0" w:color="auto"/>
                                  </w:divBdr>
                                </w:div>
                                <w:div w:id="1585988143">
                                  <w:marLeft w:val="0"/>
                                  <w:marRight w:val="0"/>
                                  <w:marTop w:val="0"/>
                                  <w:marBottom w:val="0"/>
                                  <w:divBdr>
                                    <w:top w:val="none" w:sz="0" w:space="0" w:color="auto"/>
                                    <w:left w:val="none" w:sz="0" w:space="0" w:color="auto"/>
                                    <w:bottom w:val="none" w:sz="0" w:space="0" w:color="auto"/>
                                    <w:right w:val="none" w:sz="0" w:space="0" w:color="auto"/>
                                  </w:divBdr>
                                </w:div>
                                <w:div w:id="608199621">
                                  <w:marLeft w:val="0"/>
                                  <w:marRight w:val="0"/>
                                  <w:marTop w:val="0"/>
                                  <w:marBottom w:val="0"/>
                                  <w:divBdr>
                                    <w:top w:val="none" w:sz="0" w:space="0" w:color="auto"/>
                                    <w:left w:val="none" w:sz="0" w:space="0" w:color="auto"/>
                                    <w:bottom w:val="none" w:sz="0" w:space="0" w:color="auto"/>
                                    <w:right w:val="none" w:sz="0" w:space="0" w:color="auto"/>
                                  </w:divBdr>
                                </w:div>
                                <w:div w:id="805439240">
                                  <w:marLeft w:val="0"/>
                                  <w:marRight w:val="0"/>
                                  <w:marTop w:val="0"/>
                                  <w:marBottom w:val="0"/>
                                  <w:divBdr>
                                    <w:top w:val="none" w:sz="0" w:space="0" w:color="auto"/>
                                    <w:left w:val="none" w:sz="0" w:space="0" w:color="auto"/>
                                    <w:bottom w:val="none" w:sz="0" w:space="0" w:color="auto"/>
                                    <w:right w:val="none" w:sz="0" w:space="0" w:color="auto"/>
                                  </w:divBdr>
                                </w:div>
                                <w:div w:id="927468504">
                                  <w:marLeft w:val="0"/>
                                  <w:marRight w:val="0"/>
                                  <w:marTop w:val="0"/>
                                  <w:marBottom w:val="0"/>
                                  <w:divBdr>
                                    <w:top w:val="none" w:sz="0" w:space="0" w:color="auto"/>
                                    <w:left w:val="none" w:sz="0" w:space="0" w:color="auto"/>
                                    <w:bottom w:val="none" w:sz="0" w:space="0" w:color="auto"/>
                                    <w:right w:val="none" w:sz="0" w:space="0" w:color="auto"/>
                                  </w:divBdr>
                                </w:div>
                                <w:div w:id="1993100595">
                                  <w:marLeft w:val="0"/>
                                  <w:marRight w:val="0"/>
                                  <w:marTop w:val="0"/>
                                  <w:marBottom w:val="0"/>
                                  <w:divBdr>
                                    <w:top w:val="none" w:sz="0" w:space="0" w:color="auto"/>
                                    <w:left w:val="none" w:sz="0" w:space="0" w:color="auto"/>
                                    <w:bottom w:val="none" w:sz="0" w:space="0" w:color="auto"/>
                                    <w:right w:val="none" w:sz="0" w:space="0" w:color="auto"/>
                                  </w:divBdr>
                                </w:div>
                                <w:div w:id="985009817">
                                  <w:marLeft w:val="0"/>
                                  <w:marRight w:val="0"/>
                                  <w:marTop w:val="0"/>
                                  <w:marBottom w:val="0"/>
                                  <w:divBdr>
                                    <w:top w:val="none" w:sz="0" w:space="0" w:color="auto"/>
                                    <w:left w:val="none" w:sz="0" w:space="0" w:color="auto"/>
                                    <w:bottom w:val="none" w:sz="0" w:space="0" w:color="auto"/>
                                    <w:right w:val="none" w:sz="0" w:space="0" w:color="auto"/>
                                  </w:divBdr>
                                </w:div>
                                <w:div w:id="504512517">
                                  <w:marLeft w:val="0"/>
                                  <w:marRight w:val="0"/>
                                  <w:marTop w:val="0"/>
                                  <w:marBottom w:val="0"/>
                                  <w:divBdr>
                                    <w:top w:val="none" w:sz="0" w:space="0" w:color="auto"/>
                                    <w:left w:val="none" w:sz="0" w:space="0" w:color="auto"/>
                                    <w:bottom w:val="none" w:sz="0" w:space="0" w:color="auto"/>
                                    <w:right w:val="none" w:sz="0" w:space="0" w:color="auto"/>
                                  </w:divBdr>
                                </w:div>
                                <w:div w:id="673999829">
                                  <w:marLeft w:val="0"/>
                                  <w:marRight w:val="0"/>
                                  <w:marTop w:val="0"/>
                                  <w:marBottom w:val="0"/>
                                  <w:divBdr>
                                    <w:top w:val="none" w:sz="0" w:space="0" w:color="auto"/>
                                    <w:left w:val="none" w:sz="0" w:space="0" w:color="auto"/>
                                    <w:bottom w:val="none" w:sz="0" w:space="0" w:color="auto"/>
                                    <w:right w:val="none" w:sz="0" w:space="0" w:color="auto"/>
                                  </w:divBdr>
                                </w:div>
                                <w:div w:id="1815830601">
                                  <w:marLeft w:val="0"/>
                                  <w:marRight w:val="0"/>
                                  <w:marTop w:val="0"/>
                                  <w:marBottom w:val="0"/>
                                  <w:divBdr>
                                    <w:top w:val="none" w:sz="0" w:space="0" w:color="auto"/>
                                    <w:left w:val="none" w:sz="0" w:space="0" w:color="auto"/>
                                    <w:bottom w:val="none" w:sz="0" w:space="0" w:color="auto"/>
                                    <w:right w:val="none" w:sz="0" w:space="0" w:color="auto"/>
                                  </w:divBdr>
                                </w:div>
                                <w:div w:id="85003130">
                                  <w:marLeft w:val="0"/>
                                  <w:marRight w:val="0"/>
                                  <w:marTop w:val="0"/>
                                  <w:marBottom w:val="0"/>
                                  <w:divBdr>
                                    <w:top w:val="none" w:sz="0" w:space="0" w:color="auto"/>
                                    <w:left w:val="none" w:sz="0" w:space="0" w:color="auto"/>
                                    <w:bottom w:val="none" w:sz="0" w:space="0" w:color="auto"/>
                                    <w:right w:val="none" w:sz="0" w:space="0" w:color="auto"/>
                                  </w:divBdr>
                                </w:div>
                                <w:div w:id="1280600904">
                                  <w:marLeft w:val="0"/>
                                  <w:marRight w:val="0"/>
                                  <w:marTop w:val="0"/>
                                  <w:marBottom w:val="0"/>
                                  <w:divBdr>
                                    <w:top w:val="none" w:sz="0" w:space="0" w:color="auto"/>
                                    <w:left w:val="none" w:sz="0" w:space="0" w:color="auto"/>
                                    <w:bottom w:val="none" w:sz="0" w:space="0" w:color="auto"/>
                                    <w:right w:val="none" w:sz="0" w:space="0" w:color="auto"/>
                                  </w:divBdr>
                                </w:div>
                                <w:div w:id="11877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938584">
      <w:bodyDiv w:val="1"/>
      <w:marLeft w:val="0"/>
      <w:marRight w:val="0"/>
      <w:marTop w:val="0"/>
      <w:marBottom w:val="0"/>
      <w:divBdr>
        <w:top w:val="none" w:sz="0" w:space="0" w:color="auto"/>
        <w:left w:val="none" w:sz="0" w:space="0" w:color="auto"/>
        <w:bottom w:val="none" w:sz="0" w:space="0" w:color="auto"/>
        <w:right w:val="none" w:sz="0" w:space="0" w:color="auto"/>
      </w:divBdr>
    </w:div>
    <w:div w:id="1127354879">
      <w:bodyDiv w:val="1"/>
      <w:marLeft w:val="0"/>
      <w:marRight w:val="0"/>
      <w:marTop w:val="0"/>
      <w:marBottom w:val="0"/>
      <w:divBdr>
        <w:top w:val="none" w:sz="0" w:space="0" w:color="auto"/>
        <w:left w:val="none" w:sz="0" w:space="0" w:color="auto"/>
        <w:bottom w:val="none" w:sz="0" w:space="0" w:color="auto"/>
        <w:right w:val="none" w:sz="0" w:space="0" w:color="auto"/>
      </w:divBdr>
    </w:div>
    <w:div w:id="1207255861">
      <w:bodyDiv w:val="1"/>
      <w:marLeft w:val="0"/>
      <w:marRight w:val="0"/>
      <w:marTop w:val="0"/>
      <w:marBottom w:val="0"/>
      <w:divBdr>
        <w:top w:val="none" w:sz="0" w:space="0" w:color="auto"/>
        <w:left w:val="none" w:sz="0" w:space="0" w:color="auto"/>
        <w:bottom w:val="none" w:sz="0" w:space="0" w:color="auto"/>
        <w:right w:val="none" w:sz="0" w:space="0" w:color="auto"/>
      </w:divBdr>
    </w:div>
    <w:div w:id="1576814650">
      <w:bodyDiv w:val="1"/>
      <w:marLeft w:val="0"/>
      <w:marRight w:val="0"/>
      <w:marTop w:val="0"/>
      <w:marBottom w:val="0"/>
      <w:divBdr>
        <w:top w:val="none" w:sz="0" w:space="0" w:color="auto"/>
        <w:left w:val="none" w:sz="0" w:space="0" w:color="auto"/>
        <w:bottom w:val="none" w:sz="0" w:space="0" w:color="auto"/>
        <w:right w:val="none" w:sz="0" w:space="0" w:color="auto"/>
      </w:divBdr>
    </w:div>
    <w:div w:id="1778478835">
      <w:bodyDiv w:val="1"/>
      <w:marLeft w:val="0"/>
      <w:marRight w:val="0"/>
      <w:marTop w:val="0"/>
      <w:marBottom w:val="0"/>
      <w:divBdr>
        <w:top w:val="none" w:sz="0" w:space="0" w:color="auto"/>
        <w:left w:val="none" w:sz="0" w:space="0" w:color="auto"/>
        <w:bottom w:val="none" w:sz="0" w:space="0" w:color="auto"/>
        <w:right w:val="none" w:sz="0" w:space="0" w:color="auto"/>
      </w:divBdr>
    </w:div>
    <w:div w:id="1782259738">
      <w:bodyDiv w:val="1"/>
      <w:marLeft w:val="0"/>
      <w:marRight w:val="0"/>
      <w:marTop w:val="0"/>
      <w:marBottom w:val="0"/>
      <w:divBdr>
        <w:top w:val="none" w:sz="0" w:space="0" w:color="auto"/>
        <w:left w:val="none" w:sz="0" w:space="0" w:color="auto"/>
        <w:bottom w:val="none" w:sz="0" w:space="0" w:color="auto"/>
        <w:right w:val="none" w:sz="0" w:space="0" w:color="auto"/>
      </w:divBdr>
    </w:div>
    <w:div w:id="1810777661">
      <w:bodyDiv w:val="1"/>
      <w:marLeft w:val="0"/>
      <w:marRight w:val="0"/>
      <w:marTop w:val="0"/>
      <w:marBottom w:val="0"/>
      <w:divBdr>
        <w:top w:val="none" w:sz="0" w:space="0" w:color="auto"/>
        <w:left w:val="none" w:sz="0" w:space="0" w:color="auto"/>
        <w:bottom w:val="none" w:sz="0" w:space="0" w:color="auto"/>
        <w:right w:val="none" w:sz="0" w:space="0" w:color="auto"/>
      </w:divBdr>
    </w:div>
    <w:div w:id="2101444091">
      <w:bodyDiv w:val="1"/>
      <w:marLeft w:val="0"/>
      <w:marRight w:val="0"/>
      <w:marTop w:val="0"/>
      <w:marBottom w:val="0"/>
      <w:divBdr>
        <w:top w:val="none" w:sz="0" w:space="0" w:color="auto"/>
        <w:left w:val="none" w:sz="0" w:space="0" w:color="auto"/>
        <w:bottom w:val="none" w:sz="0" w:space="0" w:color="auto"/>
        <w:right w:val="none" w:sz="0" w:space="0" w:color="auto"/>
      </w:divBdr>
    </w:div>
    <w:div w:id="2105301942">
      <w:bodyDiv w:val="1"/>
      <w:marLeft w:val="0"/>
      <w:marRight w:val="0"/>
      <w:marTop w:val="0"/>
      <w:marBottom w:val="0"/>
      <w:divBdr>
        <w:top w:val="none" w:sz="0" w:space="0" w:color="auto"/>
        <w:left w:val="none" w:sz="0" w:space="0" w:color="auto"/>
        <w:bottom w:val="none" w:sz="0" w:space="0" w:color="auto"/>
        <w:right w:val="none" w:sz="0" w:space="0" w:color="auto"/>
      </w:divBdr>
    </w:div>
    <w:div w:id="211631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5B51A-32F4-402D-8E42-21B9E9C3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1748</Words>
  <Characters>9967</Characters>
  <Application>Microsoft Office Word</Application>
  <DocSecurity>4</DocSecurity>
  <Lines>83</Lines>
  <Paragraphs>23</Paragraphs>
  <ScaleCrop>false</ScaleCrop>
  <Company>微软中国</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2025-12-03T16:00:00Z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