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E2" w:rsidRPr="00035619" w:rsidRDefault="00EF41C3" w:rsidP="00347826">
      <w:pPr>
        <w:spacing w:before="5" w:line="360" w:lineRule="auto"/>
        <w:jc w:val="center"/>
        <w:rPr>
          <w:rFonts w:ascii="Times New Roman" w:eastAsia="宋体" w:hAnsi="Times New Roman" w:cs="Times New Roman"/>
          <w:b/>
          <w:spacing w:val="7"/>
          <w:kern w:val="0"/>
          <w:sz w:val="28"/>
          <w:szCs w:val="24"/>
        </w:rPr>
      </w:pPr>
      <w:r w:rsidRPr="00035619">
        <w:rPr>
          <w:rFonts w:ascii="Times New Roman" w:eastAsia="宋体" w:hAnsi="Times New Roman" w:cs="Times New Roman"/>
          <w:b/>
          <w:spacing w:val="7"/>
          <w:kern w:val="0"/>
          <w:sz w:val="28"/>
          <w:szCs w:val="24"/>
        </w:rPr>
        <w:t>万家中证港股通央企红利交易型开放式指数证券投资基金</w:t>
      </w:r>
    </w:p>
    <w:p w:rsidR="00697A1B" w:rsidRPr="00035619" w:rsidRDefault="00697A1B" w:rsidP="00347826">
      <w:pPr>
        <w:spacing w:before="5" w:line="360" w:lineRule="auto"/>
        <w:jc w:val="center"/>
        <w:rPr>
          <w:rFonts w:ascii="Times New Roman" w:eastAsia="宋体" w:hAnsi="Times New Roman" w:cs="Times New Roman"/>
          <w:b/>
          <w:spacing w:val="7"/>
          <w:kern w:val="0"/>
          <w:sz w:val="28"/>
          <w:szCs w:val="24"/>
        </w:rPr>
      </w:pPr>
      <w:r w:rsidRPr="00035619">
        <w:rPr>
          <w:rFonts w:ascii="Times New Roman" w:eastAsia="宋体" w:hAnsi="Times New Roman" w:cs="Times New Roman"/>
          <w:b/>
          <w:spacing w:val="7"/>
          <w:kern w:val="0"/>
          <w:sz w:val="28"/>
          <w:szCs w:val="24"/>
        </w:rPr>
        <w:t>分红公告</w:t>
      </w:r>
    </w:p>
    <w:p w:rsidR="00697A1B" w:rsidRPr="00035619" w:rsidRDefault="00697A1B" w:rsidP="00347826">
      <w:pPr>
        <w:spacing w:before="5" w:line="360" w:lineRule="auto"/>
        <w:jc w:val="center"/>
        <w:rPr>
          <w:rFonts w:ascii="Times New Roman" w:eastAsia="宋体" w:hAnsi="Times New Roman" w:cs="Times New Roman"/>
          <w:kern w:val="0"/>
          <w:sz w:val="24"/>
          <w:szCs w:val="24"/>
        </w:rPr>
      </w:pPr>
      <w:r w:rsidRPr="00035619">
        <w:rPr>
          <w:rFonts w:ascii="Times New Roman" w:eastAsia="宋体" w:hAnsi="Times New Roman" w:cs="Times New Roman"/>
          <w:b/>
          <w:spacing w:val="7"/>
          <w:kern w:val="0"/>
          <w:sz w:val="24"/>
          <w:szCs w:val="24"/>
        </w:rPr>
        <w:t>公告送出日期：</w:t>
      </w:r>
      <w:r w:rsidR="00DF0C18" w:rsidRPr="00035619">
        <w:rPr>
          <w:rFonts w:ascii="Times New Roman" w:eastAsia="宋体" w:hAnsi="Times New Roman" w:cs="Times New Roman"/>
          <w:b/>
          <w:spacing w:val="7"/>
          <w:kern w:val="0"/>
          <w:sz w:val="24"/>
          <w:szCs w:val="24"/>
        </w:rPr>
        <w:t>2025</w:t>
      </w:r>
      <w:r w:rsidR="00DF0C18" w:rsidRPr="00035619">
        <w:rPr>
          <w:rFonts w:ascii="Times New Roman" w:eastAsia="宋体" w:hAnsi="Times New Roman" w:cs="Times New Roman"/>
          <w:b/>
          <w:spacing w:val="7"/>
          <w:kern w:val="0"/>
          <w:sz w:val="24"/>
          <w:szCs w:val="24"/>
        </w:rPr>
        <w:t>年</w:t>
      </w:r>
      <w:r w:rsidR="00416B1E">
        <w:rPr>
          <w:rFonts w:ascii="Times New Roman" w:eastAsia="宋体" w:hAnsi="Times New Roman" w:cs="Times New Roman"/>
          <w:b/>
          <w:spacing w:val="7"/>
          <w:kern w:val="0"/>
          <w:sz w:val="24"/>
          <w:szCs w:val="24"/>
        </w:rPr>
        <w:t>12</w:t>
      </w:r>
      <w:r w:rsidR="00C50C80" w:rsidRPr="00035619">
        <w:rPr>
          <w:rFonts w:ascii="Times New Roman" w:eastAsia="宋体" w:hAnsi="Times New Roman" w:cs="Times New Roman"/>
          <w:b/>
          <w:spacing w:val="7"/>
          <w:kern w:val="0"/>
          <w:sz w:val="24"/>
          <w:szCs w:val="24"/>
        </w:rPr>
        <w:t>月</w:t>
      </w:r>
      <w:r w:rsidR="00416B1E">
        <w:rPr>
          <w:rFonts w:ascii="Times New Roman" w:eastAsia="宋体" w:hAnsi="Times New Roman" w:cs="Times New Roman"/>
          <w:b/>
          <w:spacing w:val="7"/>
          <w:kern w:val="0"/>
          <w:sz w:val="24"/>
          <w:szCs w:val="24"/>
        </w:rPr>
        <w:t>4</w:t>
      </w:r>
      <w:r w:rsidRPr="00035619">
        <w:rPr>
          <w:rFonts w:ascii="Times New Roman" w:eastAsia="宋体" w:hAnsi="Times New Roman" w:cs="Times New Roman"/>
          <w:b/>
          <w:spacing w:val="7"/>
          <w:kern w:val="0"/>
          <w:sz w:val="24"/>
          <w:szCs w:val="24"/>
        </w:rPr>
        <w:t>日</w:t>
      </w:r>
    </w:p>
    <w:p w:rsidR="00697A1B" w:rsidRPr="00035619" w:rsidRDefault="00697A1B" w:rsidP="00347826">
      <w:pPr>
        <w:spacing w:before="1" w:line="360" w:lineRule="auto"/>
        <w:jc w:val="left"/>
        <w:rPr>
          <w:rFonts w:ascii="Times New Roman" w:eastAsia="宋体" w:hAnsi="Times New Roman" w:cs="Times New Roman"/>
          <w:b/>
          <w:bCs/>
          <w:kern w:val="0"/>
          <w:sz w:val="24"/>
          <w:szCs w:val="24"/>
        </w:rPr>
      </w:pPr>
    </w:p>
    <w:p w:rsidR="00697A1B" w:rsidRPr="00035619" w:rsidRDefault="00697A1B" w:rsidP="00347826">
      <w:pPr>
        <w:spacing w:before="80" w:line="360" w:lineRule="auto"/>
        <w:ind w:right="876"/>
        <w:rPr>
          <w:rFonts w:ascii="Times New Roman" w:eastAsia="宋体" w:hAnsi="Times New Roman" w:cs="Times New Roman"/>
          <w:spacing w:val="-1"/>
          <w:kern w:val="0"/>
          <w:sz w:val="24"/>
          <w:szCs w:val="24"/>
        </w:rPr>
      </w:pPr>
      <w:r w:rsidRPr="00035619">
        <w:rPr>
          <w:rFonts w:ascii="Times New Roman" w:eastAsia="宋体" w:hAnsi="Times New Roman" w:cs="Times New Roman"/>
          <w:b/>
          <w:bCs/>
          <w:kern w:val="0"/>
          <w:sz w:val="24"/>
          <w:szCs w:val="24"/>
        </w:rPr>
        <w:t>1</w:t>
      </w:r>
      <w:r w:rsidRPr="00035619">
        <w:rPr>
          <w:rFonts w:ascii="Times New Roman" w:eastAsia="宋体" w:hAnsi="Times New Roman" w:cs="Times New Roman"/>
          <w:b/>
          <w:bCs/>
          <w:kern w:val="0"/>
          <w:sz w:val="24"/>
          <w:szCs w:val="24"/>
        </w:rPr>
        <w:t>、公告基本信息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
        <w:gridCol w:w="2300"/>
        <w:gridCol w:w="5253"/>
      </w:tblGrid>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基金名称</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万家中证港股通央企红利交易型开放式指数证券投资基金</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基金简称</w:t>
            </w:r>
          </w:p>
        </w:tc>
        <w:tc>
          <w:tcPr>
            <w:tcW w:w="3079" w:type="pct"/>
            <w:vAlign w:val="center"/>
            <w:hideMark/>
          </w:tcPr>
          <w:p w:rsidR="0036165A"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万家中证港股通央企红利</w:t>
            </w:r>
            <w:r w:rsidRPr="00035619">
              <w:rPr>
                <w:rFonts w:ascii="Times New Roman" w:eastAsia="宋体" w:hAnsi="Times New Roman" w:cs="Times New Roman"/>
                <w:kern w:val="0"/>
                <w:sz w:val="24"/>
                <w:szCs w:val="24"/>
              </w:rPr>
              <w:t>ETF</w:t>
            </w:r>
          </w:p>
          <w:p w:rsidR="00697A1B" w:rsidRPr="00035619" w:rsidRDefault="00697A1B"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（场内简称：</w:t>
            </w:r>
            <w:r w:rsidR="00EF41C3" w:rsidRPr="00035619">
              <w:rPr>
                <w:rFonts w:ascii="Times New Roman" w:eastAsia="宋体" w:hAnsi="Times New Roman" w:cs="Times New Roman"/>
                <w:kern w:val="0"/>
                <w:sz w:val="24"/>
                <w:szCs w:val="24"/>
              </w:rPr>
              <w:t>港股央企红利</w:t>
            </w:r>
            <w:r w:rsidR="00EF41C3" w:rsidRPr="00035619">
              <w:rPr>
                <w:rFonts w:ascii="Times New Roman" w:eastAsia="宋体" w:hAnsi="Times New Roman" w:cs="Times New Roman"/>
                <w:kern w:val="0"/>
                <w:sz w:val="24"/>
                <w:szCs w:val="24"/>
              </w:rPr>
              <w:t>ETF</w:t>
            </w:r>
            <w:r w:rsidRPr="00035619">
              <w:rPr>
                <w:rFonts w:ascii="Times New Roman" w:eastAsia="宋体" w:hAnsi="Times New Roman" w:cs="Times New Roman"/>
                <w:kern w:val="0"/>
                <w:sz w:val="24"/>
                <w:szCs w:val="24"/>
              </w:rPr>
              <w:t>）</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基金主代码</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159333</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基金管理人名称</w:t>
            </w:r>
          </w:p>
        </w:tc>
        <w:tc>
          <w:tcPr>
            <w:tcW w:w="3079" w:type="pct"/>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万家基金管理有限公司</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基金托管人名称</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浙商证券股份有限公司</w:t>
            </w:r>
          </w:p>
        </w:tc>
      </w:tr>
      <w:tr w:rsidR="00347826" w:rsidRPr="00035619" w:rsidTr="00672286">
        <w:trPr>
          <w:trHeight w:val="397"/>
          <w:tblCellSpacing w:w="0" w:type="dxa"/>
        </w:trPr>
        <w:tc>
          <w:tcPr>
            <w:tcW w:w="1921" w:type="pct"/>
            <w:gridSpan w:val="2"/>
            <w:vAlign w:val="center"/>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基金合同生效日</w:t>
            </w:r>
          </w:p>
        </w:tc>
        <w:tc>
          <w:tcPr>
            <w:tcW w:w="3079" w:type="pct"/>
            <w:vAlign w:val="center"/>
          </w:tcPr>
          <w:p w:rsidR="00697A1B" w:rsidRPr="00035619" w:rsidRDefault="000E6C57"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lang w:eastAsia="en-US"/>
              </w:rPr>
              <w:t>2024</w:t>
            </w:r>
            <w:r w:rsidR="00697A1B" w:rsidRPr="00035619">
              <w:rPr>
                <w:rFonts w:ascii="Times New Roman" w:eastAsia="宋体" w:hAnsi="Times New Roman" w:cs="Times New Roman"/>
                <w:kern w:val="0"/>
                <w:sz w:val="24"/>
                <w:szCs w:val="24"/>
                <w:lang w:eastAsia="en-US"/>
              </w:rPr>
              <w:t>年</w:t>
            </w:r>
            <w:r w:rsidR="00EF41C3" w:rsidRPr="00035619">
              <w:rPr>
                <w:rFonts w:ascii="Times New Roman" w:eastAsia="宋体" w:hAnsi="Times New Roman" w:cs="Times New Roman"/>
                <w:kern w:val="0"/>
                <w:sz w:val="24"/>
                <w:szCs w:val="24"/>
              </w:rPr>
              <w:t>8</w:t>
            </w:r>
            <w:r w:rsidR="00697A1B" w:rsidRPr="00035619">
              <w:rPr>
                <w:rFonts w:ascii="Times New Roman" w:eastAsia="宋体" w:hAnsi="Times New Roman" w:cs="Times New Roman"/>
                <w:kern w:val="0"/>
                <w:sz w:val="24"/>
                <w:szCs w:val="24"/>
                <w:lang w:eastAsia="en-US"/>
              </w:rPr>
              <w:t>月</w:t>
            </w:r>
            <w:r w:rsidR="00EF41C3" w:rsidRPr="00035619">
              <w:rPr>
                <w:rFonts w:ascii="Times New Roman" w:eastAsia="宋体" w:hAnsi="Times New Roman" w:cs="Times New Roman"/>
                <w:kern w:val="0"/>
                <w:sz w:val="24"/>
                <w:szCs w:val="24"/>
              </w:rPr>
              <w:t>21</w:t>
            </w:r>
            <w:r w:rsidR="00697A1B" w:rsidRPr="00035619">
              <w:rPr>
                <w:rFonts w:ascii="Times New Roman" w:eastAsia="宋体" w:hAnsi="Times New Roman" w:cs="Times New Roman"/>
                <w:kern w:val="0"/>
                <w:sz w:val="24"/>
                <w:szCs w:val="24"/>
                <w:lang w:eastAsia="en-US"/>
              </w:rPr>
              <w:t>日</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公告依据</w:t>
            </w:r>
          </w:p>
        </w:tc>
        <w:tc>
          <w:tcPr>
            <w:tcW w:w="3079" w:type="pct"/>
            <w:vAlign w:val="center"/>
            <w:hideMark/>
          </w:tcPr>
          <w:p w:rsidR="00697A1B" w:rsidRPr="00035619" w:rsidRDefault="00697A1B" w:rsidP="00E030EB">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根据《中华人民共和国证券投资基金法》《</w:t>
            </w:r>
            <w:r w:rsidR="00114B86" w:rsidRPr="00035619">
              <w:rPr>
                <w:rFonts w:ascii="Times New Roman" w:eastAsia="宋体" w:hAnsi="Times New Roman" w:cs="Times New Roman"/>
                <w:kern w:val="0"/>
                <w:sz w:val="24"/>
                <w:szCs w:val="24"/>
              </w:rPr>
              <w:t>公开募集证券投资基金信息披露管理办法</w:t>
            </w:r>
            <w:r w:rsidRPr="00035619">
              <w:rPr>
                <w:rFonts w:ascii="Times New Roman" w:eastAsia="宋体" w:hAnsi="Times New Roman" w:cs="Times New Roman"/>
                <w:kern w:val="0"/>
                <w:sz w:val="24"/>
                <w:szCs w:val="24"/>
              </w:rPr>
              <w:t>》的有关规定、《</w:t>
            </w:r>
            <w:r w:rsidR="00EF41C3" w:rsidRPr="00035619">
              <w:rPr>
                <w:rFonts w:ascii="Times New Roman" w:eastAsia="宋体" w:hAnsi="Times New Roman" w:cs="Times New Roman"/>
                <w:kern w:val="0"/>
                <w:sz w:val="24"/>
                <w:szCs w:val="24"/>
              </w:rPr>
              <w:t>万家中证港股通央企红利交易型开放式指数证券投资基金</w:t>
            </w:r>
            <w:r w:rsidRPr="00035619">
              <w:rPr>
                <w:rFonts w:ascii="Times New Roman" w:eastAsia="宋体" w:hAnsi="Times New Roman" w:cs="Times New Roman"/>
                <w:kern w:val="0"/>
                <w:sz w:val="24"/>
                <w:szCs w:val="24"/>
              </w:rPr>
              <w:t>基金合同》《</w:t>
            </w:r>
            <w:r w:rsidR="00EF41C3" w:rsidRPr="00035619">
              <w:rPr>
                <w:rFonts w:ascii="Times New Roman" w:eastAsia="宋体" w:hAnsi="Times New Roman" w:cs="Times New Roman"/>
                <w:kern w:val="0"/>
                <w:sz w:val="24"/>
                <w:szCs w:val="24"/>
              </w:rPr>
              <w:t>万家中证港股通央企红利交易型开放式指数证券投资基金</w:t>
            </w:r>
            <w:r w:rsidRPr="00035619">
              <w:rPr>
                <w:rFonts w:ascii="Times New Roman" w:eastAsia="宋体" w:hAnsi="Times New Roman" w:cs="Times New Roman"/>
                <w:kern w:val="0"/>
                <w:sz w:val="24"/>
                <w:szCs w:val="24"/>
              </w:rPr>
              <w:t>招募说明书》</w:t>
            </w:r>
            <w:r w:rsidR="00E030EB">
              <w:rPr>
                <w:rFonts w:ascii="Times New Roman" w:eastAsia="宋体" w:hAnsi="Times New Roman" w:cs="Times New Roman" w:hint="eastAsia"/>
                <w:kern w:val="0"/>
                <w:sz w:val="24"/>
                <w:szCs w:val="24"/>
              </w:rPr>
              <w:t>及其更新</w:t>
            </w:r>
            <w:r w:rsidRPr="00035619">
              <w:rPr>
                <w:rFonts w:ascii="Times New Roman" w:eastAsia="宋体" w:hAnsi="Times New Roman" w:cs="Times New Roman"/>
                <w:kern w:val="0"/>
                <w:sz w:val="24"/>
                <w:szCs w:val="24"/>
              </w:rPr>
              <w:t>的有关约定</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收益分配基准日</w:t>
            </w:r>
          </w:p>
        </w:tc>
        <w:tc>
          <w:tcPr>
            <w:tcW w:w="3079" w:type="pct"/>
            <w:vAlign w:val="center"/>
            <w:hideMark/>
          </w:tcPr>
          <w:p w:rsidR="00697A1B" w:rsidRPr="00035619" w:rsidRDefault="00DF0C18" w:rsidP="00416B1E">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2025</w:t>
            </w:r>
            <w:r w:rsidRPr="00035619">
              <w:rPr>
                <w:rFonts w:ascii="Times New Roman" w:eastAsia="宋体" w:hAnsi="Times New Roman" w:cs="Times New Roman"/>
                <w:kern w:val="0"/>
                <w:sz w:val="24"/>
                <w:szCs w:val="24"/>
              </w:rPr>
              <w:t>年</w:t>
            </w:r>
            <w:r w:rsidRPr="00035619">
              <w:rPr>
                <w:rFonts w:ascii="Times New Roman" w:eastAsia="宋体" w:hAnsi="Times New Roman" w:cs="Times New Roman"/>
                <w:kern w:val="0"/>
                <w:sz w:val="24"/>
                <w:szCs w:val="24"/>
              </w:rPr>
              <w:t>11</w:t>
            </w:r>
            <w:r w:rsidR="00D22457"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28</w:t>
            </w:r>
            <w:r w:rsidR="00E94F47" w:rsidRPr="00035619">
              <w:rPr>
                <w:rFonts w:ascii="Times New Roman" w:eastAsia="宋体" w:hAnsi="Times New Roman" w:cs="Times New Roman"/>
                <w:kern w:val="0"/>
                <w:sz w:val="24"/>
                <w:szCs w:val="24"/>
              </w:rPr>
              <w:t>日</w:t>
            </w:r>
          </w:p>
        </w:tc>
      </w:tr>
      <w:tr w:rsidR="000A4CE2" w:rsidRPr="00035619" w:rsidTr="00672286">
        <w:trPr>
          <w:trHeight w:val="397"/>
          <w:tblCellSpacing w:w="0" w:type="dxa"/>
        </w:trPr>
        <w:tc>
          <w:tcPr>
            <w:tcW w:w="573" w:type="pct"/>
            <w:vMerge w:val="restart"/>
            <w:vAlign w:val="center"/>
            <w:hideMark/>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截止基准日基金的相关指标</w:t>
            </w:r>
          </w:p>
        </w:tc>
        <w:tc>
          <w:tcPr>
            <w:tcW w:w="1348" w:type="pct"/>
            <w:vAlign w:val="center"/>
            <w:hideMark/>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基准日基金份额净值（单位：元</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w:t>
            </w:r>
          </w:p>
        </w:tc>
        <w:tc>
          <w:tcPr>
            <w:tcW w:w="3079" w:type="pct"/>
            <w:vAlign w:val="center"/>
            <w:hideMark/>
          </w:tcPr>
          <w:p w:rsidR="000A4CE2" w:rsidRPr="00035619" w:rsidRDefault="00DF0C18" w:rsidP="00416B1E">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1.4</w:t>
            </w:r>
            <w:r w:rsidR="00416B1E">
              <w:rPr>
                <w:rFonts w:ascii="Times New Roman" w:eastAsia="宋体" w:hAnsi="Times New Roman" w:cs="Times New Roman"/>
                <w:kern w:val="0"/>
                <w:sz w:val="24"/>
                <w:szCs w:val="24"/>
              </w:rPr>
              <w:t>6</w:t>
            </w:r>
            <w:r w:rsidRPr="00035619">
              <w:rPr>
                <w:rFonts w:ascii="Times New Roman" w:eastAsia="宋体" w:hAnsi="Times New Roman" w:cs="Times New Roman"/>
                <w:kern w:val="0"/>
                <w:sz w:val="24"/>
                <w:szCs w:val="24"/>
              </w:rPr>
              <w:t>54</w:t>
            </w:r>
          </w:p>
        </w:tc>
      </w:tr>
      <w:tr w:rsidR="000A4CE2" w:rsidRPr="00035619" w:rsidTr="00672286">
        <w:trPr>
          <w:trHeight w:val="397"/>
          <w:tblCellSpacing w:w="0" w:type="dxa"/>
        </w:trPr>
        <w:tc>
          <w:tcPr>
            <w:tcW w:w="573" w:type="pct"/>
            <w:vMerge/>
            <w:vAlign w:val="center"/>
          </w:tcPr>
          <w:p w:rsidR="000A4CE2" w:rsidRPr="00035619" w:rsidRDefault="000A4CE2" w:rsidP="00672286">
            <w:pPr>
              <w:ind w:left="102"/>
              <w:rPr>
                <w:rFonts w:ascii="Times New Roman" w:eastAsia="宋体" w:hAnsi="Times New Roman" w:cs="Times New Roman"/>
                <w:kern w:val="0"/>
                <w:sz w:val="24"/>
                <w:szCs w:val="24"/>
              </w:rPr>
            </w:pPr>
          </w:p>
        </w:tc>
        <w:tc>
          <w:tcPr>
            <w:tcW w:w="1348" w:type="pct"/>
            <w:vAlign w:val="center"/>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基准日基金可供分配利润（单位：元</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w:t>
            </w:r>
          </w:p>
        </w:tc>
        <w:tc>
          <w:tcPr>
            <w:tcW w:w="3079" w:type="pct"/>
            <w:vAlign w:val="center"/>
          </w:tcPr>
          <w:p w:rsidR="000A4CE2" w:rsidRPr="00035619" w:rsidRDefault="00416B1E" w:rsidP="00672286">
            <w:pPr>
              <w:ind w:left="102"/>
              <w:rPr>
                <w:rFonts w:ascii="Times New Roman" w:eastAsia="宋体" w:hAnsi="Times New Roman" w:cs="Times New Roman"/>
                <w:kern w:val="0"/>
                <w:sz w:val="24"/>
                <w:szCs w:val="24"/>
              </w:rPr>
            </w:pPr>
            <w:r w:rsidRPr="00416B1E">
              <w:rPr>
                <w:rFonts w:ascii="Times New Roman" w:eastAsia="宋体" w:hAnsi="Times New Roman" w:cs="Times New Roman"/>
                <w:kern w:val="0"/>
                <w:sz w:val="24"/>
                <w:szCs w:val="24"/>
              </w:rPr>
              <w:t>101,550,442.01</w:t>
            </w:r>
          </w:p>
        </w:tc>
      </w:tr>
      <w:tr w:rsidR="00D84B78" w:rsidRPr="00035619" w:rsidTr="00672286">
        <w:trPr>
          <w:trHeight w:val="397"/>
          <w:tblCellSpacing w:w="0" w:type="dxa"/>
        </w:trPr>
        <w:tc>
          <w:tcPr>
            <w:tcW w:w="1921" w:type="pct"/>
            <w:gridSpan w:val="2"/>
            <w:vAlign w:val="center"/>
            <w:hideMark/>
          </w:tcPr>
          <w:p w:rsidR="00D84B78" w:rsidRPr="00035619" w:rsidRDefault="00D84B7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本次基金分红方案（单位：元</w:t>
            </w:r>
            <w:r w:rsidRPr="00035619">
              <w:rPr>
                <w:rFonts w:ascii="Times New Roman" w:eastAsia="宋体" w:hAnsi="Times New Roman" w:cs="Times New Roman"/>
                <w:kern w:val="0"/>
                <w:sz w:val="24"/>
                <w:szCs w:val="24"/>
              </w:rPr>
              <w:t>/10</w:t>
            </w:r>
            <w:r w:rsidRPr="00035619">
              <w:rPr>
                <w:rFonts w:ascii="Times New Roman" w:eastAsia="宋体" w:hAnsi="Times New Roman" w:cs="Times New Roman"/>
                <w:kern w:val="0"/>
                <w:sz w:val="24"/>
                <w:szCs w:val="24"/>
              </w:rPr>
              <w:t>份基金份额）</w:t>
            </w:r>
          </w:p>
        </w:tc>
        <w:tc>
          <w:tcPr>
            <w:tcW w:w="3079" w:type="pct"/>
            <w:vAlign w:val="center"/>
            <w:hideMark/>
          </w:tcPr>
          <w:p w:rsidR="00D84B78" w:rsidRPr="00035619" w:rsidRDefault="006B2F2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0.030</w:t>
            </w:r>
          </w:p>
        </w:tc>
      </w:tr>
      <w:tr w:rsidR="00347826" w:rsidRPr="00035619" w:rsidTr="00672286">
        <w:trPr>
          <w:trHeight w:val="397"/>
          <w:tblCellSpacing w:w="0" w:type="dxa"/>
        </w:trPr>
        <w:tc>
          <w:tcPr>
            <w:tcW w:w="1921" w:type="pct"/>
            <w:gridSpan w:val="2"/>
            <w:vAlign w:val="center"/>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有关年度分红次数的说明</w:t>
            </w:r>
          </w:p>
        </w:tc>
        <w:tc>
          <w:tcPr>
            <w:tcW w:w="3079" w:type="pct"/>
            <w:vAlign w:val="center"/>
          </w:tcPr>
          <w:p w:rsidR="00347826" w:rsidRPr="00035619" w:rsidDel="000E6C57" w:rsidRDefault="00347826" w:rsidP="00416B1E">
            <w:pPr>
              <w:ind w:left="102"/>
              <w:rPr>
                <w:rFonts w:ascii="Times New Roman" w:eastAsia="宋体" w:hAnsi="Times New Roman" w:cs="Times New Roman"/>
                <w:color w:val="000000"/>
                <w:sz w:val="24"/>
                <w:szCs w:val="24"/>
              </w:rPr>
            </w:pPr>
            <w:r w:rsidRPr="00035619">
              <w:rPr>
                <w:rFonts w:ascii="Times New Roman" w:eastAsia="宋体" w:hAnsi="Times New Roman" w:cs="Times New Roman"/>
                <w:kern w:val="0"/>
                <w:sz w:val="24"/>
                <w:szCs w:val="24"/>
              </w:rPr>
              <w:t>202</w:t>
            </w:r>
            <w:r w:rsidR="009574C4" w:rsidRPr="00035619">
              <w:rPr>
                <w:rFonts w:ascii="Times New Roman" w:eastAsia="宋体" w:hAnsi="Times New Roman" w:cs="Times New Roman"/>
                <w:kern w:val="0"/>
                <w:sz w:val="24"/>
                <w:szCs w:val="24"/>
              </w:rPr>
              <w:t>5</w:t>
            </w:r>
            <w:r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第</w:t>
            </w:r>
            <w:r w:rsidR="00416B1E">
              <w:rPr>
                <w:rFonts w:ascii="Times New Roman" w:eastAsia="宋体" w:hAnsi="Times New Roman" w:cs="Times New Roman"/>
                <w:kern w:val="0"/>
                <w:sz w:val="24"/>
                <w:szCs w:val="24"/>
              </w:rPr>
              <w:t>5</w:t>
            </w:r>
            <w:r w:rsidRPr="00035619">
              <w:rPr>
                <w:rFonts w:ascii="Times New Roman" w:eastAsia="宋体" w:hAnsi="Times New Roman" w:cs="Times New Roman"/>
                <w:kern w:val="0"/>
                <w:sz w:val="24"/>
                <w:szCs w:val="24"/>
              </w:rPr>
              <w:t>次分红</w:t>
            </w:r>
          </w:p>
        </w:tc>
      </w:tr>
    </w:tbl>
    <w:p w:rsidR="00EF41C3" w:rsidRPr="00035619" w:rsidRDefault="00697A1B"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注</w:t>
      </w:r>
      <w:r w:rsidR="00347826" w:rsidRPr="00035619">
        <w:rPr>
          <w:rFonts w:ascii="Times New Roman" w:eastAsia="宋体" w:hAnsi="Times New Roman" w:cs="Times New Roman"/>
          <w:sz w:val="24"/>
          <w:szCs w:val="24"/>
        </w:rPr>
        <w:t>：</w:t>
      </w:r>
      <w:r w:rsidR="00EF41C3" w:rsidRPr="00035619">
        <w:rPr>
          <w:rFonts w:ascii="Times New Roman" w:eastAsia="宋体" w:hAnsi="Times New Roman" w:cs="Times New Roman"/>
          <w:sz w:val="24"/>
          <w:szCs w:val="24"/>
        </w:rPr>
        <w:t>1</w:t>
      </w:r>
      <w:r w:rsidR="00EF41C3" w:rsidRPr="00035619">
        <w:rPr>
          <w:rFonts w:ascii="Times New Roman" w:eastAsia="宋体" w:hAnsi="Times New Roman" w:cs="Times New Roman"/>
          <w:sz w:val="24"/>
          <w:szCs w:val="24"/>
        </w:rPr>
        <w:t>、基金管理人每月定期对基金相对标的指数的超额收益率进行一次评估，</w:t>
      </w:r>
    </w:p>
    <w:p w:rsidR="00EF41C3" w:rsidRPr="00035619" w:rsidRDefault="00EF41C3"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基金收益评价日核定的基金份额净值增长率超过标的指数同期增长率（经估值汇率调整）达到</w:t>
      </w:r>
      <w:r w:rsidRPr="00035619">
        <w:rPr>
          <w:rFonts w:ascii="Times New Roman" w:eastAsia="宋体" w:hAnsi="Times New Roman" w:cs="Times New Roman"/>
          <w:sz w:val="24"/>
          <w:szCs w:val="24"/>
        </w:rPr>
        <w:t xml:space="preserve"> 0.01%</w:t>
      </w:r>
      <w:r w:rsidRPr="00035619">
        <w:rPr>
          <w:rFonts w:ascii="Times New Roman" w:eastAsia="宋体" w:hAnsi="Times New Roman" w:cs="Times New Roman"/>
          <w:sz w:val="24"/>
          <w:szCs w:val="24"/>
        </w:rPr>
        <w:t>以上，可进行收益分配。</w:t>
      </w:r>
    </w:p>
    <w:p w:rsidR="00697A1B" w:rsidRPr="00035619" w:rsidRDefault="00EF41C3"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2</w:t>
      </w:r>
      <w:r w:rsidRPr="00035619">
        <w:rPr>
          <w:rFonts w:ascii="Times New Roman" w:eastAsia="宋体" w:hAnsi="Times New Roman" w:cs="Times New Roman"/>
          <w:sz w:val="24"/>
          <w:szCs w:val="24"/>
        </w:rPr>
        <w:t>、在符合有关基金收益分配条件的前提下，每次基金收益分配数额由基金管理人根据实际情况确定。</w:t>
      </w:r>
    </w:p>
    <w:p w:rsidR="00347826" w:rsidRPr="00035619" w:rsidRDefault="00697A1B" w:rsidP="00347826">
      <w:pPr>
        <w:tabs>
          <w:tab w:val="left" w:pos="6045"/>
        </w:tabs>
        <w:spacing w:before="190" w:line="360" w:lineRule="auto"/>
        <w:outlineLvl w:val="1"/>
        <w:rPr>
          <w:rFonts w:ascii="Times New Roman" w:eastAsia="宋体" w:hAnsi="Times New Roman" w:cs="Times New Roman"/>
          <w:b/>
          <w:bCs/>
          <w:kern w:val="0"/>
          <w:sz w:val="24"/>
          <w:szCs w:val="24"/>
        </w:rPr>
      </w:pPr>
      <w:r w:rsidRPr="00035619">
        <w:rPr>
          <w:rFonts w:ascii="Times New Roman" w:eastAsia="宋体" w:hAnsi="Times New Roman" w:cs="Times New Roman"/>
          <w:b/>
          <w:bCs/>
          <w:kern w:val="0"/>
          <w:sz w:val="24"/>
          <w:szCs w:val="24"/>
        </w:rPr>
        <w:t>2</w:t>
      </w:r>
      <w:r w:rsidRPr="00035619">
        <w:rPr>
          <w:rFonts w:ascii="Times New Roman" w:eastAsia="宋体" w:hAnsi="Times New Roman" w:cs="Times New Roman"/>
          <w:b/>
          <w:bCs/>
          <w:kern w:val="0"/>
          <w:sz w:val="24"/>
          <w:szCs w:val="24"/>
        </w:rPr>
        <w:t>、与分红相关的其他信息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03"/>
        <w:gridCol w:w="5228"/>
      </w:tblGrid>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权益登记日</w:t>
            </w:r>
          </w:p>
        </w:tc>
        <w:tc>
          <w:tcPr>
            <w:tcW w:w="3064" w:type="pct"/>
            <w:vAlign w:val="center"/>
            <w:hideMark/>
          </w:tcPr>
          <w:p w:rsidR="00347826" w:rsidRPr="00035619" w:rsidRDefault="00DF0C18" w:rsidP="00416B1E">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00416B1E">
              <w:rPr>
                <w:rFonts w:ascii="Times New Roman" w:eastAsia="宋体" w:hAnsi="Times New Roman" w:cs="Times New Roman"/>
                <w:sz w:val="24"/>
                <w:szCs w:val="24"/>
              </w:rPr>
              <w:t>12</w:t>
            </w:r>
            <w:r w:rsidR="00347826" w:rsidRPr="00035619">
              <w:rPr>
                <w:rFonts w:ascii="Times New Roman" w:eastAsia="宋体" w:hAnsi="Times New Roman" w:cs="Times New Roman"/>
                <w:sz w:val="24"/>
                <w:szCs w:val="24"/>
              </w:rPr>
              <w:t>月</w:t>
            </w:r>
            <w:r w:rsidR="00416B1E">
              <w:rPr>
                <w:rFonts w:ascii="Times New Roman" w:eastAsia="宋体" w:hAnsi="Times New Roman" w:cs="Times New Roman"/>
                <w:sz w:val="24"/>
                <w:szCs w:val="24"/>
              </w:rPr>
              <w:t>8</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除息日</w:t>
            </w:r>
          </w:p>
        </w:tc>
        <w:tc>
          <w:tcPr>
            <w:tcW w:w="3064" w:type="pct"/>
            <w:vAlign w:val="center"/>
            <w:hideMark/>
          </w:tcPr>
          <w:p w:rsidR="00347826" w:rsidRPr="00035619" w:rsidRDefault="000A4CE2" w:rsidP="00416B1E">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00416B1E">
              <w:rPr>
                <w:rFonts w:ascii="Times New Roman" w:eastAsia="宋体" w:hAnsi="Times New Roman" w:cs="Times New Roman"/>
                <w:sz w:val="24"/>
                <w:szCs w:val="24"/>
              </w:rPr>
              <w:t>12</w:t>
            </w:r>
            <w:r w:rsidR="00ED16FC" w:rsidRPr="00035619">
              <w:rPr>
                <w:rFonts w:ascii="Times New Roman" w:eastAsia="宋体" w:hAnsi="Times New Roman" w:cs="Times New Roman"/>
                <w:sz w:val="24"/>
                <w:szCs w:val="24"/>
              </w:rPr>
              <w:t>月</w:t>
            </w:r>
            <w:r w:rsidR="00416B1E">
              <w:rPr>
                <w:rFonts w:ascii="Times New Roman" w:eastAsia="宋体" w:hAnsi="Times New Roman" w:cs="Times New Roman"/>
                <w:sz w:val="24"/>
                <w:szCs w:val="24"/>
              </w:rPr>
              <w:t>9</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现金红利发放日</w:t>
            </w:r>
          </w:p>
        </w:tc>
        <w:tc>
          <w:tcPr>
            <w:tcW w:w="3064" w:type="pct"/>
            <w:vAlign w:val="center"/>
            <w:hideMark/>
          </w:tcPr>
          <w:p w:rsidR="00347826" w:rsidRPr="00035619" w:rsidRDefault="00DF0C18" w:rsidP="00416B1E">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00416B1E">
              <w:rPr>
                <w:rFonts w:ascii="Times New Roman" w:eastAsia="宋体" w:hAnsi="Times New Roman" w:cs="Times New Roman"/>
                <w:sz w:val="24"/>
                <w:szCs w:val="24"/>
              </w:rPr>
              <w:t>12</w:t>
            </w:r>
            <w:r w:rsidR="00ED16FC" w:rsidRPr="00035619">
              <w:rPr>
                <w:rFonts w:ascii="Times New Roman" w:eastAsia="宋体" w:hAnsi="Times New Roman" w:cs="Times New Roman"/>
                <w:sz w:val="24"/>
                <w:szCs w:val="24"/>
              </w:rPr>
              <w:t>月</w:t>
            </w:r>
            <w:r w:rsidR="00416B1E">
              <w:rPr>
                <w:rFonts w:ascii="Times New Roman" w:eastAsia="宋体" w:hAnsi="Times New Roman" w:cs="Times New Roman"/>
                <w:sz w:val="24"/>
                <w:szCs w:val="24"/>
              </w:rPr>
              <w:t>11</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lastRenderedPageBreak/>
              <w:t>分红对象</w:t>
            </w:r>
          </w:p>
        </w:tc>
        <w:tc>
          <w:tcPr>
            <w:tcW w:w="3064"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pacing w:val="4"/>
                <w:sz w:val="24"/>
                <w:szCs w:val="24"/>
              </w:rPr>
              <w:t>权益登记日下午深圳证券交易所交易结束后，在中国证券登记结算有限责任公司深圳分公司登记</w:t>
            </w:r>
            <w:r w:rsidRPr="00035619">
              <w:rPr>
                <w:rFonts w:ascii="Times New Roman" w:eastAsia="宋体" w:hAnsi="Times New Roman" w:cs="Times New Roman"/>
                <w:sz w:val="24"/>
                <w:szCs w:val="24"/>
              </w:rPr>
              <w:t>在册的本基金全体份额持有人。</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红利再投资相关事项的说明</w:t>
            </w:r>
          </w:p>
        </w:tc>
        <w:tc>
          <w:tcPr>
            <w:tcW w:w="3064"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本基金的收益分配方式为现金分红。</w:t>
            </w:r>
          </w:p>
        </w:tc>
      </w:tr>
      <w:tr w:rsidR="00347826" w:rsidRPr="00035619" w:rsidTr="00672286">
        <w:trPr>
          <w:trHeight w:val="397"/>
          <w:tblCellSpacing w:w="0" w:type="dxa"/>
        </w:trPr>
        <w:tc>
          <w:tcPr>
            <w:tcW w:w="1936" w:type="pct"/>
            <w:vAlign w:val="center"/>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税收相关事项的说明</w:t>
            </w:r>
          </w:p>
        </w:tc>
        <w:tc>
          <w:tcPr>
            <w:tcW w:w="3064" w:type="pct"/>
            <w:vAlign w:val="center"/>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根据财政部</w:t>
            </w:r>
            <w:r w:rsidRPr="00035619">
              <w:rPr>
                <w:rFonts w:ascii="Times New Roman" w:eastAsia="宋体" w:hAnsi="Times New Roman" w:cs="Times New Roman"/>
                <w:spacing w:val="-34"/>
                <w:sz w:val="24"/>
                <w:szCs w:val="24"/>
              </w:rPr>
              <w:t>、</w:t>
            </w:r>
            <w:r w:rsidRPr="00035619">
              <w:rPr>
                <w:rFonts w:ascii="Times New Roman" w:eastAsia="宋体" w:hAnsi="Times New Roman" w:cs="Times New Roman"/>
                <w:sz w:val="24"/>
                <w:szCs w:val="24"/>
              </w:rPr>
              <w:t>国家税</w:t>
            </w:r>
            <w:r w:rsidRPr="00035619">
              <w:rPr>
                <w:rFonts w:ascii="Times New Roman" w:eastAsia="宋体" w:hAnsi="Times New Roman" w:cs="Times New Roman"/>
                <w:spacing w:val="2"/>
                <w:sz w:val="24"/>
                <w:szCs w:val="24"/>
              </w:rPr>
              <w:t>务</w:t>
            </w:r>
            <w:r w:rsidRPr="00035619">
              <w:rPr>
                <w:rFonts w:ascii="Times New Roman" w:eastAsia="宋体" w:hAnsi="Times New Roman" w:cs="Times New Roman"/>
                <w:sz w:val="24"/>
                <w:szCs w:val="24"/>
              </w:rPr>
              <w:t>总局财税字</w:t>
            </w:r>
            <w:r w:rsidRPr="00035619">
              <w:rPr>
                <w:rFonts w:ascii="Times New Roman" w:eastAsia="宋体" w:hAnsi="Times New Roman" w:cs="Times New Roman"/>
                <w:sz w:val="24"/>
                <w:szCs w:val="24"/>
              </w:rPr>
              <w:t>[2002]128</w:t>
            </w:r>
            <w:r w:rsidRPr="00035619">
              <w:rPr>
                <w:rFonts w:ascii="Times New Roman" w:eastAsia="宋体" w:hAnsi="Times New Roman" w:cs="Times New Roman"/>
                <w:spacing w:val="-60"/>
                <w:sz w:val="24"/>
                <w:szCs w:val="24"/>
              </w:rPr>
              <w:t xml:space="preserve"> </w:t>
            </w:r>
            <w:r w:rsidRPr="00035619">
              <w:rPr>
                <w:rFonts w:ascii="Times New Roman" w:eastAsia="宋体" w:hAnsi="Times New Roman" w:cs="Times New Roman"/>
                <w:spacing w:val="-34"/>
                <w:sz w:val="24"/>
                <w:szCs w:val="24"/>
              </w:rPr>
              <w:t>号</w:t>
            </w:r>
            <w:r w:rsidRPr="00035619">
              <w:rPr>
                <w:rFonts w:ascii="Times New Roman" w:eastAsia="宋体" w:hAnsi="Times New Roman" w:cs="Times New Roman"/>
                <w:sz w:val="24"/>
                <w:szCs w:val="24"/>
              </w:rPr>
              <w:t>《关</w:t>
            </w:r>
            <w:r w:rsidRPr="00035619">
              <w:rPr>
                <w:rFonts w:ascii="Times New Roman" w:eastAsia="宋体" w:hAnsi="Times New Roman" w:cs="Times New Roman"/>
                <w:spacing w:val="4"/>
                <w:sz w:val="24"/>
                <w:szCs w:val="24"/>
              </w:rPr>
              <w:t>于开放式证券投资基金有关税收问题的通知》，基</w:t>
            </w:r>
            <w:r w:rsidRPr="00035619">
              <w:rPr>
                <w:rFonts w:ascii="Times New Roman" w:eastAsia="宋体" w:hAnsi="Times New Roman" w:cs="Times New Roman"/>
                <w:sz w:val="24"/>
                <w:szCs w:val="24"/>
              </w:rPr>
              <w:t>金向投资者分配的基金收益，暂免征收所得税。</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费用相关事项的说明</w:t>
            </w:r>
          </w:p>
        </w:tc>
        <w:tc>
          <w:tcPr>
            <w:tcW w:w="3064" w:type="pct"/>
            <w:vAlign w:val="center"/>
            <w:hideMark/>
          </w:tcPr>
          <w:p w:rsidR="00347826" w:rsidRPr="00035619" w:rsidRDefault="00BA725E"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本基金本次分红免收分红手续费。</w:t>
            </w:r>
          </w:p>
        </w:tc>
      </w:tr>
    </w:tbl>
    <w:p w:rsidR="00697A1B" w:rsidRPr="00035619" w:rsidRDefault="00347826" w:rsidP="00344CCF">
      <w:pPr>
        <w:tabs>
          <w:tab w:val="left" w:pos="6045"/>
        </w:tabs>
        <w:spacing w:before="190" w:line="360" w:lineRule="auto"/>
        <w:outlineLvl w:val="1"/>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注：本次收益分配方案已经本基金的托管人</w:t>
      </w:r>
      <w:r w:rsidR="00EF41C3" w:rsidRPr="00035619">
        <w:rPr>
          <w:rFonts w:ascii="Times New Roman" w:eastAsia="宋体" w:hAnsi="Times New Roman" w:cs="Times New Roman"/>
          <w:kern w:val="0"/>
          <w:sz w:val="24"/>
          <w:szCs w:val="24"/>
        </w:rPr>
        <w:t>浙商证券股份有限公司</w:t>
      </w:r>
      <w:r w:rsidRPr="00035619">
        <w:rPr>
          <w:rFonts w:ascii="Times New Roman" w:eastAsia="宋体" w:hAnsi="Times New Roman" w:cs="Times New Roman"/>
          <w:kern w:val="0"/>
          <w:sz w:val="24"/>
          <w:szCs w:val="24"/>
        </w:rPr>
        <w:t>复核。</w:t>
      </w:r>
    </w:p>
    <w:p w:rsidR="00697A1B" w:rsidRPr="00035619" w:rsidRDefault="00697A1B" w:rsidP="00347826">
      <w:pPr>
        <w:spacing w:line="360" w:lineRule="auto"/>
        <w:jc w:val="left"/>
        <w:outlineLvl w:val="1"/>
        <w:rPr>
          <w:rFonts w:ascii="Times New Roman" w:eastAsia="宋体" w:hAnsi="Times New Roman" w:cs="Times New Roman"/>
          <w:b/>
          <w:bCs/>
          <w:kern w:val="0"/>
          <w:sz w:val="24"/>
          <w:szCs w:val="24"/>
        </w:rPr>
      </w:pPr>
      <w:r w:rsidRPr="00035619">
        <w:rPr>
          <w:rFonts w:ascii="Times New Roman" w:eastAsia="宋体" w:hAnsi="Times New Roman" w:cs="Times New Roman"/>
          <w:b/>
          <w:bCs/>
          <w:kern w:val="0"/>
          <w:sz w:val="24"/>
          <w:szCs w:val="24"/>
        </w:rPr>
        <w:t>3</w:t>
      </w:r>
      <w:r w:rsidRPr="00035619">
        <w:rPr>
          <w:rFonts w:ascii="Times New Roman" w:eastAsia="宋体" w:hAnsi="Times New Roman" w:cs="Times New Roman"/>
          <w:b/>
          <w:bCs/>
          <w:kern w:val="0"/>
          <w:sz w:val="24"/>
          <w:szCs w:val="24"/>
        </w:rPr>
        <w:t>、其他需要提示的事项</w:t>
      </w:r>
    </w:p>
    <w:p w:rsidR="00B517E4" w:rsidRPr="00035619" w:rsidRDefault="00697A1B"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98061A" w:rsidRPr="00035619">
        <w:rPr>
          <w:rFonts w:ascii="Times New Roman" w:eastAsia="宋体" w:hAnsi="Times New Roman" w:cs="Times New Roman"/>
          <w:kern w:val="0"/>
          <w:sz w:val="24"/>
          <w:szCs w:val="24"/>
        </w:rPr>
        <w:t>1</w:t>
      </w:r>
      <w:r w:rsidRPr="00035619">
        <w:rPr>
          <w:rFonts w:ascii="Times New Roman" w:eastAsia="宋体" w:hAnsi="Times New Roman" w:cs="Times New Roman"/>
          <w:kern w:val="0"/>
          <w:sz w:val="24"/>
          <w:szCs w:val="24"/>
        </w:rPr>
        <w:t>）</w:t>
      </w:r>
      <w:r w:rsidR="00B517E4" w:rsidRPr="00035619">
        <w:rPr>
          <w:rFonts w:ascii="Times New Roman" w:eastAsia="宋体" w:hAnsi="Times New Roman" w:cs="Times New Roman"/>
          <w:kern w:val="0"/>
          <w:sz w:val="24"/>
          <w:szCs w:val="24"/>
        </w:rPr>
        <w:t>本基金场内份额将于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416B1E">
        <w:rPr>
          <w:rFonts w:ascii="Times New Roman" w:eastAsia="宋体" w:hAnsi="Times New Roman" w:cs="Times New Roman"/>
          <w:kern w:val="0"/>
          <w:sz w:val="24"/>
          <w:szCs w:val="24"/>
        </w:rPr>
        <w:t>12</w:t>
      </w:r>
      <w:r w:rsidR="00B517E4"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4</w:t>
      </w:r>
      <w:r w:rsidR="00B517E4" w:rsidRPr="00035619">
        <w:rPr>
          <w:rFonts w:ascii="Times New Roman" w:eastAsia="宋体" w:hAnsi="Times New Roman" w:cs="Times New Roman"/>
          <w:kern w:val="0"/>
          <w:sz w:val="24"/>
          <w:szCs w:val="24"/>
        </w:rPr>
        <w:t>日上午开市至</w:t>
      </w:r>
      <w:r w:rsidR="00B517E4" w:rsidRPr="00035619">
        <w:rPr>
          <w:rFonts w:ascii="Times New Roman" w:eastAsia="宋体" w:hAnsi="Times New Roman" w:cs="Times New Roman"/>
          <w:kern w:val="0"/>
          <w:sz w:val="24"/>
          <w:szCs w:val="24"/>
        </w:rPr>
        <w:t>10:30</w:t>
      </w:r>
      <w:r w:rsidR="00B517E4" w:rsidRPr="00035619">
        <w:rPr>
          <w:rFonts w:ascii="Times New Roman" w:eastAsia="宋体" w:hAnsi="Times New Roman" w:cs="Times New Roman"/>
          <w:kern w:val="0"/>
          <w:sz w:val="24"/>
          <w:szCs w:val="24"/>
        </w:rPr>
        <w:t>期间停牌，并将于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416B1E">
        <w:rPr>
          <w:rFonts w:ascii="Times New Roman" w:eastAsia="宋体" w:hAnsi="Times New Roman" w:cs="Times New Roman"/>
          <w:kern w:val="0"/>
          <w:sz w:val="24"/>
          <w:szCs w:val="24"/>
        </w:rPr>
        <w:t>12</w:t>
      </w:r>
      <w:r w:rsidR="00B517E4"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4</w:t>
      </w:r>
      <w:r w:rsidR="00B517E4" w:rsidRPr="00035619">
        <w:rPr>
          <w:rFonts w:ascii="Times New Roman" w:eastAsia="宋体" w:hAnsi="Times New Roman" w:cs="Times New Roman"/>
          <w:kern w:val="0"/>
          <w:sz w:val="24"/>
          <w:szCs w:val="24"/>
        </w:rPr>
        <w:t>日</w:t>
      </w:r>
      <w:r w:rsidR="00B517E4" w:rsidRPr="00035619">
        <w:rPr>
          <w:rFonts w:ascii="Times New Roman" w:eastAsia="宋体" w:hAnsi="Times New Roman" w:cs="Times New Roman"/>
          <w:kern w:val="0"/>
          <w:sz w:val="24"/>
          <w:szCs w:val="24"/>
        </w:rPr>
        <w:t>10:30</w:t>
      </w:r>
      <w:r w:rsidR="00B517E4" w:rsidRPr="00035619">
        <w:rPr>
          <w:rFonts w:ascii="Times New Roman" w:eastAsia="宋体" w:hAnsi="Times New Roman" w:cs="Times New Roman"/>
          <w:kern w:val="0"/>
          <w:sz w:val="24"/>
          <w:szCs w:val="24"/>
        </w:rPr>
        <w:t>起复牌。</w:t>
      </w:r>
    </w:p>
    <w:p w:rsidR="002D6211" w:rsidRPr="00035619" w:rsidRDefault="00C379FB"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2</w:t>
      </w:r>
      <w:r w:rsidRPr="00035619">
        <w:rPr>
          <w:rFonts w:ascii="Times New Roman" w:eastAsia="宋体" w:hAnsi="Times New Roman" w:cs="Times New Roman"/>
          <w:kern w:val="0"/>
          <w:sz w:val="24"/>
          <w:szCs w:val="24"/>
        </w:rPr>
        <w:t>）</w:t>
      </w:r>
      <w:r w:rsidR="006525AC" w:rsidRPr="00035619">
        <w:rPr>
          <w:rFonts w:ascii="Times New Roman" w:eastAsia="宋体" w:hAnsi="Times New Roman" w:cs="Times New Roman"/>
          <w:kern w:val="0"/>
          <w:sz w:val="24"/>
          <w:szCs w:val="24"/>
        </w:rPr>
        <w:t>对于权益登记日在中国证券登记结算有限责任公司深圳分公司登记在册的基金份额所对应的分红款，本公司于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416B1E">
        <w:rPr>
          <w:rFonts w:ascii="Times New Roman" w:eastAsia="宋体" w:hAnsi="Times New Roman" w:cs="Times New Roman"/>
          <w:kern w:val="0"/>
          <w:sz w:val="24"/>
          <w:szCs w:val="24"/>
        </w:rPr>
        <w:t>12</w:t>
      </w:r>
      <w:r w:rsidR="006525AC"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10</w:t>
      </w:r>
      <w:r w:rsidR="006525AC" w:rsidRPr="00035619">
        <w:rPr>
          <w:rFonts w:ascii="Times New Roman" w:eastAsia="宋体" w:hAnsi="Times New Roman" w:cs="Times New Roman"/>
          <w:kern w:val="0"/>
          <w:sz w:val="24"/>
          <w:szCs w:val="24"/>
        </w:rPr>
        <w:t>日将拟分配的现金红利款足额划入中国证券登记结算有限责任公司深圳分公司的指定银行账户，中国证券登记结算有限责任公司深圳分公司在</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416B1E">
        <w:rPr>
          <w:rFonts w:ascii="Times New Roman" w:eastAsia="宋体" w:hAnsi="Times New Roman" w:cs="Times New Roman"/>
          <w:kern w:val="0"/>
          <w:sz w:val="24"/>
          <w:szCs w:val="24"/>
        </w:rPr>
        <w:t>12</w:t>
      </w:r>
      <w:r w:rsidR="006525AC"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11</w:t>
      </w:r>
      <w:r w:rsidR="006525AC" w:rsidRPr="00035619">
        <w:rPr>
          <w:rFonts w:ascii="Times New Roman" w:eastAsia="宋体" w:hAnsi="Times New Roman" w:cs="Times New Roman"/>
          <w:kern w:val="0"/>
          <w:sz w:val="24"/>
          <w:szCs w:val="24"/>
        </w:rPr>
        <w:t>日将现金红利款划付给结算参与机构，投资者具体收到现金红利的时间遵循中国证券登记结算有限责任公司及证券公司的规定。</w:t>
      </w:r>
      <w:r w:rsidR="006525AC" w:rsidRPr="00035619">
        <w:rPr>
          <w:rFonts w:ascii="Times New Roman" w:eastAsia="宋体" w:hAnsi="Times New Roman" w:cs="Times New Roman"/>
          <w:kern w:val="0"/>
          <w:sz w:val="24"/>
          <w:szCs w:val="24"/>
        </w:rPr>
        <w:cr/>
        <w:t xml:space="preserve">  </w:t>
      </w:r>
      <w:r w:rsidR="00B517E4"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3</w:t>
      </w:r>
      <w:r w:rsidR="00B517E4" w:rsidRPr="00035619">
        <w:rPr>
          <w:rFonts w:ascii="Times New Roman" w:eastAsia="宋体" w:hAnsi="Times New Roman" w:cs="Times New Roman"/>
          <w:kern w:val="0"/>
          <w:sz w:val="24"/>
          <w:szCs w:val="24"/>
        </w:rPr>
        <w:t>）</w:t>
      </w:r>
      <w:r w:rsidR="00697A1B" w:rsidRPr="00035619">
        <w:rPr>
          <w:rFonts w:ascii="Times New Roman" w:eastAsia="宋体" w:hAnsi="Times New Roman" w:cs="Times New Roman"/>
          <w:kern w:val="0"/>
          <w:sz w:val="24"/>
          <w:szCs w:val="24"/>
        </w:rPr>
        <w:t>权益登记日当天</w:t>
      </w:r>
      <w:r w:rsidR="002D6211" w:rsidRPr="00035619">
        <w:rPr>
          <w:rFonts w:ascii="Times New Roman" w:eastAsia="宋体" w:hAnsi="Times New Roman" w:cs="Times New Roman"/>
          <w:kern w:val="0"/>
          <w:sz w:val="24"/>
          <w:szCs w:val="24"/>
        </w:rPr>
        <w:t>申请申购或</w:t>
      </w:r>
      <w:r w:rsidR="00697A1B" w:rsidRPr="00035619">
        <w:rPr>
          <w:rFonts w:ascii="Times New Roman" w:eastAsia="宋体" w:hAnsi="Times New Roman" w:cs="Times New Roman"/>
          <w:kern w:val="0"/>
          <w:sz w:val="24"/>
          <w:szCs w:val="24"/>
        </w:rPr>
        <w:t>买入的基金份额享有本次分红权益，权益登记日当天</w:t>
      </w:r>
      <w:r w:rsidR="002D6211" w:rsidRPr="00035619">
        <w:rPr>
          <w:rFonts w:ascii="Times New Roman" w:eastAsia="宋体" w:hAnsi="Times New Roman" w:cs="Times New Roman"/>
          <w:kern w:val="0"/>
          <w:sz w:val="24"/>
          <w:szCs w:val="24"/>
        </w:rPr>
        <w:t>申请赎回或</w:t>
      </w:r>
      <w:r w:rsidR="00697A1B" w:rsidRPr="00035619">
        <w:rPr>
          <w:rFonts w:ascii="Times New Roman" w:eastAsia="宋体" w:hAnsi="Times New Roman" w:cs="Times New Roman"/>
          <w:kern w:val="0"/>
          <w:sz w:val="24"/>
          <w:szCs w:val="24"/>
        </w:rPr>
        <w:t>卖出的基金份额不享有本次分红权益。</w:t>
      </w:r>
    </w:p>
    <w:p w:rsidR="002D6211" w:rsidRPr="00035619" w:rsidRDefault="002D6211"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C379FB" w:rsidRPr="00035619">
        <w:rPr>
          <w:rFonts w:ascii="Times New Roman" w:eastAsia="宋体" w:hAnsi="Times New Roman" w:cs="Times New Roman"/>
          <w:kern w:val="0"/>
          <w:sz w:val="24"/>
          <w:szCs w:val="24"/>
        </w:rPr>
        <w:t>4</w:t>
      </w:r>
      <w:r w:rsidRPr="00035619">
        <w:rPr>
          <w:rFonts w:ascii="Times New Roman" w:eastAsia="宋体" w:hAnsi="Times New Roman" w:cs="Times New Roman"/>
          <w:kern w:val="0"/>
          <w:sz w:val="24"/>
          <w:szCs w:val="24"/>
        </w:rPr>
        <w:t>）本次分红不会改变本基金的风险收益特征，也不会降低本基金的投资风险或提高本基金的投资收益。</w:t>
      </w:r>
    </w:p>
    <w:p w:rsidR="00D053EB" w:rsidRDefault="00697A1B" w:rsidP="00D053EB">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C379FB" w:rsidRPr="00035619">
        <w:rPr>
          <w:rFonts w:ascii="Times New Roman" w:eastAsia="宋体" w:hAnsi="Times New Roman" w:cs="Times New Roman"/>
          <w:kern w:val="0"/>
          <w:sz w:val="24"/>
          <w:szCs w:val="24"/>
        </w:rPr>
        <w:t>5</w:t>
      </w:r>
      <w:r w:rsidRPr="00035619">
        <w:rPr>
          <w:rFonts w:ascii="Times New Roman" w:eastAsia="宋体" w:hAnsi="Times New Roman" w:cs="Times New Roman"/>
          <w:kern w:val="0"/>
          <w:sz w:val="24"/>
          <w:szCs w:val="24"/>
        </w:rPr>
        <w:t>）本基金份额持有人及希望了解本基金其他有关信息的投资者，可以登录</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本</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基</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金</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管</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理</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人</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网</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站</w:t>
      </w:r>
      <w:r w:rsidRPr="00035619">
        <w:rPr>
          <w:rFonts w:ascii="Times New Roman" w:eastAsia="宋体" w:hAnsi="Times New Roman" w:cs="Times New Roman"/>
          <w:kern w:val="0"/>
          <w:sz w:val="24"/>
          <w:szCs w:val="24"/>
        </w:rPr>
        <w:t xml:space="preserve"> </w:t>
      </w:r>
      <w:hyperlink r:id="rId6">
        <w:r w:rsidRPr="00035619">
          <w:rPr>
            <w:rFonts w:ascii="Times New Roman" w:eastAsia="宋体" w:hAnsi="Times New Roman" w:cs="Times New Roman"/>
            <w:kern w:val="0"/>
            <w:sz w:val="24"/>
            <w:szCs w:val="24"/>
          </w:rPr>
          <w:t>http://www.wjasset.com</w:t>
        </w:r>
      </w:hyperlink>
      <w:r w:rsidRPr="00035619">
        <w:rPr>
          <w:rFonts w:ascii="Times New Roman" w:eastAsia="宋体" w:hAnsi="Times New Roman" w:cs="Times New Roman"/>
          <w:kern w:val="0"/>
          <w:sz w:val="24"/>
          <w:szCs w:val="24"/>
        </w:rPr>
        <w:t>或</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拨</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打</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客</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户</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服</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务</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电</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话</w:t>
      </w:r>
      <w:r w:rsidRPr="00035619">
        <w:rPr>
          <w:rFonts w:ascii="Times New Roman" w:eastAsia="宋体" w:hAnsi="Times New Roman" w:cs="Times New Roman"/>
          <w:kern w:val="0"/>
          <w:sz w:val="24"/>
          <w:szCs w:val="24"/>
        </w:rPr>
        <w:t xml:space="preserve"> 400-888-0800</w:t>
      </w:r>
      <w:r w:rsidRPr="00035619">
        <w:rPr>
          <w:rFonts w:ascii="Times New Roman" w:eastAsia="宋体" w:hAnsi="Times New Roman" w:cs="Times New Roman"/>
          <w:kern w:val="0"/>
          <w:sz w:val="24"/>
          <w:szCs w:val="24"/>
        </w:rPr>
        <w:t>（免长途话费</w:t>
      </w:r>
      <w:r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咨询相关事宜。</w:t>
      </w:r>
    </w:p>
    <w:p w:rsidR="00323331" w:rsidRPr="00035619" w:rsidRDefault="00697A1B" w:rsidP="00D053EB">
      <w:pPr>
        <w:spacing w:line="360" w:lineRule="auto"/>
        <w:ind w:firstLineChars="200" w:firstLine="48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特此公告。</w:t>
      </w:r>
    </w:p>
    <w:p w:rsidR="00697A1B" w:rsidRPr="00035619" w:rsidRDefault="00697A1B" w:rsidP="00347826">
      <w:pPr>
        <w:spacing w:line="360" w:lineRule="auto"/>
        <w:jc w:val="righ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万家基金管理有限公司</w:t>
      </w:r>
    </w:p>
    <w:p w:rsidR="00697A1B" w:rsidRPr="00035619" w:rsidRDefault="00DF0C18" w:rsidP="00344CCF">
      <w:pPr>
        <w:spacing w:line="360" w:lineRule="auto"/>
        <w:jc w:val="right"/>
        <w:rPr>
          <w:rFonts w:ascii="Times New Roman" w:eastAsia="宋体" w:hAnsi="Times New Roman" w:cs="Times New Roman"/>
          <w:sz w:val="24"/>
          <w:szCs w:val="24"/>
        </w:rPr>
      </w:pPr>
      <w:r w:rsidRPr="00035619">
        <w:rPr>
          <w:rFonts w:ascii="Times New Roman" w:eastAsia="宋体" w:hAnsi="Times New Roman" w:cs="Times New Roman"/>
          <w:kern w:val="0"/>
          <w:sz w:val="24"/>
          <w:szCs w:val="24"/>
        </w:rPr>
        <w:t>2025</w:t>
      </w:r>
      <w:r w:rsidRPr="00035619">
        <w:rPr>
          <w:rFonts w:ascii="Times New Roman" w:eastAsia="宋体" w:hAnsi="Times New Roman" w:cs="Times New Roman"/>
          <w:kern w:val="0"/>
          <w:sz w:val="24"/>
          <w:szCs w:val="24"/>
        </w:rPr>
        <w:t>年</w:t>
      </w:r>
      <w:r w:rsidR="00416B1E">
        <w:rPr>
          <w:rFonts w:ascii="Times New Roman" w:eastAsia="宋体" w:hAnsi="Times New Roman" w:cs="Times New Roman"/>
          <w:kern w:val="0"/>
          <w:sz w:val="24"/>
          <w:szCs w:val="24"/>
        </w:rPr>
        <w:t>12</w:t>
      </w:r>
      <w:r w:rsidR="00697A1B" w:rsidRPr="00035619">
        <w:rPr>
          <w:rFonts w:ascii="Times New Roman" w:eastAsia="宋体" w:hAnsi="Times New Roman" w:cs="Times New Roman"/>
          <w:kern w:val="0"/>
          <w:sz w:val="24"/>
          <w:szCs w:val="24"/>
        </w:rPr>
        <w:t>月</w:t>
      </w:r>
      <w:r w:rsidR="00416B1E">
        <w:rPr>
          <w:rFonts w:ascii="Times New Roman" w:eastAsia="宋体" w:hAnsi="Times New Roman" w:cs="Times New Roman"/>
          <w:kern w:val="0"/>
          <w:sz w:val="24"/>
          <w:szCs w:val="24"/>
        </w:rPr>
        <w:t>4</w:t>
      </w:r>
      <w:r w:rsidR="00697A1B" w:rsidRPr="00035619">
        <w:rPr>
          <w:rFonts w:ascii="Times New Roman" w:eastAsia="宋体" w:hAnsi="Times New Roman" w:cs="Times New Roman"/>
          <w:kern w:val="0"/>
          <w:sz w:val="24"/>
          <w:szCs w:val="24"/>
        </w:rPr>
        <w:t>日</w:t>
      </w:r>
      <w:bookmarkStart w:id="0" w:name="_GoBack"/>
      <w:bookmarkEnd w:id="0"/>
    </w:p>
    <w:sectPr w:rsidR="00697A1B" w:rsidRPr="00035619" w:rsidSect="00645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9E9" w:rsidRDefault="006169E9" w:rsidP="00697A1B">
      <w:r>
        <w:separator/>
      </w:r>
    </w:p>
  </w:endnote>
  <w:endnote w:type="continuationSeparator" w:id="0">
    <w:p w:rsidR="006169E9" w:rsidRDefault="006169E9" w:rsidP="00697A1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9E9" w:rsidRDefault="006169E9" w:rsidP="00697A1B">
      <w:r>
        <w:separator/>
      </w:r>
    </w:p>
  </w:footnote>
  <w:footnote w:type="continuationSeparator" w:id="0">
    <w:p w:rsidR="006169E9" w:rsidRDefault="006169E9" w:rsidP="00697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D3"/>
    <w:rsid w:val="00027D11"/>
    <w:rsid w:val="00032353"/>
    <w:rsid w:val="00035619"/>
    <w:rsid w:val="00073532"/>
    <w:rsid w:val="000A4CE2"/>
    <w:rsid w:val="000E6C57"/>
    <w:rsid w:val="000F627A"/>
    <w:rsid w:val="00114B86"/>
    <w:rsid w:val="001401A1"/>
    <w:rsid w:val="0014320D"/>
    <w:rsid w:val="001A2C19"/>
    <w:rsid w:val="002203DC"/>
    <w:rsid w:val="002B016D"/>
    <w:rsid w:val="002D6211"/>
    <w:rsid w:val="00323331"/>
    <w:rsid w:val="00344CCF"/>
    <w:rsid w:val="00347826"/>
    <w:rsid w:val="0036165A"/>
    <w:rsid w:val="003C13F6"/>
    <w:rsid w:val="003E61E3"/>
    <w:rsid w:val="00416B1E"/>
    <w:rsid w:val="00422F92"/>
    <w:rsid w:val="00472176"/>
    <w:rsid w:val="004964A8"/>
    <w:rsid w:val="004C0A9E"/>
    <w:rsid w:val="004C3703"/>
    <w:rsid w:val="004E3346"/>
    <w:rsid w:val="004F332F"/>
    <w:rsid w:val="00524AC4"/>
    <w:rsid w:val="00524CEB"/>
    <w:rsid w:val="005C2CED"/>
    <w:rsid w:val="005F7840"/>
    <w:rsid w:val="006169E9"/>
    <w:rsid w:val="0063161A"/>
    <w:rsid w:val="00634AD1"/>
    <w:rsid w:val="006402DE"/>
    <w:rsid w:val="00643502"/>
    <w:rsid w:val="006450C4"/>
    <w:rsid w:val="006525AC"/>
    <w:rsid w:val="00652D5B"/>
    <w:rsid w:val="00672286"/>
    <w:rsid w:val="00686FC9"/>
    <w:rsid w:val="00697A1B"/>
    <w:rsid w:val="006B2F22"/>
    <w:rsid w:val="006B653B"/>
    <w:rsid w:val="006D22B0"/>
    <w:rsid w:val="00742D22"/>
    <w:rsid w:val="007875BD"/>
    <w:rsid w:val="00817896"/>
    <w:rsid w:val="00827726"/>
    <w:rsid w:val="00850DBA"/>
    <w:rsid w:val="008967A9"/>
    <w:rsid w:val="008B16D3"/>
    <w:rsid w:val="008F2CA9"/>
    <w:rsid w:val="0090216D"/>
    <w:rsid w:val="009217BB"/>
    <w:rsid w:val="009574C4"/>
    <w:rsid w:val="0098061A"/>
    <w:rsid w:val="00983645"/>
    <w:rsid w:val="00A0561F"/>
    <w:rsid w:val="00A16062"/>
    <w:rsid w:val="00A47CCA"/>
    <w:rsid w:val="00A53BB3"/>
    <w:rsid w:val="00A866B0"/>
    <w:rsid w:val="00AC1C95"/>
    <w:rsid w:val="00AC6782"/>
    <w:rsid w:val="00AE093B"/>
    <w:rsid w:val="00B0015C"/>
    <w:rsid w:val="00B15634"/>
    <w:rsid w:val="00B24223"/>
    <w:rsid w:val="00B4300B"/>
    <w:rsid w:val="00B517E4"/>
    <w:rsid w:val="00BA725E"/>
    <w:rsid w:val="00BB0C8D"/>
    <w:rsid w:val="00BC2140"/>
    <w:rsid w:val="00BF3128"/>
    <w:rsid w:val="00C379FB"/>
    <w:rsid w:val="00C50C80"/>
    <w:rsid w:val="00C52943"/>
    <w:rsid w:val="00C56211"/>
    <w:rsid w:val="00C63CEB"/>
    <w:rsid w:val="00C67CB6"/>
    <w:rsid w:val="00D053EB"/>
    <w:rsid w:val="00D10681"/>
    <w:rsid w:val="00D20A6C"/>
    <w:rsid w:val="00D22457"/>
    <w:rsid w:val="00D80299"/>
    <w:rsid w:val="00D84B78"/>
    <w:rsid w:val="00DA4CE5"/>
    <w:rsid w:val="00DA6F7D"/>
    <w:rsid w:val="00DC4107"/>
    <w:rsid w:val="00DF0C18"/>
    <w:rsid w:val="00E030EB"/>
    <w:rsid w:val="00E21283"/>
    <w:rsid w:val="00E62AA2"/>
    <w:rsid w:val="00E94F47"/>
    <w:rsid w:val="00ED16FC"/>
    <w:rsid w:val="00EF41C3"/>
    <w:rsid w:val="00FC3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1B"/>
    <w:rPr>
      <w:sz w:val="18"/>
      <w:szCs w:val="18"/>
    </w:rPr>
  </w:style>
  <w:style w:type="paragraph" w:styleId="a4">
    <w:name w:val="footer"/>
    <w:basedOn w:val="a"/>
    <w:link w:val="Char0"/>
    <w:uiPriority w:val="99"/>
    <w:unhideWhenUsed/>
    <w:rsid w:val="00697A1B"/>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1B"/>
    <w:rPr>
      <w:sz w:val="18"/>
      <w:szCs w:val="18"/>
    </w:rPr>
  </w:style>
  <w:style w:type="table" w:customStyle="1" w:styleId="TableNormal">
    <w:name w:val="Table Normal"/>
    <w:uiPriority w:val="2"/>
    <w:semiHidden/>
    <w:unhideWhenUsed/>
    <w:qFormat/>
    <w:rsid w:val="00697A1B"/>
    <w:pPr>
      <w:widowControl w:val="0"/>
    </w:pPr>
    <w:rPr>
      <w:kern w:val="0"/>
      <w:sz w:val="22"/>
      <w:lang w:eastAsia="en-US"/>
    </w:rPr>
    <w:tblPr>
      <w:tblInd w:w="0" w:type="dxa"/>
      <w:tblCellMar>
        <w:top w:w="0" w:type="dxa"/>
        <w:left w:w="0" w:type="dxa"/>
        <w:bottom w:w="0" w:type="dxa"/>
        <w:right w:w="0" w:type="dxa"/>
      </w:tblCellMar>
    </w:tblPr>
  </w:style>
  <w:style w:type="character" w:styleId="a5">
    <w:name w:val="Hyperlink"/>
    <w:basedOn w:val="a0"/>
    <w:uiPriority w:val="99"/>
    <w:unhideWhenUsed/>
    <w:rsid w:val="00697A1B"/>
    <w:rPr>
      <w:color w:val="0563C1" w:themeColor="hyperlink"/>
      <w:u w:val="single"/>
    </w:rPr>
  </w:style>
  <w:style w:type="paragraph" w:styleId="a6">
    <w:name w:val="Balloon Text"/>
    <w:basedOn w:val="a"/>
    <w:link w:val="Char1"/>
    <w:uiPriority w:val="99"/>
    <w:semiHidden/>
    <w:unhideWhenUsed/>
    <w:rsid w:val="00C50C80"/>
    <w:rPr>
      <w:sz w:val="18"/>
      <w:szCs w:val="18"/>
    </w:rPr>
  </w:style>
  <w:style w:type="character" w:customStyle="1" w:styleId="Char1">
    <w:name w:val="批注框文本 Char"/>
    <w:basedOn w:val="a0"/>
    <w:link w:val="a6"/>
    <w:uiPriority w:val="99"/>
    <w:semiHidden/>
    <w:rsid w:val="00C50C80"/>
    <w:rPr>
      <w:sz w:val="18"/>
      <w:szCs w:val="18"/>
    </w:rPr>
  </w:style>
  <w:style w:type="paragraph" w:styleId="a7">
    <w:name w:val="Revision"/>
    <w:hidden/>
    <w:uiPriority w:val="99"/>
    <w:semiHidden/>
    <w:rsid w:val="000E6C57"/>
  </w:style>
  <w:style w:type="character" w:styleId="a8">
    <w:name w:val="annotation reference"/>
    <w:basedOn w:val="a0"/>
    <w:uiPriority w:val="99"/>
    <w:semiHidden/>
    <w:unhideWhenUsed/>
    <w:rsid w:val="00E21283"/>
    <w:rPr>
      <w:sz w:val="21"/>
      <w:szCs w:val="21"/>
    </w:rPr>
  </w:style>
  <w:style w:type="paragraph" w:styleId="a9">
    <w:name w:val="annotation text"/>
    <w:basedOn w:val="a"/>
    <w:link w:val="Char2"/>
    <w:uiPriority w:val="99"/>
    <w:semiHidden/>
    <w:unhideWhenUsed/>
    <w:rsid w:val="00E21283"/>
    <w:pPr>
      <w:jc w:val="left"/>
    </w:pPr>
  </w:style>
  <w:style w:type="character" w:customStyle="1" w:styleId="Char2">
    <w:name w:val="批注文字 Char"/>
    <w:basedOn w:val="a0"/>
    <w:link w:val="a9"/>
    <w:uiPriority w:val="99"/>
    <w:semiHidden/>
    <w:rsid w:val="00E21283"/>
  </w:style>
  <w:style w:type="paragraph" w:styleId="aa">
    <w:name w:val="annotation subject"/>
    <w:basedOn w:val="a9"/>
    <w:next w:val="a9"/>
    <w:link w:val="Char3"/>
    <w:uiPriority w:val="99"/>
    <w:semiHidden/>
    <w:unhideWhenUsed/>
    <w:rsid w:val="00E21283"/>
    <w:rPr>
      <w:b/>
      <w:bCs/>
    </w:rPr>
  </w:style>
  <w:style w:type="character" w:customStyle="1" w:styleId="Char3">
    <w:name w:val="批注主题 Char"/>
    <w:basedOn w:val="Char2"/>
    <w:link w:val="aa"/>
    <w:uiPriority w:val="99"/>
    <w:semiHidden/>
    <w:rsid w:val="00E21283"/>
    <w:rPr>
      <w:b/>
      <w:bCs/>
    </w:rPr>
  </w:style>
</w:styles>
</file>

<file path=word/webSettings.xml><?xml version="1.0" encoding="utf-8"?>
<w:webSettings xmlns:r="http://schemas.openxmlformats.org/officeDocument/2006/relationships" xmlns:w="http://schemas.openxmlformats.org/wordprocessingml/2006/main">
  <w:divs>
    <w:div w:id="944388015">
      <w:bodyDiv w:val="1"/>
      <w:marLeft w:val="0"/>
      <w:marRight w:val="0"/>
      <w:marTop w:val="0"/>
      <w:marBottom w:val="0"/>
      <w:divBdr>
        <w:top w:val="none" w:sz="0" w:space="0" w:color="auto"/>
        <w:left w:val="none" w:sz="0" w:space="0" w:color="auto"/>
        <w:bottom w:val="none" w:sz="0" w:space="0" w:color="auto"/>
        <w:right w:val="none" w:sz="0" w:space="0" w:color="auto"/>
      </w:divBdr>
    </w:div>
    <w:div w:id="18797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asse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4</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马晓倩</dc:creator>
  <cp:keywords/>
  <dc:description/>
  <cp:lastModifiedBy>ZHONGM</cp:lastModifiedBy>
  <cp:revision>2</cp:revision>
  <cp:lastPrinted>2024-09-05T01:54:00Z</cp:lastPrinted>
  <dcterms:created xsi:type="dcterms:W3CDTF">2025-12-03T16:01:00Z</dcterms:created>
  <dcterms:modified xsi:type="dcterms:W3CDTF">2025-12-03T16:01:00Z</dcterms:modified>
</cp:coreProperties>
</file>