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344" w:rsidRDefault="0078055E">
      <w:pPr>
        <w:jc w:val="center"/>
        <w:rPr>
          <w:rFonts w:ascii="宋体" w:eastAsia="宋体" w:hAnsi="宋体"/>
          <w:b/>
          <w:sz w:val="32"/>
          <w:szCs w:val="32"/>
        </w:rPr>
      </w:pPr>
      <w:r>
        <w:rPr>
          <w:rFonts w:ascii="宋体" w:eastAsia="宋体" w:hAnsi="宋体" w:hint="eastAsia"/>
          <w:b/>
          <w:sz w:val="32"/>
          <w:szCs w:val="32"/>
        </w:rPr>
        <w:t>中信建投基金管理有限公司关于旗下部分基金在中国工商银行股份有限公司开通基金转换业务的公告</w:t>
      </w:r>
    </w:p>
    <w:p w:rsidR="007A5344" w:rsidRDefault="007A5344">
      <w:pPr>
        <w:pStyle w:val="Default"/>
        <w:spacing w:line="360" w:lineRule="auto"/>
        <w:rPr>
          <w:rFonts w:hAnsi="宋体"/>
        </w:rPr>
      </w:pPr>
    </w:p>
    <w:p w:rsidR="007A5344" w:rsidRDefault="0078055E">
      <w:pPr>
        <w:pStyle w:val="ab"/>
        <w:spacing w:line="360" w:lineRule="auto"/>
        <w:ind w:firstLine="480"/>
        <w:rPr>
          <w:rFonts w:ascii="宋体" w:eastAsia="宋体" w:hAnsi="宋体" w:cs="宋体"/>
          <w:sz w:val="24"/>
          <w:szCs w:val="24"/>
        </w:rPr>
      </w:pPr>
      <w:r>
        <w:rPr>
          <w:rFonts w:ascii="宋体" w:eastAsia="宋体" w:hAnsi="宋体" w:cs="宋体" w:hint="eastAsia"/>
          <w:sz w:val="24"/>
          <w:szCs w:val="24"/>
        </w:rPr>
        <w:t xml:space="preserve">为满足广大投资者的投资需求，中信建投基金管理有限公司（以下简称“本公司”）决定在销售机构中国工商银行股份有限公司开通本公司旗下部分基金的基金转换业务。 </w:t>
      </w:r>
    </w:p>
    <w:p w:rsidR="007A5344" w:rsidRDefault="0078055E">
      <w:pPr>
        <w:pStyle w:val="Default"/>
        <w:spacing w:line="360" w:lineRule="auto"/>
        <w:ind w:firstLineChars="200" w:firstLine="482"/>
        <w:rPr>
          <w:rFonts w:hAnsi="宋体"/>
        </w:rPr>
      </w:pPr>
      <w:r>
        <w:rPr>
          <w:rFonts w:hAnsi="宋体" w:hint="eastAsia"/>
          <w:b/>
        </w:rPr>
        <w:t>一、适用基金范围</w:t>
      </w:r>
      <w:r>
        <w:rPr>
          <w:rFonts w:hAnsi="宋体"/>
          <w:b/>
        </w:rPr>
        <w:t xml:space="preserve"> </w:t>
      </w:r>
    </w:p>
    <w:p w:rsidR="007A5344" w:rsidRDefault="0078055E">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本次开通基金转换业务的基金有：</w:t>
      </w:r>
    </w:p>
    <w:tbl>
      <w:tblPr>
        <w:tblW w:w="8786" w:type="dxa"/>
        <w:jc w:val="center"/>
        <w:tblLook w:val="04A0"/>
      </w:tblPr>
      <w:tblGrid>
        <w:gridCol w:w="1413"/>
        <w:gridCol w:w="5953"/>
        <w:gridCol w:w="1420"/>
      </w:tblGrid>
      <w:tr w:rsidR="007A5344">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转出基金</w:t>
            </w:r>
          </w:p>
        </w:tc>
        <w:tc>
          <w:tcPr>
            <w:tcW w:w="5953" w:type="dxa"/>
            <w:tcBorders>
              <w:top w:val="single" w:sz="4" w:space="0" w:color="auto"/>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中信建投策略精选混合型证券投资基金A/C</w:t>
            </w:r>
          </w:p>
        </w:tc>
        <w:tc>
          <w:tcPr>
            <w:tcW w:w="1420" w:type="dxa"/>
            <w:tcBorders>
              <w:top w:val="single" w:sz="4" w:space="0" w:color="auto"/>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A类007468</w:t>
            </w:r>
          </w:p>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C类007469</w:t>
            </w:r>
          </w:p>
        </w:tc>
      </w:tr>
      <w:tr w:rsidR="007A5344">
        <w:trPr>
          <w:trHeight w:val="559"/>
          <w:jc w:val="center"/>
        </w:trPr>
        <w:tc>
          <w:tcPr>
            <w:tcW w:w="1413" w:type="dxa"/>
            <w:vMerge w:val="restart"/>
            <w:tcBorders>
              <w:top w:val="nil"/>
              <w:left w:val="single" w:sz="4" w:space="0" w:color="auto"/>
              <w:bottom w:val="single" w:sz="4" w:space="0" w:color="000000"/>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转入基金</w:t>
            </w: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中信建投行业轮换混合型证券投资基金A/C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A类003822</w:t>
            </w:r>
          </w:p>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C类003823</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中信建投稳利混合型证券投资基金A</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A类000804</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Pr="0078055E"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中信建投智信物联网灵活配置混合型证券投资基金A/C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A类001809</w:t>
            </w:r>
          </w:p>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C类004636</w:t>
            </w:r>
          </w:p>
        </w:tc>
      </w:tr>
      <w:tr w:rsidR="007A5344">
        <w:trPr>
          <w:trHeight w:val="559"/>
          <w:jc w:val="center"/>
        </w:trPr>
        <w:tc>
          <w:tcPr>
            <w:tcW w:w="1413" w:type="dxa"/>
            <w:tcBorders>
              <w:top w:val="nil"/>
              <w:left w:val="nil"/>
              <w:bottom w:val="nil"/>
              <w:right w:val="nil"/>
            </w:tcBorders>
            <w:noWrap/>
            <w:vAlign w:val="center"/>
          </w:tcPr>
          <w:p w:rsidR="007A5344" w:rsidRDefault="007A5344">
            <w:pPr>
              <w:widowControl/>
              <w:jc w:val="center"/>
              <w:rPr>
                <w:rFonts w:ascii="宋体" w:eastAsia="宋体" w:hAnsi="宋体" w:cs="宋体"/>
                <w:color w:val="000000"/>
                <w:kern w:val="0"/>
                <w:sz w:val="24"/>
                <w:szCs w:val="24"/>
              </w:rPr>
            </w:pPr>
          </w:p>
        </w:tc>
        <w:tc>
          <w:tcPr>
            <w:tcW w:w="5953" w:type="dxa"/>
            <w:tcBorders>
              <w:top w:val="nil"/>
              <w:left w:val="nil"/>
              <w:bottom w:val="nil"/>
              <w:right w:val="nil"/>
            </w:tcBorders>
            <w:noWrap/>
            <w:vAlign w:val="center"/>
          </w:tcPr>
          <w:p w:rsidR="007A5344" w:rsidRDefault="007A5344">
            <w:pPr>
              <w:widowControl/>
              <w:jc w:val="left"/>
              <w:rPr>
                <w:rFonts w:ascii="Times New Roman" w:eastAsia="Times New Roman" w:hAnsi="Times New Roman" w:cs="Times New Roman"/>
                <w:kern w:val="0"/>
                <w:sz w:val="24"/>
                <w:szCs w:val="24"/>
              </w:rPr>
            </w:pPr>
          </w:p>
        </w:tc>
        <w:tc>
          <w:tcPr>
            <w:tcW w:w="1420" w:type="dxa"/>
            <w:tcBorders>
              <w:top w:val="nil"/>
              <w:left w:val="nil"/>
              <w:bottom w:val="nil"/>
              <w:right w:val="nil"/>
            </w:tcBorders>
            <w:noWrap/>
            <w:vAlign w:val="center"/>
          </w:tcPr>
          <w:p w:rsidR="007A5344" w:rsidRDefault="007A5344">
            <w:pPr>
              <w:widowControl/>
              <w:jc w:val="left"/>
              <w:rPr>
                <w:rFonts w:ascii="Times New Roman" w:eastAsia="Times New Roman" w:hAnsi="Times New Roman" w:cs="Times New Roman"/>
                <w:kern w:val="0"/>
                <w:sz w:val="24"/>
                <w:szCs w:val="24"/>
              </w:rPr>
            </w:pPr>
          </w:p>
        </w:tc>
      </w:tr>
      <w:tr w:rsidR="007A5344">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转出基金</w:t>
            </w:r>
          </w:p>
        </w:tc>
        <w:tc>
          <w:tcPr>
            <w:tcW w:w="5953" w:type="dxa"/>
            <w:tcBorders>
              <w:top w:val="single" w:sz="4" w:space="0" w:color="auto"/>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中信建投睿利灵活配置混合型发起式证券投资基金A/C</w:t>
            </w:r>
          </w:p>
        </w:tc>
        <w:tc>
          <w:tcPr>
            <w:tcW w:w="1420" w:type="dxa"/>
            <w:tcBorders>
              <w:top w:val="single" w:sz="4" w:space="0" w:color="auto"/>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A类003308</w:t>
            </w:r>
            <w:r>
              <w:rPr>
                <w:rFonts w:ascii="宋体" w:eastAsia="宋体" w:hAnsi="宋体" w:cs="宋体" w:hint="eastAsia"/>
                <w:kern w:val="0"/>
                <w:sz w:val="24"/>
                <w:szCs w:val="24"/>
              </w:rPr>
              <w:br/>
              <w:t>C类004635</w:t>
            </w:r>
          </w:p>
        </w:tc>
      </w:tr>
      <w:tr w:rsidR="007A5344">
        <w:trPr>
          <w:trHeight w:val="559"/>
          <w:jc w:val="center"/>
        </w:trPr>
        <w:tc>
          <w:tcPr>
            <w:tcW w:w="1413" w:type="dxa"/>
            <w:vMerge w:val="restart"/>
            <w:tcBorders>
              <w:top w:val="nil"/>
              <w:left w:val="single" w:sz="4" w:space="0" w:color="auto"/>
              <w:bottom w:val="single" w:sz="4" w:space="0" w:color="000000"/>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转入基金</w:t>
            </w: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中信建投行业轮换混合型证券投资基金A/C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A类003822</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C类003823</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中信建投稳利混合型证券投资基金A</w:t>
            </w:r>
          </w:p>
        </w:tc>
        <w:tc>
          <w:tcPr>
            <w:tcW w:w="1420" w:type="dxa"/>
            <w:tcBorders>
              <w:top w:val="nil"/>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A类000804</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中信建投智信物联网灵活配置混合型证券投资基金A/C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A类001809</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C类004636</w:t>
            </w:r>
          </w:p>
        </w:tc>
      </w:tr>
    </w:tbl>
    <w:p w:rsidR="007A5344" w:rsidRDefault="007A5344">
      <w:pPr>
        <w:spacing w:line="360" w:lineRule="auto"/>
        <w:ind w:firstLineChars="200" w:firstLine="480"/>
        <w:jc w:val="left"/>
        <w:rPr>
          <w:rFonts w:ascii="宋体" w:eastAsia="宋体" w:hAnsi="宋体" w:cs="宋体"/>
          <w:color w:val="000000"/>
          <w:kern w:val="0"/>
          <w:sz w:val="24"/>
          <w:szCs w:val="24"/>
        </w:rPr>
      </w:pPr>
    </w:p>
    <w:tbl>
      <w:tblPr>
        <w:tblW w:w="8786" w:type="dxa"/>
        <w:jc w:val="center"/>
        <w:tblLook w:val="04A0"/>
      </w:tblPr>
      <w:tblGrid>
        <w:gridCol w:w="1413"/>
        <w:gridCol w:w="5953"/>
        <w:gridCol w:w="1420"/>
      </w:tblGrid>
      <w:tr w:rsidR="007A5344">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转出基金</w:t>
            </w:r>
          </w:p>
        </w:tc>
        <w:tc>
          <w:tcPr>
            <w:tcW w:w="5953" w:type="dxa"/>
            <w:tcBorders>
              <w:top w:val="single" w:sz="4" w:space="0" w:color="auto"/>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中信建投行业轮换混合型证券投资基金A/C</w:t>
            </w:r>
          </w:p>
        </w:tc>
        <w:tc>
          <w:tcPr>
            <w:tcW w:w="1420" w:type="dxa"/>
            <w:tcBorders>
              <w:top w:val="single" w:sz="4" w:space="0" w:color="auto"/>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A类003822</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C类003823</w:t>
            </w:r>
          </w:p>
        </w:tc>
      </w:tr>
      <w:tr w:rsidR="007A5344">
        <w:trPr>
          <w:trHeight w:val="559"/>
          <w:jc w:val="center"/>
        </w:trPr>
        <w:tc>
          <w:tcPr>
            <w:tcW w:w="1413" w:type="dxa"/>
            <w:vMerge w:val="restart"/>
            <w:tcBorders>
              <w:top w:val="nil"/>
              <w:left w:val="single" w:sz="4" w:space="0" w:color="auto"/>
              <w:bottom w:val="single" w:sz="4" w:space="0" w:color="000000"/>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转入基金</w:t>
            </w: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A类007468</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C类007469</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中信建投睿利灵活配置混合型发起式证券投资基金A/C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A类003308</w:t>
            </w:r>
            <w:r>
              <w:rPr>
                <w:rFonts w:ascii="宋体" w:eastAsia="宋体" w:hAnsi="宋体" w:cs="宋体" w:hint="eastAsia"/>
                <w:kern w:val="0"/>
                <w:sz w:val="24"/>
                <w:szCs w:val="24"/>
              </w:rPr>
              <w:br/>
              <w:t>C类004635</w:t>
            </w:r>
          </w:p>
        </w:tc>
      </w:tr>
    </w:tbl>
    <w:p w:rsidR="007A5344" w:rsidRDefault="007A5344">
      <w:pPr>
        <w:spacing w:line="360" w:lineRule="auto"/>
        <w:ind w:firstLineChars="200" w:firstLine="480"/>
        <w:jc w:val="left"/>
        <w:rPr>
          <w:rFonts w:ascii="宋体" w:eastAsia="宋体" w:hAnsi="宋体" w:cs="宋体"/>
          <w:color w:val="000000"/>
          <w:kern w:val="0"/>
          <w:sz w:val="24"/>
          <w:szCs w:val="24"/>
        </w:rPr>
      </w:pPr>
    </w:p>
    <w:tbl>
      <w:tblPr>
        <w:tblW w:w="8786" w:type="dxa"/>
        <w:jc w:val="center"/>
        <w:tblLook w:val="04A0"/>
      </w:tblPr>
      <w:tblGrid>
        <w:gridCol w:w="1413"/>
        <w:gridCol w:w="5953"/>
        <w:gridCol w:w="1420"/>
      </w:tblGrid>
      <w:tr w:rsidR="007A5344">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转出基金</w:t>
            </w:r>
          </w:p>
        </w:tc>
        <w:tc>
          <w:tcPr>
            <w:tcW w:w="5953" w:type="dxa"/>
            <w:tcBorders>
              <w:top w:val="single" w:sz="4" w:space="0" w:color="auto"/>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中信建投稳利混合型证券投资基金A</w:t>
            </w:r>
          </w:p>
        </w:tc>
        <w:tc>
          <w:tcPr>
            <w:tcW w:w="1420" w:type="dxa"/>
            <w:tcBorders>
              <w:top w:val="single" w:sz="4" w:space="0" w:color="auto"/>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A类000804</w:t>
            </w:r>
          </w:p>
        </w:tc>
      </w:tr>
      <w:tr w:rsidR="007A5344">
        <w:trPr>
          <w:trHeight w:val="559"/>
          <w:jc w:val="center"/>
        </w:trPr>
        <w:tc>
          <w:tcPr>
            <w:tcW w:w="1413" w:type="dxa"/>
            <w:vMerge w:val="restart"/>
            <w:tcBorders>
              <w:top w:val="nil"/>
              <w:left w:val="single" w:sz="4" w:space="0" w:color="auto"/>
              <w:bottom w:val="single" w:sz="4" w:space="0" w:color="000000"/>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转入基金</w:t>
            </w: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A类007468</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C类007469</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中信建投睿利灵活配置混合型发起式证券投资基金A/C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A类003308</w:t>
            </w:r>
            <w:r>
              <w:rPr>
                <w:rFonts w:ascii="宋体" w:eastAsia="宋体" w:hAnsi="宋体" w:cs="宋体" w:hint="eastAsia"/>
                <w:kern w:val="0"/>
                <w:sz w:val="24"/>
                <w:szCs w:val="24"/>
              </w:rPr>
              <w:br/>
              <w:t>C类004635</w:t>
            </w:r>
          </w:p>
        </w:tc>
      </w:tr>
    </w:tbl>
    <w:p w:rsidR="007A5344" w:rsidRDefault="007A5344">
      <w:pPr>
        <w:spacing w:line="360" w:lineRule="auto"/>
        <w:ind w:firstLineChars="200" w:firstLine="480"/>
        <w:jc w:val="left"/>
        <w:rPr>
          <w:rFonts w:ascii="宋体" w:eastAsia="宋体" w:hAnsi="宋体" w:cs="宋体"/>
          <w:color w:val="000000"/>
          <w:kern w:val="0"/>
          <w:sz w:val="24"/>
          <w:szCs w:val="24"/>
        </w:rPr>
      </w:pPr>
    </w:p>
    <w:tbl>
      <w:tblPr>
        <w:tblW w:w="8786" w:type="dxa"/>
        <w:jc w:val="center"/>
        <w:tblLook w:val="04A0"/>
      </w:tblPr>
      <w:tblGrid>
        <w:gridCol w:w="1413"/>
        <w:gridCol w:w="5953"/>
        <w:gridCol w:w="1420"/>
      </w:tblGrid>
      <w:tr w:rsidR="007A5344">
        <w:trPr>
          <w:trHeight w:val="559"/>
          <w:jc w:val="center"/>
        </w:trPr>
        <w:tc>
          <w:tcPr>
            <w:tcW w:w="1413" w:type="dxa"/>
            <w:tcBorders>
              <w:top w:val="single" w:sz="4" w:space="0" w:color="auto"/>
              <w:left w:val="single" w:sz="4" w:space="0" w:color="auto"/>
              <w:bottom w:val="single" w:sz="4" w:space="0" w:color="auto"/>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转出基金</w:t>
            </w:r>
          </w:p>
        </w:tc>
        <w:tc>
          <w:tcPr>
            <w:tcW w:w="5953" w:type="dxa"/>
            <w:tcBorders>
              <w:top w:val="single" w:sz="4" w:space="0" w:color="auto"/>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中信建投智信物联网灵活配置混合型证券投资基金A/C</w:t>
            </w:r>
          </w:p>
        </w:tc>
        <w:tc>
          <w:tcPr>
            <w:tcW w:w="1420" w:type="dxa"/>
            <w:tcBorders>
              <w:top w:val="single" w:sz="4" w:space="0" w:color="auto"/>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A类001809</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C类004636</w:t>
            </w:r>
          </w:p>
        </w:tc>
      </w:tr>
      <w:tr w:rsidR="007A5344">
        <w:trPr>
          <w:trHeight w:val="559"/>
          <w:jc w:val="center"/>
        </w:trPr>
        <w:tc>
          <w:tcPr>
            <w:tcW w:w="1413" w:type="dxa"/>
            <w:vMerge w:val="restart"/>
            <w:tcBorders>
              <w:top w:val="nil"/>
              <w:left w:val="single" w:sz="4" w:space="0" w:color="auto"/>
              <w:bottom w:val="single" w:sz="4" w:space="0" w:color="000000"/>
              <w:right w:val="single" w:sz="4" w:space="0" w:color="auto"/>
            </w:tcBorders>
            <w:noWrap/>
            <w:vAlign w:val="center"/>
          </w:tcPr>
          <w:p w:rsidR="007A5344" w:rsidRDefault="0078055E">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转入基金</w:t>
            </w: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A类007468</w:t>
            </w:r>
          </w:p>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C类007469</w:t>
            </w:r>
          </w:p>
        </w:tc>
      </w:tr>
      <w:tr w:rsidR="007A5344">
        <w:trPr>
          <w:trHeight w:val="559"/>
          <w:jc w:val="center"/>
        </w:trPr>
        <w:tc>
          <w:tcPr>
            <w:tcW w:w="1413" w:type="dxa"/>
            <w:vMerge/>
            <w:tcBorders>
              <w:top w:val="nil"/>
              <w:left w:val="single" w:sz="4" w:space="0" w:color="auto"/>
              <w:bottom w:val="single" w:sz="4" w:space="0" w:color="000000"/>
              <w:right w:val="single" w:sz="4" w:space="0" w:color="auto"/>
            </w:tcBorders>
            <w:vAlign w:val="center"/>
          </w:tcPr>
          <w:p w:rsidR="007A5344" w:rsidRDefault="007A5344">
            <w:pPr>
              <w:widowControl/>
              <w:jc w:val="left"/>
              <w:rPr>
                <w:rFonts w:ascii="宋体" w:eastAsia="宋体" w:hAnsi="宋体" w:cs="宋体"/>
                <w:b/>
                <w:bCs/>
                <w:color w:val="000000"/>
                <w:kern w:val="0"/>
                <w:sz w:val="24"/>
                <w:szCs w:val="24"/>
              </w:rPr>
            </w:pPr>
          </w:p>
        </w:tc>
        <w:tc>
          <w:tcPr>
            <w:tcW w:w="5953" w:type="dxa"/>
            <w:tcBorders>
              <w:top w:val="nil"/>
              <w:left w:val="nil"/>
              <w:bottom w:val="single" w:sz="4" w:space="0" w:color="auto"/>
              <w:right w:val="single" w:sz="4" w:space="0" w:color="auto"/>
            </w:tcBorders>
            <w:noWrap/>
            <w:vAlign w:val="center"/>
          </w:tcPr>
          <w:p w:rsidR="007A5344" w:rsidRDefault="0078055E">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中信建投睿利灵活配置混合型发起式证券投资基金A/C</w:t>
            </w:r>
          </w:p>
        </w:tc>
        <w:tc>
          <w:tcPr>
            <w:tcW w:w="1420" w:type="dxa"/>
            <w:tcBorders>
              <w:top w:val="nil"/>
              <w:left w:val="nil"/>
              <w:bottom w:val="single" w:sz="4" w:space="0" w:color="auto"/>
              <w:right w:val="single" w:sz="4" w:space="0" w:color="auto"/>
            </w:tcBorders>
            <w:vAlign w:val="center"/>
          </w:tcPr>
          <w:p w:rsidR="007A5344" w:rsidRDefault="0078055E">
            <w:pPr>
              <w:widowControl/>
              <w:jc w:val="center"/>
              <w:rPr>
                <w:rFonts w:ascii="宋体" w:eastAsia="宋体" w:hAnsi="宋体" w:cs="宋体"/>
                <w:kern w:val="0"/>
                <w:sz w:val="24"/>
                <w:szCs w:val="24"/>
              </w:rPr>
            </w:pPr>
            <w:r>
              <w:rPr>
                <w:rFonts w:ascii="宋体" w:eastAsia="宋体" w:hAnsi="宋体" w:cs="宋体" w:hint="eastAsia"/>
                <w:kern w:val="0"/>
                <w:sz w:val="24"/>
                <w:szCs w:val="24"/>
              </w:rPr>
              <w:t>A类003308</w:t>
            </w:r>
            <w:r>
              <w:rPr>
                <w:rFonts w:ascii="宋体" w:eastAsia="宋体" w:hAnsi="宋体" w:cs="宋体" w:hint="eastAsia"/>
                <w:kern w:val="0"/>
                <w:sz w:val="24"/>
                <w:szCs w:val="24"/>
              </w:rPr>
              <w:br/>
              <w:t>C类004635</w:t>
            </w:r>
          </w:p>
        </w:tc>
      </w:tr>
    </w:tbl>
    <w:p w:rsidR="007A5344" w:rsidRDefault="007A5344">
      <w:pPr>
        <w:spacing w:line="360" w:lineRule="auto"/>
        <w:jc w:val="left"/>
        <w:rPr>
          <w:rFonts w:ascii="宋体" w:eastAsia="宋体" w:hAnsi="宋体" w:cs="宋体"/>
          <w:color w:val="000000"/>
          <w:kern w:val="0"/>
          <w:sz w:val="24"/>
          <w:szCs w:val="24"/>
        </w:rPr>
      </w:pPr>
    </w:p>
    <w:p w:rsidR="007A5344" w:rsidRDefault="0078055E">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p>
    <w:p w:rsidR="007A5344" w:rsidRDefault="0078055E">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前述适用基金的转换业务仅限于通过销售机构</w:t>
      </w:r>
      <w:r>
        <w:rPr>
          <w:rFonts w:ascii="宋体" w:eastAsia="宋体" w:hAnsi="宋体" w:cs="宋体" w:hint="eastAsia"/>
          <w:sz w:val="24"/>
          <w:szCs w:val="24"/>
        </w:rPr>
        <w:t>中国工商银行股份有限公司</w:t>
      </w:r>
      <w:r>
        <w:rPr>
          <w:rFonts w:ascii="宋体" w:eastAsia="宋体" w:hAnsi="宋体" w:cs="宋体" w:hint="eastAsia"/>
          <w:color w:val="000000"/>
          <w:kern w:val="0"/>
          <w:sz w:val="24"/>
          <w:szCs w:val="24"/>
        </w:rPr>
        <w:t>办理的投资者。</w:t>
      </w:r>
    </w:p>
    <w:p w:rsidR="007A5344" w:rsidRDefault="0078055E">
      <w:pPr>
        <w:pStyle w:val="Default"/>
        <w:spacing w:line="360" w:lineRule="auto"/>
        <w:ind w:firstLineChars="200" w:firstLine="482"/>
        <w:rPr>
          <w:rFonts w:hAnsi="宋体"/>
          <w:b/>
        </w:rPr>
      </w:pPr>
      <w:r>
        <w:rPr>
          <w:rFonts w:hAnsi="宋体" w:hint="eastAsia"/>
          <w:b/>
        </w:rPr>
        <w:t>三、开通时间</w:t>
      </w:r>
    </w:p>
    <w:p w:rsidR="007A5344" w:rsidRDefault="00821703">
      <w:pPr>
        <w:pStyle w:val="Default"/>
        <w:spacing w:line="360" w:lineRule="auto"/>
        <w:ind w:firstLineChars="200" w:firstLine="480"/>
        <w:rPr>
          <w:rFonts w:hAnsi="宋体"/>
        </w:rPr>
      </w:pPr>
      <w:r w:rsidRPr="001E16D1">
        <w:rPr>
          <w:rFonts w:hAnsi="宋体" w:hint="eastAsia"/>
          <w:color w:val="auto"/>
        </w:rPr>
        <w:t>2025年12月3日起（含），</w:t>
      </w:r>
      <w:r>
        <w:rPr>
          <w:rFonts w:hAnsi="宋体" w:hint="eastAsia"/>
        </w:rPr>
        <w:t>投资者可申请办理前述适用基金的转换业务，具体办理时间与基金申购、赎回业务办理时间相同。基金暂停转换时，以基金管理人发布的公告为准。</w:t>
      </w:r>
    </w:p>
    <w:p w:rsidR="007A5344" w:rsidRDefault="0078055E">
      <w:pPr>
        <w:pStyle w:val="Default"/>
        <w:spacing w:line="360" w:lineRule="auto"/>
        <w:ind w:firstLineChars="200" w:firstLine="482"/>
        <w:rPr>
          <w:rFonts w:hAnsi="宋体"/>
          <w:b/>
        </w:rPr>
      </w:pPr>
      <w:r>
        <w:rPr>
          <w:rFonts w:hAnsi="宋体" w:hint="eastAsia"/>
          <w:b/>
        </w:rPr>
        <w:t>四、基金转换业务规则</w:t>
      </w:r>
    </w:p>
    <w:p w:rsidR="007A5344" w:rsidRDefault="0078055E">
      <w:pPr>
        <w:pStyle w:val="Default"/>
        <w:spacing w:line="360" w:lineRule="auto"/>
        <w:ind w:firstLineChars="200" w:firstLine="480"/>
        <w:rPr>
          <w:rFonts w:hAnsi="宋体"/>
        </w:rPr>
      </w:pPr>
      <w:r>
        <w:rPr>
          <w:rFonts w:hAnsi="宋体" w:hint="eastAsia"/>
        </w:rPr>
        <w:t>（一）基金转换是指本公司旗下的基金份额持有人将其持有的某只基金的部分或全部份额转换为本公司管理的其他基金基金份额的行为。</w:t>
      </w:r>
      <w:r>
        <w:rPr>
          <w:rFonts w:hAnsi="宋体"/>
        </w:rPr>
        <w:t xml:space="preserve"> </w:t>
      </w:r>
    </w:p>
    <w:p w:rsidR="007A5344" w:rsidRDefault="0078055E">
      <w:pPr>
        <w:pStyle w:val="Default"/>
        <w:spacing w:line="360" w:lineRule="auto"/>
        <w:ind w:firstLineChars="200" w:firstLine="480"/>
        <w:rPr>
          <w:rFonts w:hAnsi="宋体"/>
        </w:rPr>
      </w:pPr>
      <w:r>
        <w:rPr>
          <w:rFonts w:hAnsi="宋体" w:hint="eastAsia"/>
        </w:rPr>
        <w:t>（二）基金转换只能在同一销售机构进行。转换的两只基金必须都是该销售机构销售的同一基金管理人管理的、在同一注册登记机构注册登记的基金。</w:t>
      </w:r>
      <w:r>
        <w:rPr>
          <w:rFonts w:hAnsi="宋体"/>
        </w:rPr>
        <w:t xml:space="preserve"> </w:t>
      </w:r>
    </w:p>
    <w:p w:rsidR="007A5344" w:rsidRDefault="0078055E">
      <w:pPr>
        <w:pStyle w:val="Default"/>
        <w:spacing w:line="360" w:lineRule="auto"/>
        <w:ind w:firstLineChars="200" w:firstLine="480"/>
        <w:rPr>
          <w:rFonts w:hAnsi="宋体"/>
        </w:rPr>
      </w:pPr>
      <w:r>
        <w:rPr>
          <w:rFonts w:hAnsi="宋体" w:hint="eastAsia"/>
        </w:rPr>
        <w:t>（三）基金转换以份额为单位进行申请。投资者可以发起多次基金转换业务，基金转换费用按每笔申请单独计算。</w:t>
      </w:r>
      <w:r>
        <w:rPr>
          <w:rFonts w:hAnsi="宋体"/>
        </w:rPr>
        <w:t xml:space="preserve"> </w:t>
      </w:r>
    </w:p>
    <w:p w:rsidR="007A5344" w:rsidRDefault="0078055E">
      <w:pPr>
        <w:pStyle w:val="Default"/>
        <w:spacing w:line="360" w:lineRule="auto"/>
        <w:ind w:firstLineChars="200" w:firstLine="480"/>
        <w:rPr>
          <w:rFonts w:hAnsi="宋体"/>
        </w:rPr>
      </w:pPr>
      <w:r>
        <w:rPr>
          <w:rFonts w:hAnsi="宋体" w:hint="eastAsia"/>
        </w:rPr>
        <w:t>（四）基金转换业务的定价原则视转入和转出时的基金类型不同而定，并以申请受理当日各转出、转入基金的基金份额净值为基础进行计算，若投资者转换申请在规定交易时间后，则该申请受理日顺延至下一开放日。</w:t>
      </w:r>
    </w:p>
    <w:p w:rsidR="007A5344" w:rsidRDefault="0078055E">
      <w:pPr>
        <w:pStyle w:val="Default"/>
        <w:spacing w:line="360" w:lineRule="auto"/>
        <w:ind w:firstLineChars="200" w:firstLine="480"/>
        <w:rPr>
          <w:rFonts w:hAnsi="宋体"/>
        </w:rPr>
      </w:pPr>
      <w:r>
        <w:rPr>
          <w:rFonts w:hAnsi="宋体" w:hint="eastAsia"/>
        </w:rPr>
        <w:t>（五）投资者办理基金转换业务时，转出基金必须处于可赎回状态，转入基金必须处于可申购状态。</w:t>
      </w:r>
      <w:r>
        <w:rPr>
          <w:rFonts w:hAnsi="宋体"/>
        </w:rPr>
        <w:t xml:space="preserve"> </w:t>
      </w:r>
    </w:p>
    <w:p w:rsidR="007A5344" w:rsidRDefault="0078055E">
      <w:pPr>
        <w:pStyle w:val="Default"/>
        <w:spacing w:line="360" w:lineRule="auto"/>
        <w:ind w:firstLineChars="200" w:firstLine="480"/>
        <w:rPr>
          <w:rFonts w:hAnsi="宋体"/>
        </w:rPr>
      </w:pPr>
      <w:r>
        <w:rPr>
          <w:rFonts w:hAnsi="宋体" w:hint="eastAsia"/>
        </w:rPr>
        <w:t>（六）基金转换业务遵循“先进先出”的业务规则。“先进先出”即首先转换持有时间最长的基金份额。如果同一投资者在基金转换申请当日</w:t>
      </w:r>
      <w:r>
        <w:rPr>
          <w:rFonts w:hAnsi="宋体"/>
        </w:rPr>
        <w:t>,</w:t>
      </w:r>
      <w:r>
        <w:rPr>
          <w:rFonts w:hAnsi="宋体" w:hint="eastAsia"/>
        </w:rPr>
        <w:t>同时提出转出基金的赎回申请</w:t>
      </w:r>
      <w:r>
        <w:rPr>
          <w:rFonts w:hAnsi="宋体"/>
        </w:rPr>
        <w:t>,</w:t>
      </w:r>
      <w:r>
        <w:rPr>
          <w:rFonts w:hAnsi="宋体" w:hint="eastAsia"/>
        </w:rPr>
        <w:t>则遵循先赎回后转换的处理原则。</w:t>
      </w:r>
    </w:p>
    <w:p w:rsidR="007A5344" w:rsidRDefault="0078055E">
      <w:pPr>
        <w:pStyle w:val="Default"/>
        <w:spacing w:line="360" w:lineRule="auto"/>
        <w:ind w:firstLineChars="200" w:firstLine="480"/>
        <w:rPr>
          <w:rFonts w:hAnsi="宋体"/>
        </w:rPr>
      </w:pPr>
      <w:r>
        <w:rPr>
          <w:rFonts w:hAnsi="宋体" w:hint="eastAsia"/>
        </w:rPr>
        <w:lastRenderedPageBreak/>
        <w:t>（七）单笔转换最低申请基金份额适用各基金《基金合同》或《招募说明书》中关于最低赎回份额的规定。销售机构规定不同的最低赎回份额的，在符合法律法规规定的前提下以销售机构规定为准。若某笔转换导致投资者在销售机构托管的单只基金剩余份额低于该基金在销售机构规定的最低持有份额时，基金管理人有权将投资者在该销售机构托管的该基金剩余份额强制赎回。</w:t>
      </w:r>
    </w:p>
    <w:p w:rsidR="007A5344" w:rsidRDefault="0078055E">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日的基金转换业务申请进行有效性确认，办理转出基金的权益扣除以及转入基金的权益登记。在</w:t>
      </w:r>
      <w:r>
        <w:rPr>
          <w:rFonts w:hAnsi="宋体"/>
        </w:rPr>
        <w:t>T+2</w:t>
      </w:r>
      <w:r>
        <w:rPr>
          <w:rFonts w:hAnsi="宋体" w:hint="eastAsia"/>
        </w:rPr>
        <w:t>日后（包括该日）投资者可向销售机构查询基金转换的成交情况。</w:t>
      </w:r>
    </w:p>
    <w:p w:rsidR="007A5344" w:rsidRDefault="0078055E">
      <w:pPr>
        <w:pStyle w:val="Default"/>
        <w:spacing w:line="360" w:lineRule="auto"/>
        <w:ind w:firstLineChars="200" w:firstLine="480"/>
        <w:rPr>
          <w:rFonts w:hAnsi="宋体"/>
        </w:rPr>
      </w:pPr>
      <w:r>
        <w:rPr>
          <w:rFonts w:hAnsi="宋体" w:hint="eastAsia"/>
        </w:rPr>
        <w:t>（九）基金转换后，转入基金份额的持有期将自转入基金份额被确认之日起开始计算。</w:t>
      </w:r>
    </w:p>
    <w:p w:rsidR="007A5344" w:rsidRDefault="0078055E">
      <w:pPr>
        <w:pStyle w:val="Default"/>
        <w:spacing w:line="360" w:lineRule="auto"/>
        <w:ind w:firstLineChars="200" w:firstLine="480"/>
        <w:rPr>
          <w:rFonts w:hAnsi="宋体"/>
        </w:rPr>
      </w:pPr>
      <w:r>
        <w:rPr>
          <w:rFonts w:hAnsi="宋体" w:hint="eastAsia"/>
        </w:rPr>
        <w:t>（十）发生巨额赎回时，基金转出与基金赎回具有相同的优先级，由基金管理人按照基金合同规定的处理程序进行受理。</w:t>
      </w:r>
    </w:p>
    <w:p w:rsidR="007A5344" w:rsidRDefault="0078055E">
      <w:pPr>
        <w:pStyle w:val="Default"/>
        <w:spacing w:line="360" w:lineRule="auto"/>
        <w:ind w:firstLineChars="200" w:firstLine="480"/>
        <w:rPr>
          <w:rFonts w:hAnsi="宋体"/>
        </w:rPr>
      </w:pPr>
      <w:r>
        <w:rPr>
          <w:rFonts w:hAnsi="宋体" w:hint="eastAsia"/>
        </w:rPr>
        <w:t>（十一）具体份额以注册登记机构的记录为准，转入份额的计算结果保留位数依照各基金《招募说明书》的规定。</w:t>
      </w:r>
    </w:p>
    <w:p w:rsidR="007A5344" w:rsidRDefault="0078055E">
      <w:pPr>
        <w:pStyle w:val="Default"/>
        <w:spacing w:line="360" w:lineRule="auto"/>
        <w:ind w:firstLineChars="200" w:firstLine="482"/>
        <w:rPr>
          <w:rFonts w:hAnsi="宋体"/>
          <w:b/>
        </w:rPr>
      </w:pPr>
      <w:r>
        <w:rPr>
          <w:rFonts w:hAnsi="宋体" w:hint="eastAsia"/>
          <w:b/>
        </w:rPr>
        <w:t>五、基金转换费用及计算公式</w:t>
      </w:r>
    </w:p>
    <w:p w:rsidR="007A5344" w:rsidRDefault="0078055E">
      <w:pPr>
        <w:pStyle w:val="Default"/>
        <w:spacing w:line="360" w:lineRule="auto"/>
        <w:ind w:firstLineChars="200" w:firstLine="482"/>
        <w:rPr>
          <w:rFonts w:hAnsi="Arial"/>
          <w:b/>
        </w:rPr>
      </w:pPr>
      <w:r>
        <w:rPr>
          <w:rFonts w:hAnsi="Arial" w:hint="eastAsia"/>
          <w:b/>
        </w:rPr>
        <w:t>（一）基金转换费用</w:t>
      </w:r>
    </w:p>
    <w:p w:rsidR="007A5344" w:rsidRDefault="0078055E">
      <w:pPr>
        <w:pStyle w:val="Default"/>
        <w:spacing w:line="360" w:lineRule="auto"/>
        <w:ind w:firstLineChars="200" w:firstLine="480"/>
        <w:rPr>
          <w:rFonts w:hAnsi="Arial"/>
        </w:rPr>
      </w:pPr>
      <w:r>
        <w:rPr>
          <w:rFonts w:hAnsi="Arial" w:hint="eastAsia"/>
        </w:rPr>
        <w:t>基金转换费用由转出和转入基金的申购费补差和转出基金的赎回费两部分构成，具体收取情况视每次转换时两只基金的申购费率差异情况和赎回费率而定。基金转换费用由基金份额持有人承担。</w:t>
      </w:r>
    </w:p>
    <w:p w:rsidR="007A5344" w:rsidRDefault="0078055E">
      <w:pPr>
        <w:pStyle w:val="Default"/>
        <w:spacing w:line="360" w:lineRule="auto"/>
        <w:ind w:firstLineChars="200" w:firstLine="482"/>
        <w:rPr>
          <w:rFonts w:hAnsi="Arial"/>
          <w:b/>
        </w:rPr>
      </w:pPr>
      <w:r>
        <w:rPr>
          <w:rFonts w:hAnsi="Arial" w:hint="eastAsia"/>
          <w:b/>
        </w:rPr>
        <w:t>（二）基金转换费用的计算</w:t>
      </w:r>
    </w:p>
    <w:p w:rsidR="007A5344" w:rsidRDefault="0078055E">
      <w:pPr>
        <w:pStyle w:val="Default"/>
        <w:spacing w:line="360" w:lineRule="auto"/>
        <w:ind w:firstLineChars="200" w:firstLine="480"/>
        <w:rPr>
          <w:rFonts w:hAnsi="Arial"/>
        </w:rPr>
      </w:pPr>
      <w:r>
        <w:rPr>
          <w:rFonts w:hAnsi="Arial" w:hint="eastAsia"/>
        </w:rPr>
        <w:t>转出金额=转出基金份额×转出基金当日基金份额净值</w:t>
      </w:r>
    </w:p>
    <w:p w:rsidR="007A5344" w:rsidRDefault="0078055E">
      <w:pPr>
        <w:pStyle w:val="Default"/>
        <w:spacing w:line="360" w:lineRule="auto"/>
        <w:ind w:firstLineChars="200" w:firstLine="480"/>
        <w:rPr>
          <w:rFonts w:hAnsi="Arial"/>
        </w:rPr>
      </w:pPr>
      <w:r>
        <w:rPr>
          <w:rFonts w:hAnsi="Arial" w:hint="eastAsia"/>
        </w:rPr>
        <w:t>转出基金赎回费用=转出金额×转出基金赎回费率</w:t>
      </w:r>
    </w:p>
    <w:p w:rsidR="007A5344" w:rsidRDefault="0078055E">
      <w:pPr>
        <w:pStyle w:val="Default"/>
        <w:spacing w:line="360" w:lineRule="auto"/>
        <w:ind w:firstLineChars="200" w:firstLine="480"/>
        <w:rPr>
          <w:rFonts w:hAnsi="Arial"/>
        </w:rPr>
      </w:pPr>
      <w:r>
        <w:rPr>
          <w:rFonts w:hAnsi="Arial" w:hint="eastAsia"/>
        </w:rPr>
        <w:t>转入金额=转出金额-转出基金赎回费用</w:t>
      </w:r>
    </w:p>
    <w:p w:rsidR="007A5344" w:rsidRDefault="007A5344">
      <w:pPr>
        <w:pStyle w:val="Default"/>
        <w:spacing w:line="360" w:lineRule="auto"/>
        <w:ind w:firstLineChars="200" w:firstLine="480"/>
        <w:rPr>
          <w:rFonts w:hAnsi="Arial"/>
        </w:rPr>
      </w:pPr>
    </w:p>
    <w:p w:rsidR="007A5344" w:rsidRDefault="0078055E">
      <w:pPr>
        <w:pStyle w:val="Default"/>
        <w:spacing w:line="360" w:lineRule="auto"/>
        <w:ind w:firstLineChars="200" w:firstLine="480"/>
        <w:rPr>
          <w:rFonts w:hAnsi="Arial"/>
        </w:rPr>
      </w:pPr>
      <w:r>
        <w:rPr>
          <w:rFonts w:hAnsi="Arial" w:hint="eastAsia"/>
        </w:rPr>
        <w:t>补差费用=转入金额×补差费率/（1+补差费率）</w:t>
      </w:r>
    </w:p>
    <w:p w:rsidR="007A5344" w:rsidRDefault="0078055E">
      <w:pPr>
        <w:pStyle w:val="Default"/>
        <w:spacing w:line="360" w:lineRule="auto"/>
        <w:ind w:firstLineChars="200" w:firstLine="480"/>
        <w:rPr>
          <w:rFonts w:hAnsi="Arial"/>
        </w:rPr>
      </w:pPr>
      <w:r>
        <w:rPr>
          <w:rFonts w:hAnsi="Arial" w:hint="eastAsia"/>
        </w:rPr>
        <w:t xml:space="preserve">补差费率=MAX[（转入基金申购费率-转出基金申购费率），0] </w:t>
      </w:r>
    </w:p>
    <w:p w:rsidR="007A5344" w:rsidRDefault="0078055E">
      <w:pPr>
        <w:pStyle w:val="Default"/>
        <w:spacing w:line="360" w:lineRule="auto"/>
        <w:ind w:firstLineChars="200" w:firstLine="480"/>
        <w:rPr>
          <w:rFonts w:hAnsi="Arial"/>
        </w:rPr>
      </w:pPr>
      <w:r>
        <w:rPr>
          <w:rFonts w:hAnsi="Arial" w:hint="eastAsia"/>
        </w:rPr>
        <w:t>如转入基金或转出基金申购费适用固定费用，则补差费用=MAX[（转入基金申购费用-转出基金申购费用），0]</w:t>
      </w:r>
    </w:p>
    <w:p w:rsidR="007A5344" w:rsidRDefault="007A5344">
      <w:pPr>
        <w:pStyle w:val="Default"/>
        <w:spacing w:line="360" w:lineRule="auto"/>
        <w:ind w:firstLineChars="200" w:firstLine="480"/>
        <w:rPr>
          <w:rFonts w:hAnsi="Arial"/>
        </w:rPr>
      </w:pPr>
    </w:p>
    <w:p w:rsidR="007A5344" w:rsidRDefault="0078055E">
      <w:pPr>
        <w:pStyle w:val="Default"/>
        <w:spacing w:line="360" w:lineRule="auto"/>
        <w:ind w:firstLineChars="200" w:firstLine="480"/>
        <w:rPr>
          <w:rFonts w:hAnsi="Arial"/>
        </w:rPr>
      </w:pPr>
      <w:r>
        <w:rPr>
          <w:rFonts w:hAnsi="Arial" w:hint="eastAsia"/>
        </w:rPr>
        <w:t>净转入金额=转入金额-补差费用</w:t>
      </w:r>
    </w:p>
    <w:p w:rsidR="007A5344" w:rsidRDefault="0078055E">
      <w:pPr>
        <w:pStyle w:val="Default"/>
        <w:spacing w:line="360" w:lineRule="auto"/>
        <w:ind w:firstLineChars="200" w:firstLine="480"/>
        <w:rPr>
          <w:rFonts w:hAnsi="Arial"/>
        </w:rPr>
      </w:pPr>
      <w:r>
        <w:rPr>
          <w:rFonts w:hAnsi="Arial" w:hint="eastAsia"/>
        </w:rPr>
        <w:t>转入份额=净转入金额/转入基金当日基金份额净值</w:t>
      </w:r>
    </w:p>
    <w:p w:rsidR="007A5344" w:rsidRDefault="007A5344">
      <w:pPr>
        <w:pStyle w:val="Default"/>
        <w:spacing w:line="360" w:lineRule="auto"/>
        <w:ind w:firstLineChars="200" w:firstLine="480"/>
        <w:rPr>
          <w:rFonts w:hAnsi="Arial"/>
        </w:rPr>
      </w:pPr>
    </w:p>
    <w:p w:rsidR="007A5344" w:rsidRDefault="0078055E">
      <w:pPr>
        <w:pStyle w:val="Default"/>
        <w:spacing w:line="360" w:lineRule="auto"/>
        <w:ind w:firstLineChars="200" w:firstLine="480"/>
        <w:rPr>
          <w:rFonts w:hAnsi="Arial"/>
          <w:b/>
        </w:rPr>
      </w:pPr>
      <w:r>
        <w:rPr>
          <w:rFonts w:hAnsi="Arial" w:hint="eastAsia"/>
        </w:rPr>
        <w:t>转出基金的赎回费率以各基金招募说明书、基金产品资料概要的规定为准。</w:t>
      </w:r>
    </w:p>
    <w:p w:rsidR="007A5344" w:rsidRDefault="0078055E">
      <w:pPr>
        <w:pStyle w:val="Default"/>
        <w:spacing w:line="360" w:lineRule="auto"/>
        <w:ind w:firstLineChars="200" w:firstLine="482"/>
        <w:rPr>
          <w:rFonts w:hAnsi="宋体"/>
          <w:b/>
        </w:rPr>
      </w:pPr>
      <w:r>
        <w:rPr>
          <w:rFonts w:hAnsi="宋体" w:hint="eastAsia"/>
          <w:b/>
        </w:rPr>
        <w:t>六、暂停基金转换的情形及处理</w:t>
      </w:r>
    </w:p>
    <w:p w:rsidR="007A5344" w:rsidRDefault="0078055E">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出现下列情况之一时，基金管理人可以暂停基金转换业务：</w:t>
      </w:r>
    </w:p>
    <w:p w:rsidR="007A5344" w:rsidRDefault="0078055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7A5344" w:rsidRDefault="0078055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p>
    <w:p w:rsidR="007A5344" w:rsidRDefault="0078055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7A5344" w:rsidRDefault="0078055E">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7A5344" w:rsidRDefault="0078055E">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7A5344" w:rsidRDefault="0078055E">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基金暂停转换或暂停后重新开放转换时，基金管理人应在中国证监会规定的信息披露媒介上公告。</w:t>
      </w:r>
      <w:r>
        <w:rPr>
          <w:rFonts w:ascii="宋体" w:eastAsia="宋体" w:hAnsi="宋体" w:cs="宋体"/>
          <w:color w:val="000000"/>
          <w:kern w:val="0"/>
          <w:sz w:val="24"/>
          <w:szCs w:val="24"/>
        </w:rPr>
        <w:t xml:space="preserve"> </w:t>
      </w:r>
    </w:p>
    <w:p w:rsidR="007A5344" w:rsidRDefault="0078055E">
      <w:pPr>
        <w:pStyle w:val="Default"/>
        <w:spacing w:line="360" w:lineRule="auto"/>
        <w:ind w:firstLineChars="200" w:firstLine="480"/>
        <w:rPr>
          <w:rFonts w:hAnsi="宋体"/>
        </w:rPr>
      </w:pPr>
      <w:r>
        <w:rPr>
          <w:rFonts w:hAnsi="宋体" w:hint="eastAsia"/>
        </w:rPr>
        <w:t>基金转换业务的解释权归本基金管理人，本公司可以根据市场情况在不违背有关法律、法规和基金合同的规定之前提下调整上述转换的收费方式、费率水平、业务规则及有关限制，并于调整生效前在中国证监会规定媒介予以公告。</w:t>
      </w:r>
    </w:p>
    <w:p w:rsidR="007A5344" w:rsidRDefault="0078055E">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七、特别提示</w:t>
      </w:r>
    </w:p>
    <w:p w:rsidR="007A5344" w:rsidRDefault="0078055E">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Pr>
          <w:rFonts w:ascii="宋体" w:eastAsia="宋体" w:hAnsi="宋体" w:cs="宋体" w:hint="eastAsia"/>
          <w:color w:val="000000"/>
          <w:kern w:val="0"/>
          <w:sz w:val="24"/>
          <w:szCs w:val="24"/>
        </w:rPr>
        <w:t>本基金管理人如发布某基金暂停大额申购或其他限制申购金额的业务公告，且该基金为本公告所述转入基金的，本公告所述基金转换业务亦受其约束。</w:t>
      </w:r>
      <w:r>
        <w:rPr>
          <w:rFonts w:ascii="宋体" w:eastAsia="宋体" w:hAnsi="宋体" w:cs="宋体"/>
          <w:bCs/>
          <w:color w:val="000000"/>
          <w:kern w:val="0"/>
          <w:sz w:val="24"/>
          <w:szCs w:val="24"/>
        </w:rPr>
        <w:br/>
        <w:t xml:space="preserve">   </w:t>
      </w: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7A5344" w:rsidRDefault="0078055E">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金的风险收益特征，并根据自身的风险承受能力选择适合自己的基金产品。敬请投资者在购买基金前认真考虑、谨慎决策。</w:t>
      </w:r>
      <w:r>
        <w:rPr>
          <w:rFonts w:hAnsi="宋体"/>
        </w:rPr>
        <w:t xml:space="preserve"> </w:t>
      </w:r>
    </w:p>
    <w:p w:rsidR="007A5344" w:rsidRDefault="007A5344">
      <w:pPr>
        <w:pStyle w:val="Default"/>
        <w:spacing w:line="360" w:lineRule="auto"/>
        <w:ind w:firstLineChars="200" w:firstLine="480"/>
        <w:rPr>
          <w:rFonts w:hAnsi="宋体"/>
        </w:rPr>
      </w:pPr>
    </w:p>
    <w:p w:rsidR="007A5344" w:rsidRDefault="0078055E">
      <w:pPr>
        <w:pStyle w:val="Default"/>
        <w:spacing w:line="360" w:lineRule="auto"/>
        <w:ind w:firstLineChars="200" w:firstLine="480"/>
        <w:rPr>
          <w:rFonts w:hAnsi="宋体"/>
        </w:rPr>
      </w:pPr>
      <w:r>
        <w:rPr>
          <w:rFonts w:hAnsi="宋体" w:hint="eastAsia"/>
        </w:rPr>
        <w:t>特此公告。</w:t>
      </w:r>
      <w:r>
        <w:rPr>
          <w:rFonts w:hAnsi="宋体"/>
        </w:rPr>
        <w:t xml:space="preserve"> </w:t>
      </w:r>
    </w:p>
    <w:p w:rsidR="007A5344" w:rsidRDefault="0078055E">
      <w:pPr>
        <w:pStyle w:val="Default"/>
        <w:spacing w:line="360" w:lineRule="auto"/>
        <w:ind w:firstLineChars="200" w:firstLine="480"/>
        <w:jc w:val="right"/>
        <w:rPr>
          <w:rFonts w:hAnsi="宋体"/>
        </w:rPr>
      </w:pPr>
      <w:r>
        <w:rPr>
          <w:rFonts w:hAnsi="宋体" w:hint="eastAsia"/>
        </w:rPr>
        <w:t>中信建投基金管理有限公司</w:t>
      </w:r>
    </w:p>
    <w:p w:rsidR="007A5344" w:rsidRPr="001E16D1" w:rsidRDefault="00821703">
      <w:pPr>
        <w:pStyle w:val="Default"/>
        <w:spacing w:line="360" w:lineRule="auto"/>
        <w:ind w:firstLineChars="200" w:firstLine="480"/>
        <w:jc w:val="right"/>
        <w:rPr>
          <w:rFonts w:hAnsi="宋体"/>
        </w:rPr>
      </w:pPr>
      <w:r w:rsidRPr="001E16D1">
        <w:rPr>
          <w:rFonts w:hAnsi="宋体" w:hint="eastAsia"/>
        </w:rPr>
        <w:t>2025年12月3日</w:t>
      </w:r>
    </w:p>
    <w:sectPr w:rsidR="007A5344" w:rsidRPr="001E16D1" w:rsidSect="00D9062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GE5YzY3MjY5Yzc5Y2Y4YjNkODg1NTYxMWU1MWVjZGMifQ=="/>
  </w:docVars>
  <w:rsids>
    <w:rsidRoot w:val="009426D8"/>
    <w:rsid w:val="000A7907"/>
    <w:rsid w:val="00146D90"/>
    <w:rsid w:val="00153227"/>
    <w:rsid w:val="001D632E"/>
    <w:rsid w:val="001D6BBA"/>
    <w:rsid w:val="001E16D1"/>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E641D"/>
    <w:rsid w:val="005438DB"/>
    <w:rsid w:val="00583641"/>
    <w:rsid w:val="005C3AFB"/>
    <w:rsid w:val="005D7DBF"/>
    <w:rsid w:val="005E4E96"/>
    <w:rsid w:val="005E6E8E"/>
    <w:rsid w:val="005F1339"/>
    <w:rsid w:val="00602A78"/>
    <w:rsid w:val="00621ED0"/>
    <w:rsid w:val="00640906"/>
    <w:rsid w:val="006507C3"/>
    <w:rsid w:val="006C780C"/>
    <w:rsid w:val="006E3988"/>
    <w:rsid w:val="007225C0"/>
    <w:rsid w:val="00741068"/>
    <w:rsid w:val="00761EFF"/>
    <w:rsid w:val="00766BCF"/>
    <w:rsid w:val="0078055E"/>
    <w:rsid w:val="00796BDD"/>
    <w:rsid w:val="007A5344"/>
    <w:rsid w:val="007B0C3B"/>
    <w:rsid w:val="007E4786"/>
    <w:rsid w:val="007F3FCF"/>
    <w:rsid w:val="00821703"/>
    <w:rsid w:val="0084651D"/>
    <w:rsid w:val="0086055B"/>
    <w:rsid w:val="00862561"/>
    <w:rsid w:val="00876C41"/>
    <w:rsid w:val="00881F05"/>
    <w:rsid w:val="008A3995"/>
    <w:rsid w:val="008C32AE"/>
    <w:rsid w:val="008C72CA"/>
    <w:rsid w:val="008E78DB"/>
    <w:rsid w:val="008F6F4B"/>
    <w:rsid w:val="008F7532"/>
    <w:rsid w:val="00915AE2"/>
    <w:rsid w:val="009214C8"/>
    <w:rsid w:val="009269B0"/>
    <w:rsid w:val="00931E98"/>
    <w:rsid w:val="009426D8"/>
    <w:rsid w:val="00961523"/>
    <w:rsid w:val="00971E09"/>
    <w:rsid w:val="009A0818"/>
    <w:rsid w:val="009A6441"/>
    <w:rsid w:val="009B104E"/>
    <w:rsid w:val="009B64EB"/>
    <w:rsid w:val="009C1EA1"/>
    <w:rsid w:val="009D6917"/>
    <w:rsid w:val="00A17A9B"/>
    <w:rsid w:val="00A333CE"/>
    <w:rsid w:val="00A61FE6"/>
    <w:rsid w:val="00A87253"/>
    <w:rsid w:val="00AA07D0"/>
    <w:rsid w:val="00AA5FD8"/>
    <w:rsid w:val="00AC3046"/>
    <w:rsid w:val="00B039BA"/>
    <w:rsid w:val="00B75CA9"/>
    <w:rsid w:val="00B91482"/>
    <w:rsid w:val="00B96954"/>
    <w:rsid w:val="00BC5D49"/>
    <w:rsid w:val="00BE2506"/>
    <w:rsid w:val="00C6283F"/>
    <w:rsid w:val="00C9034E"/>
    <w:rsid w:val="00CA242D"/>
    <w:rsid w:val="00D1396A"/>
    <w:rsid w:val="00D33495"/>
    <w:rsid w:val="00D41239"/>
    <w:rsid w:val="00D465F8"/>
    <w:rsid w:val="00D5797B"/>
    <w:rsid w:val="00D90622"/>
    <w:rsid w:val="00DD3B90"/>
    <w:rsid w:val="00DD6E37"/>
    <w:rsid w:val="00E0733B"/>
    <w:rsid w:val="00E734C5"/>
    <w:rsid w:val="00EA40BE"/>
    <w:rsid w:val="00EF6E16"/>
    <w:rsid w:val="00F56578"/>
    <w:rsid w:val="00F8355F"/>
    <w:rsid w:val="00F915EA"/>
    <w:rsid w:val="00FB29B0"/>
    <w:rsid w:val="00FB3E62"/>
    <w:rsid w:val="00FC2B41"/>
    <w:rsid w:val="00FC372F"/>
    <w:rsid w:val="024F6F8B"/>
    <w:rsid w:val="04AA710D"/>
    <w:rsid w:val="09411985"/>
    <w:rsid w:val="0E0B2377"/>
    <w:rsid w:val="0E55048E"/>
    <w:rsid w:val="110933A6"/>
    <w:rsid w:val="16753DE2"/>
    <w:rsid w:val="1713655C"/>
    <w:rsid w:val="1C9237B0"/>
    <w:rsid w:val="1E2712B4"/>
    <w:rsid w:val="1EC30C12"/>
    <w:rsid w:val="1FD41C69"/>
    <w:rsid w:val="20F3302B"/>
    <w:rsid w:val="211112C5"/>
    <w:rsid w:val="246026B6"/>
    <w:rsid w:val="252D4BD5"/>
    <w:rsid w:val="288550D0"/>
    <w:rsid w:val="29323A48"/>
    <w:rsid w:val="2E3520F7"/>
    <w:rsid w:val="2ECC2E7B"/>
    <w:rsid w:val="300D6B16"/>
    <w:rsid w:val="33500595"/>
    <w:rsid w:val="34D54EB4"/>
    <w:rsid w:val="35FF32C2"/>
    <w:rsid w:val="368E58AC"/>
    <w:rsid w:val="37C63C84"/>
    <w:rsid w:val="3E6E0FD2"/>
    <w:rsid w:val="3FFA0552"/>
    <w:rsid w:val="415B253D"/>
    <w:rsid w:val="41CE3B06"/>
    <w:rsid w:val="43B27395"/>
    <w:rsid w:val="44353C76"/>
    <w:rsid w:val="4557148E"/>
    <w:rsid w:val="45A85228"/>
    <w:rsid w:val="4B5630C0"/>
    <w:rsid w:val="4BC125A0"/>
    <w:rsid w:val="4D7F3CC0"/>
    <w:rsid w:val="51C23883"/>
    <w:rsid w:val="548647CE"/>
    <w:rsid w:val="5CA0713C"/>
    <w:rsid w:val="5FBF0F8E"/>
    <w:rsid w:val="610B118B"/>
    <w:rsid w:val="63D82401"/>
    <w:rsid w:val="64AA3E54"/>
    <w:rsid w:val="663B5C6F"/>
    <w:rsid w:val="670129EE"/>
    <w:rsid w:val="6CAE7188"/>
    <w:rsid w:val="6CDB0DEF"/>
    <w:rsid w:val="6D424D26"/>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62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90622"/>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90622"/>
    <w:pPr>
      <w:jc w:val="left"/>
    </w:pPr>
  </w:style>
  <w:style w:type="paragraph" w:styleId="a4">
    <w:name w:val="Balloon Text"/>
    <w:basedOn w:val="a"/>
    <w:link w:val="Char0"/>
    <w:uiPriority w:val="99"/>
    <w:semiHidden/>
    <w:unhideWhenUsed/>
    <w:qFormat/>
    <w:rsid w:val="00D90622"/>
    <w:rPr>
      <w:sz w:val="18"/>
      <w:szCs w:val="18"/>
    </w:rPr>
  </w:style>
  <w:style w:type="paragraph" w:styleId="a5">
    <w:name w:val="footer"/>
    <w:basedOn w:val="a"/>
    <w:link w:val="Char1"/>
    <w:uiPriority w:val="99"/>
    <w:unhideWhenUsed/>
    <w:qFormat/>
    <w:rsid w:val="00D9062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9062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90622"/>
    <w:rPr>
      <w:b/>
      <w:bCs/>
    </w:rPr>
  </w:style>
  <w:style w:type="table" w:styleId="a8">
    <w:name w:val="Table Grid"/>
    <w:basedOn w:val="a1"/>
    <w:uiPriority w:val="39"/>
    <w:qFormat/>
    <w:rsid w:val="00D90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D90622"/>
    <w:rPr>
      <w:color w:val="0000FF"/>
      <w:u w:val="single"/>
    </w:rPr>
  </w:style>
  <w:style w:type="character" w:styleId="aa">
    <w:name w:val="annotation reference"/>
    <w:basedOn w:val="a0"/>
    <w:uiPriority w:val="99"/>
    <w:semiHidden/>
    <w:unhideWhenUsed/>
    <w:qFormat/>
    <w:rsid w:val="00D90622"/>
    <w:rPr>
      <w:sz w:val="21"/>
      <w:szCs w:val="21"/>
    </w:rPr>
  </w:style>
  <w:style w:type="paragraph" w:customStyle="1" w:styleId="Default">
    <w:name w:val="Default"/>
    <w:qFormat/>
    <w:rsid w:val="00D90622"/>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D90622"/>
    <w:rPr>
      <w:rFonts w:ascii="宋体" w:eastAsia="宋体" w:hAnsi="Times New Roman" w:cs="Times New Roman"/>
      <w:b/>
      <w:color w:val="000000"/>
      <w:kern w:val="0"/>
      <w:sz w:val="24"/>
      <w:szCs w:val="20"/>
    </w:rPr>
  </w:style>
  <w:style w:type="paragraph" w:styleId="ab">
    <w:name w:val="List Paragraph"/>
    <w:basedOn w:val="a"/>
    <w:uiPriority w:val="34"/>
    <w:qFormat/>
    <w:rsid w:val="00D90622"/>
    <w:pPr>
      <w:ind w:firstLineChars="200" w:firstLine="420"/>
    </w:pPr>
  </w:style>
  <w:style w:type="character" w:customStyle="1" w:styleId="Char2">
    <w:name w:val="页眉 Char"/>
    <w:basedOn w:val="a0"/>
    <w:link w:val="a6"/>
    <w:uiPriority w:val="99"/>
    <w:qFormat/>
    <w:rsid w:val="00D90622"/>
    <w:rPr>
      <w:sz w:val="18"/>
      <w:szCs w:val="18"/>
    </w:rPr>
  </w:style>
  <w:style w:type="character" w:customStyle="1" w:styleId="Char1">
    <w:name w:val="页脚 Char"/>
    <w:basedOn w:val="a0"/>
    <w:link w:val="a5"/>
    <w:uiPriority w:val="99"/>
    <w:qFormat/>
    <w:rsid w:val="00D90622"/>
    <w:rPr>
      <w:sz w:val="18"/>
      <w:szCs w:val="18"/>
    </w:rPr>
  </w:style>
  <w:style w:type="character" w:customStyle="1" w:styleId="Char">
    <w:name w:val="批注文字 Char"/>
    <w:basedOn w:val="a0"/>
    <w:link w:val="a3"/>
    <w:uiPriority w:val="99"/>
    <w:semiHidden/>
    <w:qFormat/>
    <w:rsid w:val="00D90622"/>
  </w:style>
  <w:style w:type="character" w:customStyle="1" w:styleId="Char3">
    <w:name w:val="批注主题 Char"/>
    <w:basedOn w:val="Char"/>
    <w:link w:val="a7"/>
    <w:uiPriority w:val="99"/>
    <w:semiHidden/>
    <w:qFormat/>
    <w:rsid w:val="00D90622"/>
    <w:rPr>
      <w:b/>
      <w:bCs/>
    </w:rPr>
  </w:style>
  <w:style w:type="character" w:customStyle="1" w:styleId="Char0">
    <w:name w:val="批注框文本 Char"/>
    <w:basedOn w:val="a0"/>
    <w:link w:val="a4"/>
    <w:uiPriority w:val="99"/>
    <w:semiHidden/>
    <w:qFormat/>
    <w:rsid w:val="00D90622"/>
    <w:rPr>
      <w:sz w:val="18"/>
      <w:szCs w:val="18"/>
    </w:rPr>
  </w:style>
  <w:style w:type="paragraph" w:customStyle="1" w:styleId="10">
    <w:name w:val="修订1"/>
    <w:hidden/>
    <w:uiPriority w:val="99"/>
    <w:semiHidden/>
    <w:qFormat/>
    <w:rsid w:val="00D90622"/>
    <w:rPr>
      <w:rFonts w:asciiTheme="minorHAnsi" w:eastAsiaTheme="minorEastAsia" w:hAnsiTheme="minorHAnsi" w:cstheme="minorBidi"/>
      <w:kern w:val="2"/>
      <w:sz w:val="21"/>
      <w:szCs w:val="22"/>
    </w:rPr>
  </w:style>
  <w:style w:type="paragraph" w:customStyle="1" w:styleId="2">
    <w:name w:val="修订2"/>
    <w:hidden/>
    <w:uiPriority w:val="99"/>
    <w:unhideWhenUsed/>
    <w:rsid w:val="00D90622"/>
    <w:rPr>
      <w:rFonts w:asciiTheme="minorHAnsi" w:eastAsiaTheme="minorEastAsia" w:hAnsiTheme="minorHAnsi" w:cstheme="minorBidi"/>
      <w:kern w:val="2"/>
      <w:sz w:val="21"/>
      <w:szCs w:val="22"/>
    </w:rPr>
  </w:style>
  <w:style w:type="paragraph" w:styleId="ac">
    <w:name w:val="Revision"/>
    <w:hidden/>
    <w:uiPriority w:val="99"/>
    <w:unhideWhenUsed/>
    <w:rsid w:val="00821703"/>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Words>
  <Characters>2474</Characters>
  <Application>Microsoft Office Word</Application>
  <DocSecurity>4</DocSecurity>
  <Lines>20</Lines>
  <Paragraphs>5</Paragraphs>
  <ScaleCrop>false</ScaleCrop>
  <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2025-12-02T16:01:00Z</dcterms:created>
  <dcterms:modified xsi:type="dcterms:W3CDTF">2025-12-02T16:01:00Z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464D90F818574517941DA7B5BCCE4393</vt:lpwstr>
  </property>
</Properties>
</file>