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07" w:rsidRDefault="006120EF">
      <w:pPr>
        <w:spacing w:line="360" w:lineRule="auto"/>
      </w:pPr>
      <w:r>
        <w:t> </w:t>
      </w:r>
    </w:p>
    <w:p w:rsidR="00342D07" w:rsidRDefault="006120EF">
      <w:pPr>
        <w:spacing w:line="360" w:lineRule="auto"/>
        <w:jc w:val="center"/>
        <w:rPr>
          <w:b/>
        </w:rPr>
      </w:pPr>
      <w:r>
        <w:rPr>
          <w:rFonts w:ascii="宋体" w:hAnsi="宋体" w:cs="宋体"/>
          <w:b/>
          <w:sz w:val="30"/>
          <w:szCs w:val="30"/>
        </w:rPr>
        <w:t>关于鹏华基金</w:t>
      </w:r>
      <w:r>
        <w:rPr>
          <w:rFonts w:ascii="宋体" w:hAnsi="宋体" w:cs="宋体" w:hint="eastAsia"/>
          <w:b/>
          <w:sz w:val="30"/>
          <w:szCs w:val="30"/>
        </w:rPr>
        <w:t>管理</w:t>
      </w:r>
      <w:r>
        <w:rPr>
          <w:rFonts w:ascii="宋体" w:hAnsi="宋体" w:cs="宋体"/>
          <w:b/>
          <w:sz w:val="30"/>
          <w:szCs w:val="30"/>
        </w:rPr>
        <w:t>有限公司旗下部分基金新增流动性服务商的公告</w:t>
      </w:r>
    </w:p>
    <w:p w:rsidR="00342D07" w:rsidRDefault="006120EF">
      <w:pPr>
        <w:spacing w:line="360" w:lineRule="auto"/>
        <w:ind w:firstLine="600"/>
        <w:jc w:val="center"/>
      </w:pPr>
      <w:r>
        <w:rPr>
          <w:rFonts w:eastAsia="Times New Roman"/>
        </w:rPr>
        <w:t> </w:t>
      </w:r>
    </w:p>
    <w:p w:rsidR="00342D07" w:rsidRDefault="006120EF">
      <w:pPr>
        <w:spacing w:line="360" w:lineRule="auto"/>
        <w:ind w:firstLine="420"/>
        <w:jc w:val="both"/>
        <w:rPr>
          <w:rFonts w:ascii="宋体" w:hAnsi="宋体" w:cs="宋体"/>
        </w:rPr>
      </w:pPr>
      <w:r>
        <w:rPr>
          <w:rFonts w:ascii="宋体" w:hAnsi="宋体" w:cs="宋体"/>
        </w:rPr>
        <w:t>为促进</w:t>
      </w:r>
      <w:r>
        <w:rPr>
          <w:rFonts w:ascii="宋体" w:hAnsi="宋体" w:cs="宋体" w:hint="eastAsia"/>
        </w:rPr>
        <w:t>鹏华国证港股通创新药交易型开放式指数证券投资基金</w:t>
      </w:r>
      <w:r>
        <w:rPr>
          <w:rFonts w:ascii="宋体" w:hAnsi="宋体" w:cs="宋体"/>
        </w:rPr>
        <w:t>（以下简称</w:t>
      </w:r>
      <w:r>
        <w:rPr>
          <w:rFonts w:ascii="宋体" w:hAnsi="宋体" w:cs="宋体"/>
        </w:rPr>
        <w:t>“</w:t>
      </w:r>
      <w:r>
        <w:rPr>
          <w:rFonts w:ascii="宋体" w:hAnsi="宋体" w:cs="宋体" w:hint="eastAsia"/>
        </w:rPr>
        <w:t>港股创新药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）</w:t>
      </w:r>
      <w:r>
        <w:rPr>
          <w:rFonts w:ascii="宋体" w:hAnsi="宋体" w:cs="宋体" w:hint="eastAsia"/>
        </w:rPr>
        <w:t>、鹏华恒生生物科技交易型开放式指数证券投资基金（以下</w:t>
      </w:r>
      <w:r>
        <w:rPr>
          <w:rFonts w:ascii="宋体" w:hAnsi="宋体" w:cs="宋体"/>
        </w:rPr>
        <w:t>简称</w:t>
      </w:r>
      <w:r>
        <w:rPr>
          <w:rFonts w:ascii="宋体" w:hAnsi="宋体" w:cs="宋体" w:hint="eastAsia"/>
        </w:rPr>
        <w:t>“</w:t>
      </w:r>
      <w:r>
        <w:rPr>
          <w:rFonts w:ascii="宋体" w:hAnsi="宋体" w:cs="宋体" w:hint="eastAsia"/>
        </w:rPr>
        <w:t>恒生生物科技</w:t>
      </w:r>
      <w:r>
        <w:rPr>
          <w:rFonts w:ascii="宋体" w:hAnsi="宋体" w:cs="宋体" w:hint="eastAsia"/>
        </w:rPr>
        <w:t>E</w:t>
      </w:r>
      <w:bookmarkStart w:id="0" w:name="_GoBack"/>
      <w:bookmarkEnd w:id="0"/>
      <w:r>
        <w:rPr>
          <w:rFonts w:ascii="宋体" w:hAnsi="宋体" w:cs="宋体" w:hint="eastAsia"/>
        </w:rPr>
        <w:t>TF</w:t>
      </w:r>
      <w:r>
        <w:rPr>
          <w:rFonts w:ascii="宋体" w:hAnsi="宋体" w:cs="宋体" w:hint="eastAsia"/>
        </w:rPr>
        <w:t>鹏华</w:t>
      </w:r>
      <w:r>
        <w:rPr>
          <w:rFonts w:ascii="宋体" w:hAnsi="宋体" w:cs="宋体" w:hint="eastAsia"/>
        </w:rPr>
        <w:t>”）</w:t>
      </w:r>
      <w:r>
        <w:rPr>
          <w:rFonts w:ascii="宋体" w:hAnsi="宋体" w:cs="宋体" w:hint="eastAsia"/>
        </w:rPr>
        <w:t>、鹏华标普港股通低波红利交易型开放式指数证券投资基金（</w:t>
      </w:r>
      <w:r>
        <w:rPr>
          <w:rFonts w:ascii="宋体" w:hAnsi="宋体" w:cs="宋体" w:hint="eastAsia"/>
        </w:rPr>
        <w:t>以下</w:t>
      </w:r>
      <w:r>
        <w:rPr>
          <w:rFonts w:ascii="宋体" w:hAnsi="宋体" w:cs="宋体"/>
        </w:rPr>
        <w:t>简称</w:t>
      </w:r>
      <w:r>
        <w:rPr>
          <w:rFonts w:ascii="宋体" w:hAnsi="宋体" w:cs="宋体" w:hint="eastAsia"/>
        </w:rPr>
        <w:t>“港股通红利低波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”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的市场流动性和平稳运行，根</w:t>
      </w:r>
      <w:r>
        <w:rPr>
          <w:rFonts w:ascii="宋体" w:hAnsi="宋体" w:cs="宋体"/>
        </w:rPr>
        <w:t>据《深圳证券交易所证券投资基金业务指引第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号</w:t>
      </w:r>
      <w:r>
        <w:rPr>
          <w:rFonts w:ascii="宋体" w:hAnsi="宋体" w:cs="宋体"/>
        </w:rPr>
        <w:t>——</w:t>
      </w:r>
      <w:r>
        <w:rPr>
          <w:rFonts w:ascii="宋体" w:hAnsi="宋体" w:cs="宋体"/>
        </w:rPr>
        <w:t>流动性服务》等有关规定，自</w:t>
      </w:r>
      <w:r>
        <w:rPr>
          <w:rFonts w:ascii="宋体" w:hAnsi="宋体" w:cs="宋体"/>
        </w:rPr>
        <w:t>202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/>
        </w:rPr>
        <w:t>日起，本公司</w:t>
      </w:r>
      <w:r>
        <w:rPr>
          <w:rFonts w:ascii="宋体" w:hAnsi="宋体" w:cs="宋体" w:hint="eastAsia"/>
        </w:rPr>
        <w:t>新增</w:t>
      </w:r>
      <w:r>
        <w:rPr>
          <w:rFonts w:ascii="宋体" w:hAnsi="宋体" w:cs="宋体" w:hint="eastAsia"/>
        </w:rPr>
        <w:t>招商</w:t>
      </w:r>
      <w:r>
        <w:rPr>
          <w:rFonts w:ascii="宋体" w:hAnsi="宋体" w:cs="宋体" w:hint="eastAsia"/>
        </w:rPr>
        <w:t>证券股份有限公司</w:t>
      </w:r>
      <w:r>
        <w:rPr>
          <w:rFonts w:ascii="宋体" w:hAnsi="宋体" w:cs="宋体"/>
        </w:rPr>
        <w:t>为</w:t>
      </w:r>
      <w:r>
        <w:rPr>
          <w:rFonts w:ascii="宋体" w:hAnsi="宋体" w:cs="宋体" w:hint="eastAsia"/>
        </w:rPr>
        <w:t>港股创新药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</w:t>
      </w:r>
      <w:r>
        <w:rPr>
          <w:rFonts w:ascii="宋体" w:hAnsi="宋体" w:cs="宋体"/>
        </w:rPr>
        <w:t>（代码：</w:t>
      </w:r>
      <w:r>
        <w:rPr>
          <w:rFonts w:ascii="宋体" w:hAnsi="宋体" w:cs="宋体" w:hint="eastAsia"/>
        </w:rPr>
        <w:t>159286</w:t>
      </w:r>
      <w:r>
        <w:rPr>
          <w:rFonts w:ascii="宋体" w:hAnsi="宋体" w:cs="宋体"/>
        </w:rPr>
        <w:t>）</w:t>
      </w:r>
      <w:r>
        <w:rPr>
          <w:rFonts w:ascii="宋体" w:hAnsi="仿宋" w:cs="宋体" w:hint="eastAsia"/>
        </w:rPr>
        <w:t>、</w:t>
      </w:r>
      <w:r>
        <w:rPr>
          <w:rFonts w:ascii="宋体" w:hAnsi="宋体" w:cs="宋体" w:hint="eastAsia"/>
        </w:rPr>
        <w:t>恒生生物科技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159130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港股通红利低波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159117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流动性服务商。</w:t>
      </w:r>
    </w:p>
    <w:p w:rsidR="00342D07" w:rsidRDefault="006120EF">
      <w:pPr>
        <w:spacing w:line="360" w:lineRule="auto"/>
        <w:ind w:firstLine="420"/>
        <w:jc w:val="both"/>
      </w:pPr>
      <w:r>
        <w:rPr>
          <w:rFonts w:ascii="宋体" w:hAnsi="宋体" w:cs="宋体"/>
        </w:rPr>
        <w:t>特此公告。</w:t>
      </w:r>
    </w:p>
    <w:p w:rsidR="00342D07" w:rsidRDefault="006120EF">
      <w:pPr>
        <w:spacing w:line="360" w:lineRule="auto"/>
      </w:pPr>
      <w:r>
        <w:rPr>
          <w:rFonts w:eastAsia="Times New Roman"/>
        </w:rPr>
        <w:t> </w:t>
      </w:r>
    </w:p>
    <w:p w:rsidR="00342D07" w:rsidRDefault="006120EF">
      <w:pPr>
        <w:spacing w:line="360" w:lineRule="auto"/>
        <w:ind w:firstLine="420"/>
        <w:jc w:val="right"/>
      </w:pPr>
      <w:r>
        <w:rPr>
          <w:rFonts w:ascii="宋体" w:hAnsi="宋体" w:cs="宋体"/>
        </w:rPr>
        <w:t>鹏华基金管理有限公司</w:t>
      </w:r>
    </w:p>
    <w:p w:rsidR="00342D07" w:rsidRDefault="006120EF">
      <w:pPr>
        <w:spacing w:line="360" w:lineRule="auto"/>
        <w:ind w:firstLine="420"/>
        <w:jc w:val="right"/>
        <w:rPr>
          <w:rFonts w:ascii="宋体" w:hAnsi="宋体" w:cs="宋体"/>
        </w:rPr>
      </w:pPr>
      <w:r>
        <w:rPr>
          <w:rFonts w:ascii="宋体" w:hAnsi="宋体" w:cs="宋体"/>
        </w:rPr>
        <w:t>202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/>
        </w:rPr>
        <w:t>日</w:t>
      </w:r>
    </w:p>
    <w:p w:rsidR="00342D07" w:rsidRDefault="00342D07">
      <w:pPr>
        <w:spacing w:line="360" w:lineRule="auto"/>
      </w:pPr>
    </w:p>
    <w:sectPr w:rsidR="00342D07" w:rsidSect="00342D0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07" w:rsidRDefault="00342D07" w:rsidP="00342D07">
      <w:r>
        <w:separator/>
      </w:r>
    </w:p>
  </w:endnote>
  <w:endnote w:type="continuationSeparator" w:id="0">
    <w:p w:rsidR="00342D07" w:rsidRDefault="00342D07" w:rsidP="00342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7" w:rsidRDefault="00342D07">
    <w:pPr>
      <w:jc w:val="center"/>
    </w:pPr>
    <w:r>
      <w:rPr>
        <w:rFonts w:ascii="宋体" w:hAnsi="宋体" w:cs="宋体"/>
        <w:sz w:val="18"/>
      </w:rPr>
      <w:fldChar w:fldCharType="begin"/>
    </w:r>
    <w:r w:rsidR="006120EF">
      <w:rPr>
        <w:rFonts w:ascii="宋体" w:hAnsi="宋体" w:cs="宋体"/>
        <w:sz w:val="18"/>
      </w:rPr>
      <w:instrText xml:space="preserve"> PAGE </w:instrText>
    </w:r>
    <w:r>
      <w:rPr>
        <w:rFonts w:ascii="宋体" w:hAnsi="宋体" w:cs="宋体"/>
        <w:sz w:val="18"/>
      </w:rPr>
      <w:fldChar w:fldCharType="separate"/>
    </w:r>
    <w:r w:rsidR="006120EF">
      <w:rPr>
        <w:rFonts w:ascii="宋体" w:hAnsi="宋体" w:cs="宋体"/>
        <w:noProof/>
        <w:sz w:val="18"/>
      </w:rPr>
      <w:t>1</w:t>
    </w:r>
    <w:r>
      <w:rPr>
        <w:rFonts w:ascii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07" w:rsidRDefault="00342D07" w:rsidP="00342D07">
      <w:r>
        <w:separator/>
      </w:r>
    </w:p>
  </w:footnote>
  <w:footnote w:type="continuationSeparator" w:id="0">
    <w:p w:rsidR="00342D07" w:rsidRDefault="00342D07" w:rsidP="00342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growAutofit/>
    <w:useFELayout/>
    <w:doNotUseIndentAsNumberingTabStop/>
    <w:useAltKinsokuLineBreakRules/>
    <w:doNotSuppressIndentation/>
    <w:autofitToFirstFixedWidthCell/>
    <w:splitPgBreakAndParaMark/>
    <w:doNotVertAlignCellWithSp/>
  </w:compat>
  <w:docVars>
    <w:docVar w:name="commondata" w:val="eyJoZGlkIjoiN2ZiMWU4NjE2ZThjZWFmNTIyNjY1N2Y2MGM4NGU0YzgifQ=="/>
  </w:docVars>
  <w:rsids>
    <w:rsidRoot w:val="00342D07"/>
    <w:rsid w:val="00342D07"/>
    <w:rsid w:val="006120EF"/>
    <w:rsid w:val="2A560263"/>
    <w:rsid w:val="30F85D99"/>
    <w:rsid w:val="47CA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D07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42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42D07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42D07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42D07"/>
  </w:style>
  <w:style w:type="paragraph" w:styleId="5">
    <w:name w:val="toc 5"/>
    <w:basedOn w:val="a"/>
    <w:next w:val="a"/>
    <w:qFormat/>
    <w:rsid w:val="00342D07"/>
    <w:pPr>
      <w:ind w:left="1680"/>
    </w:pPr>
  </w:style>
  <w:style w:type="paragraph" w:styleId="30">
    <w:name w:val="toc 3"/>
    <w:basedOn w:val="a"/>
    <w:next w:val="a"/>
    <w:qFormat/>
    <w:rsid w:val="00342D07"/>
    <w:pPr>
      <w:ind w:left="840"/>
    </w:pPr>
  </w:style>
  <w:style w:type="paragraph" w:styleId="a4">
    <w:name w:val="footer"/>
    <w:basedOn w:val="a"/>
    <w:qFormat/>
    <w:rsid w:val="00342D07"/>
    <w:pPr>
      <w:tabs>
        <w:tab w:val="center" w:pos="4153"/>
        <w:tab w:val="right" w:pos="8307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342D07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342D07"/>
    <w:pPr>
      <w:spacing w:line="360" w:lineRule="auto"/>
    </w:pPr>
    <w:rPr>
      <w:rFonts w:ascii="宋体" w:hAnsi="宋体" w:cs="宋体"/>
      <w:b/>
      <w:sz w:val="21"/>
    </w:rPr>
  </w:style>
  <w:style w:type="paragraph" w:styleId="4">
    <w:name w:val="toc 4"/>
    <w:basedOn w:val="a"/>
    <w:next w:val="a"/>
    <w:qFormat/>
    <w:rsid w:val="00342D07"/>
    <w:pPr>
      <w:ind w:left="1260"/>
    </w:pPr>
  </w:style>
  <w:style w:type="paragraph" w:styleId="20">
    <w:name w:val="toc 2"/>
    <w:basedOn w:val="a"/>
    <w:next w:val="a"/>
    <w:qFormat/>
    <w:rsid w:val="00342D07"/>
    <w:pPr>
      <w:ind w:left="420"/>
    </w:pPr>
  </w:style>
  <w:style w:type="character" w:customStyle="1" w:styleId="1Char">
    <w:name w:val="标题 1 Char"/>
    <w:basedOn w:val="a0"/>
    <w:link w:val="1"/>
    <w:qFormat/>
    <w:rsid w:val="00342D07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sid w:val="00342D07"/>
    <w:rPr>
      <w:rFonts w:ascii="Times New Roman" w:eastAsia="黑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sid w:val="00342D07"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FF9FE58-130A-4228-85F6-536B118E9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Company>PHFUND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2025-12-02T16:01:00Z</dcterms:created>
  <dcterms:modified xsi:type="dcterms:W3CDTF">2025-12-02T16:01:00Z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47FB63AB233140619BA0AC1E547099AC_12</vt:lpwstr>
  </property>
</Properties>
</file>