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074" w:rsidRDefault="00620074">
      <w:pPr>
        <w:widowControl w:val="0"/>
        <w:jc w:val="both"/>
      </w:pPr>
      <w:bookmarkStart w:id="0" w:name="_GoBack"/>
      <w:bookmarkEnd w:id="0"/>
    </w:p>
    <w:p w:rsidR="00620074" w:rsidRDefault="00620074">
      <w:pPr>
        <w:widowControl w:val="0"/>
        <w:jc w:val="both"/>
      </w:pPr>
    </w:p>
    <w:p w:rsidR="00620074" w:rsidRDefault="00620074">
      <w:pPr>
        <w:widowControl w:val="0"/>
        <w:jc w:val="both"/>
      </w:pPr>
    </w:p>
    <w:p w:rsidR="00620074" w:rsidRDefault="00620074">
      <w:pPr>
        <w:widowControl w:val="0"/>
        <w:jc w:val="both"/>
      </w:pPr>
    </w:p>
    <w:p w:rsidR="00620074" w:rsidRDefault="00CC105B">
      <w:pPr>
        <w:widowControl w:val="0"/>
        <w:jc w:val="center"/>
        <w:rPr>
          <w:sz w:val="48"/>
          <w:szCs w:val="48"/>
          <w:lang w:eastAsia="zh-CN"/>
        </w:rPr>
      </w:pPr>
      <w:r>
        <w:rPr>
          <w:rFonts w:ascii="宋体" w:eastAsia="宋体" w:hAnsi="宋体" w:cs="宋体"/>
          <w:b/>
          <w:bCs/>
          <w:sz w:val="48"/>
          <w:szCs w:val="48"/>
          <w:lang w:eastAsia="zh-CN"/>
        </w:rPr>
        <w:t>鹏华永平6个月定期开放债券型证券投资基金开放申购、赎回和转换业务的公告</w:t>
      </w:r>
    </w:p>
    <w:p w:rsidR="00620074" w:rsidRDefault="00620074">
      <w:pPr>
        <w:widowControl w:val="0"/>
        <w:jc w:val="center"/>
        <w:rPr>
          <w:sz w:val="30"/>
          <w:szCs w:val="30"/>
          <w:lang w:eastAsia="zh-CN"/>
        </w:rPr>
      </w:pPr>
    </w:p>
    <w:p w:rsidR="00620074" w:rsidRDefault="00620074">
      <w:pPr>
        <w:widowControl w:val="0"/>
        <w:jc w:val="center"/>
        <w:rPr>
          <w:sz w:val="30"/>
          <w:szCs w:val="30"/>
          <w:lang w:eastAsia="zh-CN"/>
        </w:rPr>
      </w:pPr>
    </w:p>
    <w:p w:rsidR="00620074" w:rsidRDefault="00620074">
      <w:pPr>
        <w:widowControl w:val="0"/>
        <w:jc w:val="center"/>
        <w:rPr>
          <w:sz w:val="30"/>
          <w:szCs w:val="30"/>
          <w:lang w:eastAsia="zh-CN"/>
        </w:rPr>
      </w:pPr>
    </w:p>
    <w:p w:rsidR="00620074" w:rsidRDefault="00620074">
      <w:pPr>
        <w:widowControl w:val="0"/>
        <w:jc w:val="center"/>
        <w:rPr>
          <w:sz w:val="30"/>
          <w:szCs w:val="30"/>
          <w:lang w:eastAsia="zh-CN"/>
        </w:rPr>
      </w:pPr>
    </w:p>
    <w:p w:rsidR="00620074" w:rsidRDefault="00620074">
      <w:pPr>
        <w:widowControl w:val="0"/>
        <w:jc w:val="center"/>
        <w:rPr>
          <w:sz w:val="30"/>
          <w:szCs w:val="30"/>
          <w:lang w:eastAsia="zh-CN"/>
        </w:rPr>
      </w:pPr>
    </w:p>
    <w:p w:rsidR="00620074" w:rsidRDefault="00620074">
      <w:pPr>
        <w:widowControl w:val="0"/>
        <w:jc w:val="center"/>
        <w:rPr>
          <w:sz w:val="30"/>
          <w:szCs w:val="30"/>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CC105B">
      <w:pPr>
        <w:widowControl w:val="0"/>
        <w:jc w:val="both"/>
        <w:rPr>
          <w:lang w:eastAsia="zh-CN"/>
        </w:rPr>
      </w:pPr>
      <w:r>
        <w:rPr>
          <w:rFonts w:eastAsia="Times New Roman"/>
          <w:lang w:eastAsia="zh-CN"/>
        </w:rPr>
        <w:t> </w:t>
      </w:r>
    </w:p>
    <w:p w:rsidR="00620074" w:rsidRDefault="00CC105B">
      <w:pPr>
        <w:widowControl w:val="0"/>
        <w:jc w:val="both"/>
        <w:rPr>
          <w:lang w:eastAsia="zh-CN"/>
        </w:rPr>
      </w:pPr>
      <w:r>
        <w:rPr>
          <w:rFonts w:eastAsia="Times New Roman"/>
          <w:lang w:eastAsia="zh-CN"/>
        </w:rPr>
        <w:t> </w:t>
      </w:r>
    </w:p>
    <w:p w:rsidR="00620074" w:rsidRDefault="00CC105B">
      <w:pPr>
        <w:widowControl w:val="0"/>
        <w:jc w:val="both"/>
        <w:rPr>
          <w:lang w:eastAsia="zh-CN"/>
        </w:rPr>
      </w:pPr>
      <w:r>
        <w:rPr>
          <w:rFonts w:eastAsia="Times New Roman"/>
          <w:lang w:eastAsia="zh-CN"/>
        </w:rPr>
        <w:t> </w:t>
      </w:r>
    </w:p>
    <w:p w:rsidR="00620074" w:rsidRDefault="00CC105B">
      <w:pPr>
        <w:widowControl w:val="0"/>
        <w:jc w:val="both"/>
        <w:rPr>
          <w:lang w:eastAsia="zh-CN"/>
        </w:rPr>
      </w:pPr>
      <w:r>
        <w:rPr>
          <w:rFonts w:eastAsia="Times New Roman"/>
          <w:lang w:eastAsia="zh-CN"/>
        </w:rPr>
        <w:t> </w:t>
      </w:r>
    </w:p>
    <w:p w:rsidR="00620074" w:rsidRDefault="00CC105B">
      <w:pPr>
        <w:widowControl w:val="0"/>
        <w:jc w:val="both"/>
        <w:rPr>
          <w:lang w:eastAsia="zh-CN"/>
        </w:rPr>
      </w:pPr>
      <w:r>
        <w:rPr>
          <w:rFonts w:eastAsia="Times New Roman"/>
          <w:lang w:eastAsia="zh-CN"/>
        </w:rPr>
        <w:t> </w:t>
      </w:r>
    </w:p>
    <w:p w:rsidR="00620074" w:rsidRDefault="00CC105B">
      <w:pPr>
        <w:widowControl w:val="0"/>
        <w:jc w:val="both"/>
        <w:rPr>
          <w:lang w:eastAsia="zh-CN"/>
        </w:rPr>
      </w:pPr>
      <w:r>
        <w:rPr>
          <w:rFonts w:eastAsia="Times New Roman"/>
          <w:lang w:eastAsia="zh-CN"/>
        </w:rPr>
        <w:t> </w:t>
      </w:r>
    </w:p>
    <w:p w:rsidR="00620074" w:rsidRDefault="00620074">
      <w:pPr>
        <w:widowControl w:val="0"/>
        <w:jc w:val="both"/>
        <w:rPr>
          <w:lang w:eastAsia="zh-CN"/>
        </w:rPr>
      </w:pPr>
    </w:p>
    <w:p w:rsidR="00620074" w:rsidRDefault="00620074">
      <w:pPr>
        <w:widowControl w:val="0"/>
        <w:jc w:val="both"/>
        <w:rPr>
          <w:lang w:eastAsia="zh-CN"/>
        </w:rPr>
      </w:pPr>
    </w:p>
    <w:p w:rsidR="00620074" w:rsidRDefault="00620074">
      <w:pPr>
        <w:widowControl w:val="0"/>
        <w:jc w:val="both"/>
        <w:rPr>
          <w:lang w:eastAsia="zh-CN"/>
        </w:rPr>
      </w:pPr>
    </w:p>
    <w:p w:rsidR="00620074" w:rsidRDefault="00CC105B" w:rsidP="00987EE6">
      <w:pPr>
        <w:widowControl w:val="0"/>
        <w:jc w:val="center"/>
        <w:rPr>
          <w:sz w:val="28"/>
          <w:szCs w:val="28"/>
        </w:rPr>
      </w:pPr>
      <w:r>
        <w:rPr>
          <w:rFonts w:ascii="宋体" w:eastAsia="宋体" w:hAnsi="宋体" w:cs="宋体"/>
          <w:b/>
          <w:bCs/>
          <w:sz w:val="28"/>
          <w:szCs w:val="28"/>
          <w:lang w:eastAsia="zh-CN"/>
        </w:rPr>
        <w:t>公告送出日期：2025年12月03日</w:t>
      </w:r>
    </w:p>
    <w:p w:rsidR="00620074" w:rsidRDefault="00620074">
      <w:pPr>
        <w:widowControl w:val="0"/>
        <w:jc w:val="both"/>
      </w:pPr>
    </w:p>
    <w:p w:rsidR="00620074" w:rsidRDefault="00620074">
      <w:pPr>
        <w:widowControl w:val="0"/>
        <w:jc w:val="both"/>
      </w:pPr>
    </w:p>
    <w:p w:rsidR="00620074" w:rsidRDefault="00CC105B">
      <w:pPr>
        <w:widowControl w:val="0"/>
        <w:jc w:val="both"/>
      </w:pPr>
      <w:r>
        <w:rPr>
          <w:rFonts w:eastAsia="Times New Roman"/>
          <w:lang w:eastAsia="zh-CN"/>
        </w:rPr>
        <w:t> </w:t>
      </w:r>
    </w:p>
    <w:p w:rsidR="00620074" w:rsidRDefault="00CC105B">
      <w:pPr>
        <w:widowControl w:val="0"/>
        <w:jc w:val="both"/>
      </w:pPr>
      <w:r>
        <w:rPr>
          <w:rFonts w:eastAsia="Times New Roman"/>
          <w:lang w:eastAsia="zh-CN"/>
        </w:rPr>
        <w:t> </w:t>
      </w:r>
    </w:p>
    <w:p w:rsidR="00620074" w:rsidRDefault="00CC105B">
      <w:pPr>
        <w:widowControl w:val="0"/>
        <w:jc w:val="both"/>
      </w:pPr>
      <w:r>
        <w:rPr>
          <w:rFonts w:eastAsia="Times New Roman"/>
          <w:lang w:eastAsia="zh-CN"/>
        </w:rPr>
        <w:t> </w:t>
      </w:r>
    </w:p>
    <w:p w:rsidR="00620074" w:rsidRDefault="00620074">
      <w:pPr>
        <w:widowControl w:val="0"/>
        <w:jc w:val="both"/>
      </w:pPr>
    </w:p>
    <w:p w:rsidR="00620074" w:rsidRDefault="00CC105B">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17"/>
        <w:gridCol w:w="5073"/>
      </w:tblGrid>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lang w:eastAsia="zh-CN"/>
              </w:rPr>
            </w:pPr>
            <w:r>
              <w:rPr>
                <w:rFonts w:ascii="宋体" w:eastAsia="宋体" w:hAnsi="宋体" w:cs="宋体"/>
                <w:sz w:val="21"/>
                <w:szCs w:val="21"/>
                <w:lang w:eastAsia="zh-CN"/>
              </w:rPr>
              <w:t>鹏华永平6个月定期开放债券型证券投资基金</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lang w:eastAsia="zh-CN"/>
              </w:rPr>
            </w:pPr>
            <w:r>
              <w:rPr>
                <w:rFonts w:ascii="宋体" w:eastAsia="宋体" w:hAnsi="宋体" w:cs="宋体"/>
                <w:sz w:val="21"/>
                <w:szCs w:val="21"/>
                <w:lang w:eastAsia="zh-CN"/>
              </w:rPr>
              <w:t>鹏华永平6个月定开债券</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015653</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lang w:eastAsia="zh-CN"/>
              </w:rPr>
            </w:pPr>
            <w:r>
              <w:rPr>
                <w:rFonts w:ascii="宋体" w:eastAsia="宋体" w:hAnsi="宋体" w:cs="宋体"/>
                <w:sz w:val="21"/>
                <w:szCs w:val="21"/>
                <w:lang w:eastAsia="zh-CN"/>
              </w:rPr>
              <w:t>契约型开放式，本基金以定期开放方式运作，即采用在封闭期内封闭运作、封闭期与封闭期之间定期开放的运作模式。本基金自基金合同生效之日（含）起或自每一开放期结束之日次日（含）起至6个月后的对应日的前一日止的期间封闭运作。如该对应日不存在对应日期或为非工作日，则顺延至下一工作日。本基金封闭期内不办理申购与赎回业务，也不上市交易。本基金自封闭期结束之后第一个工作日（含）起进入开放期，每个开放期不少于两个工作日、不超过二十个工作日，期间可以办理申购与赎回等业务，开放期的具体时间以基金管理人届时公告为准。如发生不可抗力或其他情形致使基金无法按时开放或需依据基金合同暂停申购与赎回业务的，基金管理人有权合理调整申购或赎回业务的办理期间并予以公告。</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2022年08月11日</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lang w:eastAsia="zh-CN"/>
              </w:rPr>
            </w:pPr>
            <w:r>
              <w:rPr>
                <w:rFonts w:ascii="宋体" w:eastAsia="宋体" w:hAnsi="宋体" w:cs="宋体"/>
                <w:sz w:val="21"/>
                <w:szCs w:val="21"/>
                <w:lang w:eastAsia="zh-CN"/>
              </w:rPr>
              <w:t>平安银行股份有限公司</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lang w:eastAsia="zh-CN"/>
              </w:rPr>
            </w:pPr>
            <w:r>
              <w:rPr>
                <w:rFonts w:ascii="宋体" w:eastAsia="宋体" w:hAnsi="宋体" w:cs="宋体"/>
                <w:sz w:val="21"/>
                <w:szCs w:val="21"/>
                <w:lang w:eastAsia="zh-CN"/>
              </w:rPr>
              <w:t>基金份额登记机构名称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lang w:eastAsia="zh-CN"/>
              </w:rPr>
            </w:pPr>
            <w:r>
              <w:rPr>
                <w:rFonts w:ascii="宋体" w:eastAsia="宋体" w:hAnsi="宋体" w:cs="宋体"/>
                <w:sz w:val="21"/>
                <w:szCs w:val="21"/>
                <w:lang w:eastAsia="zh-CN"/>
              </w:rPr>
              <w:t>《鹏华永平6个月定期开放债券型证券投资基金基金合同》（以下简称“基金合同”）、《鹏华永平6个月定期开放债券型证券投资基金招募说明书》及其更新（以下简称“招募说明书”）</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申购起始日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2025年12月04日</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赎回起始日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2025年12月04日</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2025年12月04日</w:t>
            </w:r>
          </w:p>
        </w:tc>
      </w:tr>
      <w:tr w:rsidR="00620074">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20074" w:rsidRDefault="00CC105B" w:rsidP="001A1B22">
            <w:pPr>
              <w:jc w:val="both"/>
              <w:rPr>
                <w:rFonts w:ascii="宋体" w:eastAsia="宋体" w:hAnsi="宋体" w:cs="宋体"/>
                <w:sz w:val="21"/>
                <w:szCs w:val="21"/>
              </w:rPr>
            </w:pPr>
            <w:r>
              <w:rPr>
                <w:rFonts w:ascii="宋体" w:eastAsia="宋体" w:hAnsi="宋体" w:cs="宋体"/>
                <w:sz w:val="21"/>
                <w:szCs w:val="21"/>
                <w:lang w:eastAsia="zh-CN"/>
              </w:rPr>
              <w:t>2025年12月04日</w:t>
            </w:r>
          </w:p>
        </w:tc>
      </w:tr>
    </w:tbl>
    <w:p w:rsidR="00620074" w:rsidRDefault="00CC105B">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2 申购、赎回和转换业务的办理时间</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鹏华永平6个月定期开放债券型证券投资基金（以下简称“本基金”）自2025年12月04日起（含当日）进入开放期，其中开放申购时间为2025年12月04日至2025年12月31日，在此期间接受投资者的申购和转换转入业务申请；开放赎回时间为2025年12月04日至2025年12月10日，在此期间接受投资者的赎回和转换转出业务申请。</w:t>
      </w:r>
    </w:p>
    <w:p w:rsidR="00620074" w:rsidRDefault="00CC105B">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3 申购业务</w:t>
      </w:r>
    </w:p>
    <w:p w:rsidR="00620074" w:rsidRDefault="00CC105B">
      <w:pPr>
        <w:widowControl w:val="0"/>
        <w:spacing w:before="156" w:after="156"/>
        <w:rPr>
          <w:lang w:eastAsia="zh-CN"/>
        </w:rPr>
      </w:pPr>
      <w:r>
        <w:rPr>
          <w:rFonts w:ascii="宋体" w:eastAsia="宋体" w:hAnsi="宋体" w:cs="宋体"/>
          <w:b/>
          <w:bCs/>
          <w:lang w:eastAsia="zh-CN"/>
        </w:rPr>
        <w:t>3.1 申购金额限制</w:t>
      </w:r>
    </w:p>
    <w:p w:rsidR="00620074" w:rsidRDefault="00CC105B">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投资人通过销售机构申购本基金，单笔最低申购金额为1元。各销售机构对本基金最低申购金额及交易级差有其他规定的，以销售机构的规定为准。通过基金管理人直销中心申购本基金，首次最低申购金额为100万元，追加申购单笔最低金额为1万元，但根据</w:t>
      </w:r>
      <w:r>
        <w:rPr>
          <w:rFonts w:ascii="宋体" w:eastAsia="宋体" w:hAnsi="宋体" w:cs="宋体"/>
          <w:sz w:val="21"/>
          <w:szCs w:val="21"/>
          <w:lang w:eastAsia="zh-CN"/>
        </w:rPr>
        <w:lastRenderedPageBreak/>
        <w:t>法律法规或基金管理人的要求无法通过网上直销渠道申购的不受前述限制。本基金直销中心单笔申购最低金额与申购级差限制可由基金管理人酌情调整。</w:t>
      </w:r>
    </w:p>
    <w:p w:rsidR="00620074" w:rsidRDefault="00CC105B">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2、本基金对单个基金份额持有人不设置最高申购金额限制</w:t>
      </w:r>
      <w:r w:rsidR="00987EE6" w:rsidRPr="00987EE6">
        <w:rPr>
          <w:rFonts w:ascii="宋体" w:eastAsia="宋体" w:hAnsi="宋体" w:cs="宋体" w:hint="eastAsia"/>
          <w:sz w:val="21"/>
          <w:szCs w:val="21"/>
          <w:lang w:eastAsia="zh-CN"/>
        </w:rPr>
        <w:t>及累计持有的基金份额上限</w:t>
      </w:r>
      <w:r>
        <w:rPr>
          <w:rFonts w:ascii="宋体" w:eastAsia="宋体" w:hAnsi="宋体" w:cs="宋体"/>
          <w:sz w:val="21"/>
          <w:szCs w:val="21"/>
          <w:lang w:eastAsia="zh-CN"/>
        </w:rPr>
        <w:t>，但单一投资者持有基金份额数不得达到或超过基金份额总数的50%(在基金运作过程中因基金份额赎回等情形导致被动达到或超过50%的除外)。</w:t>
      </w:r>
    </w:p>
    <w:p w:rsidR="00620074" w:rsidRDefault="00CC105B">
      <w:pPr>
        <w:widowControl w:val="0"/>
        <w:spacing w:before="156" w:after="156"/>
        <w:rPr>
          <w:lang w:eastAsia="zh-CN"/>
        </w:rPr>
      </w:pPr>
      <w:r>
        <w:rPr>
          <w:rFonts w:ascii="宋体" w:eastAsia="宋体" w:hAnsi="宋体" w:cs="宋体"/>
          <w:b/>
          <w:bCs/>
          <w:lang w:eastAsia="zh-CN"/>
        </w:rPr>
        <w:t>3.2 申购费率</w:t>
      </w:r>
    </w:p>
    <w:p w:rsidR="00620074" w:rsidRPr="001A1B22" w:rsidRDefault="00CC105B">
      <w:pPr>
        <w:widowControl w:val="0"/>
        <w:spacing w:before="156" w:after="156"/>
        <w:ind w:firstLine="550"/>
        <w:jc w:val="both"/>
        <w:rPr>
          <w:rFonts w:ascii="宋体" w:eastAsia="宋体" w:hAnsi="宋体" w:cs="宋体"/>
          <w:sz w:val="21"/>
          <w:szCs w:val="21"/>
          <w:lang w:eastAsia="zh-CN"/>
        </w:rPr>
      </w:pPr>
      <w:r w:rsidRPr="001A1B22">
        <w:rPr>
          <w:rFonts w:ascii="宋体" w:eastAsia="宋体" w:hAnsi="宋体" w:cs="宋体"/>
          <w:sz w:val="21"/>
          <w:szCs w:val="21"/>
          <w:lang w:eastAsia="zh-CN"/>
        </w:rPr>
        <w:t>本基金的申购费率如下表所示：</w:t>
      </w:r>
    </w:p>
    <w:tbl>
      <w:tblPr>
        <w:tblW w:w="8003" w:type="dxa"/>
        <w:tblInd w:w="5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27"/>
        <w:gridCol w:w="2426"/>
        <w:gridCol w:w="2350"/>
      </w:tblGrid>
      <w:tr w:rsidR="00620074" w:rsidRPr="001A1B22">
        <w:trPr>
          <w:trHeight w:val="415"/>
        </w:trPr>
        <w:tc>
          <w:tcPr>
            <w:tcW w:w="3227" w:type="dxa"/>
            <w:tcBorders>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cs="宋体"/>
                <w:b/>
                <w:bCs/>
                <w:sz w:val="21"/>
                <w:szCs w:val="21"/>
                <w:lang w:eastAsia="zh-CN"/>
              </w:rPr>
              <w:t>申购金额</w:t>
            </w:r>
            <w:r w:rsidRPr="001A1B22">
              <w:rPr>
                <w:rFonts w:ascii="宋体" w:eastAsia="宋体" w:hAnsi="宋体"/>
                <w:b/>
                <w:bCs/>
                <w:sz w:val="21"/>
                <w:szCs w:val="21"/>
                <w:lang w:eastAsia="zh-CN"/>
              </w:rPr>
              <w:t>M</w:t>
            </w:r>
            <w:r w:rsidRPr="001A1B22">
              <w:rPr>
                <w:rFonts w:ascii="宋体" w:eastAsia="宋体" w:hAnsi="宋体" w:cs="宋体"/>
                <w:b/>
                <w:bCs/>
                <w:sz w:val="21"/>
                <w:szCs w:val="21"/>
                <w:lang w:eastAsia="zh-CN"/>
              </w:rPr>
              <w:t>（元）</w:t>
            </w:r>
          </w:p>
        </w:tc>
        <w:tc>
          <w:tcPr>
            <w:tcW w:w="2426" w:type="dxa"/>
            <w:tcBorders>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cs="宋体"/>
                <w:b/>
                <w:bCs/>
                <w:sz w:val="21"/>
                <w:szCs w:val="21"/>
                <w:lang w:eastAsia="zh-CN"/>
              </w:rPr>
              <w:t>一般申购费率</w:t>
            </w:r>
          </w:p>
        </w:tc>
        <w:tc>
          <w:tcPr>
            <w:tcW w:w="2350" w:type="dxa"/>
            <w:tcBorders>
              <w:left w:val="single" w:sz="6" w:space="0" w:color="auto"/>
              <w:bottom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cs="宋体"/>
                <w:b/>
                <w:bCs/>
                <w:sz w:val="21"/>
                <w:szCs w:val="21"/>
                <w:lang w:eastAsia="zh-CN"/>
              </w:rPr>
              <w:t>特定申购费率</w:t>
            </w:r>
          </w:p>
        </w:tc>
      </w:tr>
      <w:tr w:rsidR="00620074" w:rsidRPr="001A1B22">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M &lt; 100</w:t>
            </w:r>
            <w:r w:rsidRPr="001A1B22">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0.30%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0.12%</w:t>
            </w:r>
          </w:p>
        </w:tc>
      </w:tr>
      <w:tr w:rsidR="00620074" w:rsidRPr="001A1B22">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100</w:t>
            </w:r>
            <w:r w:rsidRPr="001A1B22">
              <w:rPr>
                <w:rFonts w:ascii="宋体" w:eastAsia="宋体" w:hAnsi="宋体" w:cs="宋体"/>
                <w:sz w:val="21"/>
                <w:szCs w:val="21"/>
                <w:lang w:eastAsia="zh-CN"/>
              </w:rPr>
              <w:t xml:space="preserve">万 </w:t>
            </w:r>
            <w:r w:rsidRPr="001A1B22">
              <w:rPr>
                <w:rFonts w:ascii="宋体" w:eastAsia="宋体" w:hAnsi="宋体"/>
                <w:sz w:val="21"/>
                <w:szCs w:val="21"/>
                <w:lang w:eastAsia="zh-CN"/>
              </w:rPr>
              <w:t>≤ M &lt; 300</w:t>
            </w:r>
            <w:r w:rsidRPr="001A1B22">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0.20%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0.06%</w:t>
            </w:r>
          </w:p>
        </w:tc>
      </w:tr>
      <w:tr w:rsidR="00620074" w:rsidRPr="001A1B22">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300</w:t>
            </w:r>
            <w:r w:rsidRPr="001A1B22">
              <w:rPr>
                <w:rFonts w:ascii="宋体" w:eastAsia="宋体" w:hAnsi="宋体" w:cs="宋体"/>
                <w:sz w:val="21"/>
                <w:szCs w:val="21"/>
                <w:lang w:eastAsia="zh-CN"/>
              </w:rPr>
              <w:t xml:space="preserve">万 </w:t>
            </w:r>
            <w:r w:rsidRPr="001A1B22">
              <w:rPr>
                <w:rFonts w:ascii="宋体" w:eastAsia="宋体" w:hAnsi="宋体"/>
                <w:sz w:val="21"/>
                <w:szCs w:val="21"/>
                <w:lang w:eastAsia="zh-CN"/>
              </w:rPr>
              <w:t>≤ M &lt; 500</w:t>
            </w:r>
            <w:r w:rsidRPr="001A1B22">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0.10%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0.03%</w:t>
            </w:r>
          </w:p>
        </w:tc>
      </w:tr>
      <w:tr w:rsidR="00620074" w:rsidRPr="001A1B22">
        <w:trPr>
          <w:trHeight w:val="415"/>
        </w:trPr>
        <w:tc>
          <w:tcPr>
            <w:tcW w:w="3227" w:type="dxa"/>
            <w:tcBorders>
              <w:top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M ≥ 500</w:t>
            </w:r>
            <w:r w:rsidRPr="001A1B22">
              <w:rPr>
                <w:rFonts w:ascii="宋体" w:eastAsia="宋体" w:hAnsi="宋体" w:cs="宋体"/>
                <w:sz w:val="21"/>
                <w:szCs w:val="21"/>
                <w:lang w:eastAsia="zh-CN"/>
              </w:rPr>
              <w:t>万</w:t>
            </w:r>
          </w:p>
        </w:tc>
        <w:tc>
          <w:tcPr>
            <w:tcW w:w="2426" w:type="dxa"/>
            <w:tcBorders>
              <w:top w:val="single" w:sz="6" w:space="0" w:color="auto"/>
              <w:left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cs="宋体"/>
                <w:sz w:val="21"/>
                <w:szCs w:val="21"/>
                <w:lang w:eastAsia="zh-CN"/>
              </w:rPr>
              <w:t>每笔</w:t>
            </w:r>
            <w:r w:rsidRPr="001A1B22">
              <w:rPr>
                <w:rFonts w:ascii="宋体" w:eastAsia="宋体" w:hAnsi="宋体"/>
                <w:sz w:val="21"/>
                <w:szCs w:val="21"/>
                <w:lang w:eastAsia="zh-CN"/>
              </w:rPr>
              <w:t>500</w:t>
            </w:r>
            <w:r w:rsidRPr="001A1B22">
              <w:rPr>
                <w:rFonts w:ascii="宋体" w:eastAsia="宋体" w:hAnsi="宋体" w:cs="宋体"/>
                <w:sz w:val="21"/>
                <w:szCs w:val="21"/>
                <w:lang w:eastAsia="zh-CN"/>
              </w:rPr>
              <w:t>元</w:t>
            </w:r>
          </w:p>
        </w:tc>
        <w:tc>
          <w:tcPr>
            <w:tcW w:w="2350" w:type="dxa"/>
            <w:tcBorders>
              <w:top w:val="single" w:sz="6" w:space="0" w:color="auto"/>
              <w:lef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cs="宋体"/>
                <w:sz w:val="21"/>
                <w:szCs w:val="21"/>
                <w:lang w:eastAsia="zh-CN"/>
              </w:rPr>
              <w:t>每笔</w:t>
            </w:r>
            <w:r w:rsidRPr="001A1B22">
              <w:rPr>
                <w:rFonts w:ascii="宋体" w:eastAsia="宋体" w:hAnsi="宋体"/>
                <w:sz w:val="21"/>
                <w:szCs w:val="21"/>
                <w:lang w:eastAsia="zh-CN"/>
              </w:rPr>
              <w:t>500</w:t>
            </w:r>
            <w:r w:rsidRPr="001A1B22">
              <w:rPr>
                <w:rFonts w:ascii="宋体" w:eastAsia="宋体" w:hAnsi="宋体" w:cs="宋体"/>
                <w:sz w:val="21"/>
                <w:szCs w:val="21"/>
                <w:lang w:eastAsia="zh-CN"/>
              </w:rPr>
              <w:t>元</w:t>
            </w:r>
          </w:p>
        </w:tc>
      </w:tr>
    </w:tbl>
    <w:p w:rsidR="00620074" w:rsidRDefault="00CC105B">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注：1、本基金的申购费用应在投资人申购基金份额时收取。投资人在一天之内如果有多笔申购，适用费率按单笔分别计算。</w:t>
      </w:r>
    </w:p>
    <w:p w:rsidR="00620074" w:rsidRDefault="00CC105B">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2、申购费用由投资人承担，不列入基金财产，主要用于本基金的市场推广、销售、登记等各项费用。</w:t>
      </w:r>
    </w:p>
    <w:p w:rsidR="00620074" w:rsidRDefault="00CC105B">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3、本基金对通过直销中心申购的养老金客户与除此之外的其他投资人实施差别的申购费率。通过基金管理人的直销中心申购本基金基金份额的养老金客户适用特定申购费率，其他投资人申购本基金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620074" w:rsidRDefault="00CC105B">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4 赎回业务</w:t>
      </w:r>
    </w:p>
    <w:p w:rsidR="00620074" w:rsidRDefault="00CC105B">
      <w:pPr>
        <w:widowControl w:val="0"/>
        <w:spacing w:before="156" w:after="156"/>
        <w:rPr>
          <w:lang w:eastAsia="zh-CN"/>
        </w:rPr>
      </w:pPr>
      <w:r>
        <w:rPr>
          <w:rFonts w:ascii="宋体" w:eastAsia="宋体" w:hAnsi="宋体" w:cs="宋体"/>
          <w:b/>
          <w:bCs/>
          <w:lang w:eastAsia="zh-CN"/>
        </w:rPr>
        <w:t>4.1 赎回份额限制</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620074" w:rsidRDefault="00CC105B">
      <w:pPr>
        <w:widowControl w:val="0"/>
        <w:spacing w:before="156" w:after="156"/>
        <w:jc w:val="both"/>
        <w:rPr>
          <w:lang w:eastAsia="zh-CN"/>
        </w:rPr>
      </w:pPr>
      <w:r>
        <w:rPr>
          <w:rFonts w:ascii="宋体" w:eastAsia="宋体" w:hAnsi="宋体" w:cs="宋体"/>
          <w:b/>
          <w:bCs/>
          <w:lang w:eastAsia="zh-CN"/>
        </w:rPr>
        <w:t>4.2赎回费率</w:t>
      </w:r>
    </w:p>
    <w:p w:rsidR="00620074" w:rsidRDefault="00CC105B">
      <w:pPr>
        <w:widowControl w:val="0"/>
        <w:spacing w:before="156" w:line="360" w:lineRule="auto"/>
        <w:ind w:firstLine="420"/>
        <w:rPr>
          <w:sz w:val="21"/>
          <w:szCs w:val="21"/>
          <w:lang w:eastAsia="zh-CN"/>
        </w:rPr>
      </w:pPr>
      <w:r>
        <w:rPr>
          <w:rFonts w:ascii="宋体" w:eastAsia="宋体" w:hAnsi="宋体" w:cs="宋体"/>
          <w:sz w:val="21"/>
          <w:szCs w:val="21"/>
          <w:lang w:eastAsia="zh-CN"/>
        </w:rPr>
        <w:t>本基金的赎回费率如下表所示：</w:t>
      </w:r>
    </w:p>
    <w:tbl>
      <w:tblPr>
        <w:tblW w:w="0" w:type="auto"/>
        <w:tblInd w:w="63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378"/>
        <w:gridCol w:w="3256"/>
      </w:tblGrid>
      <w:tr w:rsidR="00620074" w:rsidRPr="001A1B22">
        <w:trPr>
          <w:trHeight w:hRule="exact" w:val="461"/>
        </w:trPr>
        <w:tc>
          <w:tcPr>
            <w:tcW w:w="3378" w:type="dxa"/>
            <w:tcBorders>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cs="宋体"/>
                <w:b/>
                <w:bCs/>
                <w:sz w:val="21"/>
                <w:szCs w:val="21"/>
                <w:lang w:eastAsia="zh-CN"/>
              </w:rPr>
              <w:t>持有期限（</w:t>
            </w:r>
            <w:r w:rsidRPr="001A1B22">
              <w:rPr>
                <w:rFonts w:ascii="宋体" w:eastAsia="宋体" w:hAnsi="宋体"/>
                <w:b/>
                <w:bCs/>
                <w:sz w:val="21"/>
                <w:szCs w:val="21"/>
                <w:lang w:eastAsia="zh-CN"/>
              </w:rPr>
              <w:t>Y</w:t>
            </w:r>
            <w:r w:rsidRPr="001A1B22">
              <w:rPr>
                <w:rFonts w:ascii="宋体" w:eastAsia="宋体" w:hAnsi="宋体" w:cs="宋体"/>
                <w:b/>
                <w:bCs/>
                <w:sz w:val="21"/>
                <w:szCs w:val="21"/>
                <w:lang w:eastAsia="zh-CN"/>
              </w:rPr>
              <w:t>）</w:t>
            </w:r>
          </w:p>
        </w:tc>
        <w:tc>
          <w:tcPr>
            <w:tcW w:w="3256" w:type="dxa"/>
            <w:tcBorders>
              <w:left w:val="single" w:sz="6" w:space="0" w:color="auto"/>
              <w:bottom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cs="宋体"/>
                <w:b/>
                <w:bCs/>
                <w:sz w:val="21"/>
                <w:szCs w:val="21"/>
                <w:lang w:eastAsia="zh-CN"/>
              </w:rPr>
              <w:t>赎回费率</w:t>
            </w:r>
          </w:p>
        </w:tc>
      </w:tr>
      <w:tr w:rsidR="00620074" w:rsidRPr="001A1B22">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Y</w:t>
            </w:r>
            <w:r w:rsidRPr="001A1B22">
              <w:rPr>
                <w:rFonts w:ascii="宋体" w:eastAsia="宋体" w:hAnsi="宋体" w:cs="宋体"/>
                <w:sz w:val="21"/>
                <w:szCs w:val="21"/>
                <w:lang w:eastAsia="zh-CN"/>
              </w:rPr>
              <w:t>＜</w:t>
            </w:r>
            <w:r w:rsidRPr="001A1B22">
              <w:rPr>
                <w:rFonts w:ascii="宋体" w:eastAsia="宋体" w:hAnsi="宋体"/>
                <w:sz w:val="21"/>
                <w:szCs w:val="21"/>
                <w:lang w:eastAsia="zh-CN"/>
              </w:rPr>
              <w:t>7</w:t>
            </w:r>
            <w:r w:rsidRPr="001A1B22">
              <w:rPr>
                <w:rFonts w:ascii="宋体" w:eastAsia="宋体" w:hAnsi="宋体" w:cs="宋体"/>
                <w:sz w:val="21"/>
                <w:szCs w:val="21"/>
                <w:lang w:eastAsia="zh-CN"/>
              </w:rPr>
              <w:t>日</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1.50%</w:t>
            </w:r>
          </w:p>
        </w:tc>
      </w:tr>
      <w:tr w:rsidR="00620074" w:rsidRPr="001A1B22">
        <w:trPr>
          <w:trHeight w:hRule="exact" w:val="461"/>
        </w:trPr>
        <w:tc>
          <w:tcPr>
            <w:tcW w:w="3378" w:type="dxa"/>
            <w:tcBorders>
              <w:top w:val="single" w:sz="6" w:space="0" w:color="auto"/>
              <w:righ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Y≥7</w:t>
            </w:r>
            <w:r w:rsidRPr="001A1B22">
              <w:rPr>
                <w:rFonts w:ascii="宋体" w:eastAsia="宋体" w:hAnsi="宋体" w:cs="宋体"/>
                <w:sz w:val="21"/>
                <w:szCs w:val="21"/>
                <w:lang w:eastAsia="zh-CN"/>
              </w:rPr>
              <w:t>日</w:t>
            </w:r>
          </w:p>
        </w:tc>
        <w:tc>
          <w:tcPr>
            <w:tcW w:w="3256" w:type="dxa"/>
            <w:tcBorders>
              <w:top w:val="single" w:sz="6" w:space="0" w:color="auto"/>
              <w:left w:val="single" w:sz="6" w:space="0" w:color="auto"/>
            </w:tcBorders>
            <w:tcMar>
              <w:top w:w="8" w:type="dxa"/>
              <w:left w:w="108" w:type="dxa"/>
              <w:bottom w:w="8" w:type="dxa"/>
              <w:right w:w="108" w:type="dxa"/>
            </w:tcMar>
            <w:vAlign w:val="center"/>
            <w:hideMark/>
          </w:tcPr>
          <w:p w:rsidR="00620074" w:rsidRPr="001A1B22" w:rsidRDefault="00CC105B">
            <w:pPr>
              <w:widowControl w:val="0"/>
              <w:spacing w:line="360" w:lineRule="auto"/>
              <w:jc w:val="center"/>
              <w:rPr>
                <w:rFonts w:ascii="宋体" w:eastAsia="宋体" w:hAnsi="宋体"/>
                <w:sz w:val="21"/>
                <w:szCs w:val="21"/>
              </w:rPr>
            </w:pPr>
            <w:r w:rsidRPr="001A1B22">
              <w:rPr>
                <w:rFonts w:ascii="宋体" w:eastAsia="宋体" w:hAnsi="宋体"/>
                <w:sz w:val="21"/>
                <w:szCs w:val="21"/>
                <w:lang w:eastAsia="zh-CN"/>
              </w:rPr>
              <w:t>0</w:t>
            </w:r>
          </w:p>
        </w:tc>
      </w:tr>
    </w:tbl>
    <w:p w:rsidR="00620074" w:rsidRDefault="00CC105B">
      <w:pPr>
        <w:widowControl w:val="0"/>
        <w:spacing w:before="156" w:line="360" w:lineRule="auto"/>
        <w:ind w:firstLine="420"/>
        <w:jc w:val="both"/>
        <w:rPr>
          <w:sz w:val="21"/>
          <w:szCs w:val="21"/>
          <w:lang w:eastAsia="zh-CN"/>
        </w:rPr>
      </w:pPr>
      <w:r>
        <w:rPr>
          <w:rFonts w:ascii="宋体" w:eastAsia="宋体" w:hAnsi="宋体" w:cs="宋体"/>
          <w:sz w:val="21"/>
          <w:szCs w:val="21"/>
          <w:lang w:eastAsia="zh-CN"/>
        </w:rPr>
        <w:t>赎回费用由赎回基金份额的基金份额持有人承担，在基金份额持有人赎回基金份额时收取。赎回费全额计入基金财产。</w:t>
      </w:r>
    </w:p>
    <w:p w:rsidR="00620074" w:rsidRDefault="00CC105B">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5 转换业务</w:t>
      </w:r>
    </w:p>
    <w:p w:rsidR="00620074" w:rsidRDefault="00CC105B">
      <w:pPr>
        <w:widowControl w:val="0"/>
        <w:spacing w:before="156" w:after="156"/>
        <w:rPr>
          <w:lang w:eastAsia="zh-CN"/>
        </w:rPr>
      </w:pPr>
      <w:r>
        <w:rPr>
          <w:rFonts w:ascii="宋体" w:eastAsia="宋体" w:hAnsi="宋体" w:cs="宋体"/>
          <w:b/>
          <w:bCs/>
          <w:lang w:eastAsia="zh-CN"/>
        </w:rPr>
        <w:t>5.1 转换费率</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620074" w:rsidRDefault="00CC105B">
      <w:pPr>
        <w:widowControl w:val="0"/>
        <w:spacing w:line="360" w:lineRule="auto"/>
        <w:ind w:firstLine="420"/>
        <w:rPr>
          <w:sz w:val="21"/>
          <w:szCs w:val="21"/>
        </w:rPr>
      </w:pPr>
      <w:r>
        <w:rPr>
          <w:rFonts w:ascii="宋体" w:eastAsia="宋体" w:hAnsi="宋体" w:cs="宋体"/>
          <w:sz w:val="21"/>
          <w:szCs w:val="21"/>
          <w:lang w:eastAsia="zh-CN"/>
        </w:rPr>
        <w:t>1、赎回费用</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2、申购费用补差</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（1）当转出基金申购费低于转入基金申购费时，则按差额收取申购费用补差；当转出基金申购费高于或等于转入基金申购费时，不收取费用补差。</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（2）免申购费用的基金转入本基金，转换申购费用补差为本基金的申购费。</w:t>
      </w:r>
    </w:p>
    <w:p w:rsidR="00620074" w:rsidRDefault="00CC105B">
      <w:pPr>
        <w:widowControl w:val="0"/>
        <w:spacing w:before="156" w:after="156"/>
        <w:jc w:val="both"/>
        <w:rPr>
          <w:lang w:eastAsia="zh-CN"/>
        </w:rPr>
      </w:pPr>
      <w:r>
        <w:rPr>
          <w:rFonts w:ascii="宋体" w:eastAsia="宋体" w:hAnsi="宋体" w:cs="宋体"/>
          <w:b/>
          <w:bCs/>
          <w:lang w:eastAsia="zh-CN"/>
        </w:rPr>
        <w:t>5.2 其他与转换相关的事项</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1、转换业务适用基金范围</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A类份额和C类份额）、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和D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信息技术指数型证券投资基金（LOF）（I类份额）、鹏华中证800证券保险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润灵活配置混合型证券投资基金（A类份额和C类份额和E类份额）、鹏华弘泽灵活配置混合型证券投资基金（A类份额和C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华灵活配置混合型证券投资基金（A类份额和C类份额和E类份额）、鹏华弘和灵活配置混合型证券投资基金（A类份额和C类份额）、鹏华弘实灵活配置混合型证券投资基金（A类份额和C类份额和D类份额和E类份额）、鹏华弘信灵活配置混合型证券投资基金（A类份额和C类份额和D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移动互联网指数型证券投资基金（LOF）（I类份额）、鹏华中证环保产业指数型证券投资基金（LOF）（I类份额）、鹏华弘鑫灵活配置混合型证券投资基金（A类份额和C类份额）、鹏华添利宝货币市场基金（A类份额和B类份额）、鹏华沪深300指数增强型证券投资基金（I类份额）、鹏华国证钢铁行业指数型证券投资基金（LOF）（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腾债券型证券投资基金、鹏华丰禄债券型证券投资基金、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盈余宝货币市场基金（A类份额和B类份额）、鹏华丰源债券型证券投资基金、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和I类份额）、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中证500交易型开放式指数证券投资基金联接基金（A类份额和C类份额和I类份额）、鹏华科技创新混合型证券投资基金、鹏华价值成长混合型证券投资基金、鹏华丰诚债券型证券投资基金（A类份额和B类份额和C类份额和D类份额和E类份额）、鹏华安泽混合型证券投资基金（A类份额和C类份额和D类份额和E类份额）、鹏华稳健回报混合型证券投资基金（A类份额和C类份额）、鹏华鑫享稳健混合型证券投资基金（A类份额和C类份额和E类份额）、鹏华中债3-5年国开行债券指数证券投资基金（A类份额和C类份额和D类份额）、鹏华股息精选混合型证券投资基金、鹏华成长价值混合型证券投资基金（A类份额和C类份额）、鹏华普利债券型证券投资基金（A类份额和C类份额和E类份额）、鹏华优质企业混合型证券投资基金（A类份额和C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中债1-3年农发行债券指数证券投资基金（A类份额和C类份额和D类份额）、鹏华招华一年持有期混合型证券投资基金（A类份额和C类份额）、鹏华年年红一年持有期债券型证券投资基金（A类份额和C类份额）、鹏华中债-0-3年AA+优选信用债指数证券投资基金（A类份额和C类份额和D类份额和I类份额）、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弘裕一年持有期混合型证券投资基金（A类份额和C类份额）、鹏华品质优选混合型证券投资基金（A类份额和C类份额）、鹏华安悦一年持有期混合型证券投资基金（A类份额和C类份额）、鹏华宁华一年持有期混合型证券投资基金（A类份额和C类份额）、鹏华创新成长混合型证券投资基金（A类份额和C类份额）、鹏华致远成长混合型证券投资基金（A类份额和C类份额）、鹏华远见回报三年持有期混合型证券投资基金、鹏华民丰盈和6个月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安颐混合型证券投资基金（A类份额和C类份额）、鹏华稳华90天滚动持有债券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和E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高端装备一年持有期混合型证券投资基金（A类份额和C类份额）、鹏华睿见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科技交易型开放式指数证券投资基金发起式联接基金（I类份额）、鹏华中证港股通医药卫生综合交易型开放式指数证券投资基金发起式联接基金（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和I类份额）、鹏华中证800交易型开放式指数证券投资基金发起式联接基金（A类份额和C类份额和I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鹏华中证电信主题交易型开放式指数证券投资基金发起式联接基金（A类份额和C类份额）、鹏华国证机器人产业交易型开放式指数证券投资基金发起式联接基金（A类份额和C类份额和I类份额）之间的基金转换。</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注：我司旗下定期开放产品在开放期间开通转换业务的，也适用于与本基金在开放期间的基金转换。</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2、基金转换份额的计算</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基金转换计算公式如下：</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转出基金赎回手续费＝转出份额×转出净值×转出基金赎回手续费率</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转出金额=转出份额×转出基金当日基金份额净值－转出基金赎回手续费</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补差费（外扣）＝转出金额×转入基金的申购费率/（1＋转入基金申购费率）－转出金额×转出基金申购费率/（1＋转出基金申购费率）</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转换费用＝转出基金赎回手续费＋补差费</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转入份额＝（转出金额－补差费）/转入基金当日基金份额净值</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例如：某基金份额持有人（非养老金客户）持有本基金份额10,000 份，持有6个月后，在本基金处于开放期间时决定转换为鹏华价值精选股票型证券投资基金，本基金对应前端申购费率为0.3%，赎回费率为0，假设转换当日转出基金份额净值是1.08元，转入基金的份额净值是1.05元，并且转入基金对应的前端申购费率为1.5%，则可得到的转换份额为： </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转出基金赎回手续费＝0元</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转出金额=10,000×1.080=10,800元</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补差费（外扣）＝10,800×1.5%/(1+1.5%)-10,800×0.3%/(1+0.3%)=127.30元</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转换费用＝0+127.30＝127.30元</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转入份额＝（10,800－127.30）/1.05＝10,164.48</w:t>
      </w:r>
    </w:p>
    <w:p w:rsidR="00620074" w:rsidRDefault="00CC105B">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即：某基金份额持有人（非养老金客户）持有10,000 份本基金份额6个月后，在本基金处于开放期间时转换为鹏华价值精选股票型证券投资基金，假设转换当日转出基金份额净值是1.08元，转入基金的基金份额净值是1.05元，则可得到的转换份额为10,164.48份。</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3、转换业务规则</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（1）基金转换只能在同一销售机构进行，且办理基金转换业务的销售机构须同时具备拟转出基金及拟转入基金的合法授权代理资格，并开通了相应的基金转换业务。</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（3）基金转换后，转入的基金份额的持有期将自转入的基金份额被确认之日起重新开始计算。</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（4）本基金单笔转换申请的最低份额为2份，基金份额持有人可将其全部或部分基金份额转换。</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5）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（6）基金转换以申请当日基金份额净值为基础计算。投资人采用“份额转换”的原则提交申请。转出基金份额必须是可用份额，并遵循赎回处理的原则。</w:t>
      </w:r>
    </w:p>
    <w:p w:rsidR="00620074" w:rsidRDefault="00CC105B">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6 基金销售机构</w:t>
      </w:r>
    </w:p>
    <w:p w:rsidR="00620074" w:rsidRDefault="00CC105B">
      <w:pPr>
        <w:widowControl w:val="0"/>
        <w:spacing w:before="156" w:after="156"/>
        <w:jc w:val="both"/>
        <w:rPr>
          <w:lang w:eastAsia="zh-CN"/>
        </w:rPr>
      </w:pPr>
      <w:r>
        <w:rPr>
          <w:rFonts w:ascii="宋体" w:eastAsia="宋体" w:hAnsi="宋体" w:cs="宋体"/>
          <w:b/>
          <w:bCs/>
          <w:lang w:eastAsia="zh-CN"/>
        </w:rPr>
        <w:t>6.1 直销机构</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鹏华基金管理有限公司</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办公地址：深圳市福田区福华三路168号深圳国际商会中心43层</w:t>
      </w:r>
    </w:p>
    <w:p w:rsidR="00620074" w:rsidRDefault="00CC105B">
      <w:pPr>
        <w:widowControl w:val="0"/>
        <w:spacing w:line="360" w:lineRule="auto"/>
        <w:ind w:firstLine="420"/>
        <w:rPr>
          <w:sz w:val="21"/>
          <w:szCs w:val="21"/>
        </w:rPr>
      </w:pPr>
      <w:r>
        <w:rPr>
          <w:rFonts w:ascii="宋体" w:eastAsia="宋体" w:hAnsi="宋体" w:cs="宋体"/>
          <w:sz w:val="21"/>
          <w:szCs w:val="21"/>
          <w:lang w:eastAsia="zh-CN"/>
        </w:rPr>
        <w:t>网址：www.phfund.com.cn</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全国统一客户服务电话：400-6788-533</w:t>
      </w:r>
    </w:p>
    <w:p w:rsidR="00620074" w:rsidRDefault="00CC105B">
      <w:pPr>
        <w:widowControl w:val="0"/>
        <w:spacing w:before="156" w:after="156"/>
        <w:jc w:val="both"/>
        <w:rPr>
          <w:lang w:eastAsia="zh-CN"/>
        </w:rPr>
      </w:pPr>
      <w:r>
        <w:rPr>
          <w:rFonts w:ascii="宋体" w:eastAsia="宋体" w:hAnsi="宋体" w:cs="宋体"/>
          <w:b/>
          <w:bCs/>
          <w:lang w:eastAsia="zh-CN"/>
        </w:rPr>
        <w:t>6.2 其他销售机构</w:t>
      </w:r>
    </w:p>
    <w:p w:rsidR="00620074" w:rsidRDefault="00CC105B">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1、银行销售机构：邮政储蓄银行、招商银行、兴业银行、平安银行、华夏银行、宁波银行。</w:t>
      </w:r>
    </w:p>
    <w:p w:rsidR="00620074" w:rsidRDefault="00CC105B">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2、证券（期货）销售机构：万联证券、中信证券（华南）、中信证券、招商证券、中信期货、国泰海通证券、中信证券（山东）、南京证券、平安证券、国信证券、华西证券、中信建投。</w:t>
      </w:r>
    </w:p>
    <w:p w:rsidR="00620074" w:rsidRDefault="00CC105B">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3、第三方销售机构：汇成基金、基煜基金、上海利得、上海长量。</w:t>
      </w:r>
    </w:p>
    <w:p w:rsidR="00620074" w:rsidRDefault="00CC105B">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7 基金份额净值公告/基金收益公告的披露安排</w:t>
      </w:r>
    </w:p>
    <w:p w:rsidR="00620074" w:rsidRDefault="00CC105B">
      <w:pPr>
        <w:widowControl w:val="0"/>
        <w:spacing w:line="360" w:lineRule="auto"/>
        <w:ind w:firstLine="420"/>
        <w:rPr>
          <w:sz w:val="21"/>
          <w:szCs w:val="21"/>
          <w:lang w:eastAsia="zh-CN"/>
        </w:rPr>
      </w:pPr>
      <w:r>
        <w:rPr>
          <w:rFonts w:ascii="宋体" w:eastAsia="宋体" w:hAnsi="宋体" w:cs="宋体"/>
          <w:sz w:val="21"/>
          <w:szCs w:val="21"/>
          <w:lang w:eastAsia="zh-CN"/>
        </w:rPr>
        <w:t>在封闭期内，本基金至少每周在规定网站披露一次基金份额净值和基金份额累计净值。在开放期内，本基金在不晚于每个开放日的次日，通过规定网站、基金销售机构网站或者营业网点，披露开放日的基金份额净值和基金份额累计净值。</w:t>
      </w:r>
    </w:p>
    <w:p w:rsidR="00620074" w:rsidRDefault="00CC105B">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8 其他需要提示的事项</w:t>
      </w:r>
    </w:p>
    <w:p w:rsidR="00620074" w:rsidRDefault="00CC105B">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本基金的封闭期为自基金合同生效之日（含）起或自每一开放期结束之日次日（含）起至6个月后的对应日的前一日止。本基金的第一个封闭期为自基金合同生效之日（含）起至6个月后的对应日的前一日止。下一个封闭期为首个开放期结束之日次日（含）起至6个月后的对应日的前一日止，以此类推。如该对应日不存在对应日期或为非工作日，则顺延至下一工作日。本基金封闭期内不办理申购与赎回业务，也不上市交易。</w:t>
      </w:r>
    </w:p>
    <w:p w:rsidR="00620074" w:rsidRDefault="00CC105B">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一般情况下，本基金的开放期为每个封闭期结束之后第一个工作日（含）起不少于两个工作日、不超过二十个工作日的期间，具体期间由基金管理人在每个封闭期结束前公告说明。开放期内，本基金采取开放运作方式，投资人可办理基金份额的申购、赎回或其他业务，开放期未赎回的份额将自动转入下一个封闭期。</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3、如发生不可抗力或其他情形致使基金无法按时开放或需依据基金合同暂停申购与赎回业务的，基金管理人有权合理调整申购或赎回业务的办理期间并予以公告。</w:t>
      </w: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4、本公告仅对本基金开放申购、赎回和转换业务的有关事项予以说明。投资人欲了解本基金相关业务规则的详细情况，请阅读刊登在中国证监会规定信息披露媒介上的《鹏华永平6个月定期开放债券型证券投资基金招募说明书》及其更新。</w:t>
      </w:r>
    </w:p>
    <w:p w:rsidR="00620074" w:rsidRDefault="00620074">
      <w:pPr>
        <w:widowControl w:val="0"/>
        <w:spacing w:line="360" w:lineRule="auto"/>
        <w:ind w:firstLine="420"/>
        <w:rPr>
          <w:sz w:val="21"/>
          <w:szCs w:val="21"/>
          <w:lang w:eastAsia="zh-CN"/>
        </w:rPr>
      </w:pPr>
    </w:p>
    <w:p w:rsidR="00620074" w:rsidRDefault="00CC105B">
      <w:pPr>
        <w:widowControl w:val="0"/>
        <w:spacing w:line="360" w:lineRule="auto"/>
        <w:ind w:firstLine="420"/>
        <w:jc w:val="both"/>
        <w:rPr>
          <w:sz w:val="21"/>
          <w:szCs w:val="21"/>
          <w:lang w:eastAsia="zh-CN"/>
        </w:rPr>
      </w:pPr>
      <w:r>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620074" w:rsidRDefault="00620074">
      <w:pPr>
        <w:widowControl w:val="0"/>
        <w:spacing w:line="360" w:lineRule="auto"/>
        <w:rPr>
          <w:sz w:val="21"/>
          <w:szCs w:val="21"/>
          <w:lang w:eastAsia="zh-CN"/>
        </w:rPr>
      </w:pPr>
    </w:p>
    <w:p w:rsidR="00620074" w:rsidRPr="001A1B22" w:rsidRDefault="00CC105B">
      <w:pPr>
        <w:widowControl w:val="0"/>
        <w:spacing w:line="360" w:lineRule="auto"/>
        <w:ind w:firstLine="420"/>
        <w:jc w:val="right"/>
        <w:rPr>
          <w:rFonts w:ascii="宋体" w:eastAsia="宋体" w:hAnsi="宋体"/>
          <w:sz w:val="21"/>
          <w:szCs w:val="21"/>
          <w:lang w:eastAsia="zh-CN"/>
        </w:rPr>
      </w:pPr>
      <w:r w:rsidRPr="001A1B22">
        <w:rPr>
          <w:rFonts w:ascii="宋体" w:eastAsia="宋体" w:hAnsi="宋体" w:cs="宋体"/>
          <w:sz w:val="21"/>
          <w:szCs w:val="21"/>
          <w:lang w:eastAsia="zh-CN"/>
        </w:rPr>
        <w:t>鹏华基金管理有限公司</w:t>
      </w:r>
    </w:p>
    <w:p w:rsidR="00620074" w:rsidRPr="001A1B22" w:rsidRDefault="00CC105B">
      <w:pPr>
        <w:widowControl w:val="0"/>
        <w:spacing w:line="360" w:lineRule="auto"/>
        <w:ind w:firstLine="420"/>
        <w:jc w:val="right"/>
        <w:rPr>
          <w:rFonts w:ascii="宋体" w:eastAsia="宋体" w:hAnsi="宋体"/>
          <w:sz w:val="21"/>
          <w:szCs w:val="21"/>
        </w:rPr>
      </w:pPr>
      <w:r w:rsidRPr="001A1B22">
        <w:rPr>
          <w:rFonts w:ascii="宋体" w:eastAsia="宋体" w:hAnsi="宋体"/>
          <w:sz w:val="21"/>
          <w:szCs w:val="21"/>
          <w:lang w:eastAsia="zh-CN"/>
        </w:rPr>
        <w:t>2025</w:t>
      </w:r>
      <w:r w:rsidRPr="001A1B22">
        <w:rPr>
          <w:rFonts w:ascii="宋体" w:eastAsia="宋体" w:hAnsi="宋体" w:cs="宋体"/>
          <w:sz w:val="21"/>
          <w:szCs w:val="21"/>
          <w:lang w:eastAsia="zh-CN"/>
        </w:rPr>
        <w:t>年</w:t>
      </w:r>
      <w:r w:rsidRPr="001A1B22">
        <w:rPr>
          <w:rFonts w:ascii="宋体" w:eastAsia="宋体" w:hAnsi="宋体"/>
          <w:sz w:val="21"/>
          <w:szCs w:val="21"/>
          <w:lang w:eastAsia="zh-CN"/>
        </w:rPr>
        <w:t>12</w:t>
      </w:r>
      <w:r w:rsidRPr="001A1B22">
        <w:rPr>
          <w:rFonts w:ascii="宋体" w:eastAsia="宋体" w:hAnsi="宋体" w:cs="宋体"/>
          <w:sz w:val="21"/>
          <w:szCs w:val="21"/>
          <w:lang w:eastAsia="zh-CN"/>
        </w:rPr>
        <w:t>月</w:t>
      </w:r>
      <w:r w:rsidRPr="001A1B22">
        <w:rPr>
          <w:rFonts w:ascii="宋体" w:eastAsia="宋体" w:hAnsi="宋体"/>
          <w:sz w:val="21"/>
          <w:szCs w:val="21"/>
          <w:lang w:eastAsia="zh-CN"/>
        </w:rPr>
        <w:t>03</w:t>
      </w:r>
      <w:r w:rsidRPr="001A1B22">
        <w:rPr>
          <w:rFonts w:ascii="宋体" w:eastAsia="宋体" w:hAnsi="宋体" w:cs="宋体"/>
          <w:sz w:val="21"/>
          <w:szCs w:val="21"/>
          <w:lang w:eastAsia="zh-CN"/>
        </w:rPr>
        <w:t>日</w:t>
      </w:r>
    </w:p>
    <w:p w:rsidR="00A77B3E" w:rsidRDefault="00A77B3E"/>
    <w:sectPr w:rsidR="00A77B3E" w:rsidSect="007276D5">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DA" w:rsidRDefault="00E430DA">
      <w:r>
        <w:separator/>
      </w:r>
    </w:p>
  </w:endnote>
  <w:endnote w:type="continuationSeparator" w:id="0">
    <w:p w:rsidR="00E430DA" w:rsidRDefault="00E43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74" w:rsidRDefault="007276D5">
    <w:pPr>
      <w:jc w:val="center"/>
    </w:pPr>
    <w:r>
      <w:rPr>
        <w:rFonts w:ascii="宋体" w:eastAsia="宋体" w:hAnsi="宋体" w:cs="宋体"/>
        <w:sz w:val="18"/>
      </w:rPr>
      <w:fldChar w:fldCharType="begin"/>
    </w:r>
    <w:r w:rsidR="00CC105B">
      <w:rPr>
        <w:rFonts w:ascii="宋体" w:eastAsia="宋体" w:hAnsi="宋体" w:cs="宋体"/>
        <w:sz w:val="18"/>
        <w:lang w:eastAsia="zh-CN"/>
      </w:rPr>
      <w:instrText xml:space="preserve"> PAGE </w:instrText>
    </w:r>
    <w:r>
      <w:rPr>
        <w:rFonts w:ascii="宋体" w:eastAsia="宋体" w:hAnsi="宋体" w:cs="宋体"/>
        <w:sz w:val="18"/>
      </w:rPr>
      <w:fldChar w:fldCharType="separate"/>
    </w:r>
    <w:r w:rsidR="00C722E3">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DA" w:rsidRDefault="00E430DA">
      <w:r>
        <w:separator/>
      </w:r>
    </w:p>
  </w:footnote>
  <w:footnote w:type="continuationSeparator" w:id="0">
    <w:p w:rsidR="00E430DA" w:rsidRDefault="00E430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A1B22"/>
    <w:rsid w:val="00442B7D"/>
    <w:rsid w:val="00620074"/>
    <w:rsid w:val="007276D5"/>
    <w:rsid w:val="00987EE6"/>
    <w:rsid w:val="00A77B3E"/>
    <w:rsid w:val="00C722E3"/>
    <w:rsid w:val="00CA2A55"/>
    <w:rsid w:val="00CC105B"/>
    <w:rsid w:val="00E430DA"/>
    <w:rsid w:val="00FD1F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D5"/>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987E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87EE6"/>
    <w:rPr>
      <w:sz w:val="18"/>
      <w:szCs w:val="18"/>
    </w:rPr>
  </w:style>
  <w:style w:type="paragraph" w:styleId="a4">
    <w:name w:val="footer"/>
    <w:basedOn w:val="a"/>
    <w:link w:val="Char0"/>
    <w:unhideWhenUsed/>
    <w:rsid w:val="00987EE6"/>
    <w:pPr>
      <w:tabs>
        <w:tab w:val="center" w:pos="4153"/>
        <w:tab w:val="right" w:pos="8306"/>
      </w:tabs>
      <w:snapToGrid w:val="0"/>
    </w:pPr>
    <w:rPr>
      <w:sz w:val="18"/>
      <w:szCs w:val="18"/>
    </w:rPr>
  </w:style>
  <w:style w:type="character" w:customStyle="1" w:styleId="Char0">
    <w:name w:val="页脚 Char"/>
    <w:basedOn w:val="a0"/>
    <w:link w:val="a4"/>
    <w:rsid w:val="00987EE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1753</Words>
  <Characters>9998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2025-12-02T01:33:00Z</cp:lastPrinted>
  <dcterms:created xsi:type="dcterms:W3CDTF">2025-12-02T16:01:00Z</dcterms:created>
  <dcterms:modified xsi:type="dcterms:W3CDTF">2025-12-02T16:01:00Z</dcterms:modified>
</cp:coreProperties>
</file>