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08" w:rsidRDefault="002B7764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中邮创业基金管理股份有限公司</w:t>
      </w:r>
    </w:p>
    <w:p w:rsidR="00F42CDE" w:rsidRDefault="002B7764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关于中邮北证</w:t>
      </w:r>
      <w:r>
        <w:rPr>
          <w:rFonts w:ascii="宋体" w:eastAsia="宋体" w:hAnsi="宋体" w:cs="宋体"/>
          <w:b/>
          <w:bCs/>
          <w:sz w:val="28"/>
          <w:szCs w:val="28"/>
        </w:rPr>
        <w:t>50成份指数增强型发起式证券投资基金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增加</w:t>
      </w:r>
    </w:p>
    <w:p w:rsidR="00F55608" w:rsidRDefault="002B7764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招商银行股份有限公司为</w:t>
      </w:r>
      <w:r>
        <w:rPr>
          <w:rFonts w:ascii="Verdana" w:eastAsia="宋体" w:hAnsi="Verdana" w:cs="Times New Roman" w:hint="eastAsia"/>
          <w:b/>
          <w:bCs/>
          <w:sz w:val="28"/>
          <w:szCs w:val="28"/>
        </w:rPr>
        <w:t>代销机构</w:t>
      </w:r>
      <w:bookmarkStart w:id="1" w:name="_Hlk82777530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及</w:t>
      </w:r>
      <w:bookmarkEnd w:id="1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参加</w:t>
      </w:r>
      <w:r>
        <w:rPr>
          <w:rFonts w:ascii="宋体" w:eastAsia="宋体" w:hAnsi="宋体" w:hint="eastAsia"/>
          <w:b/>
          <w:sz w:val="28"/>
          <w:szCs w:val="28"/>
        </w:rPr>
        <w:t>认购费率优惠活动</w:t>
      </w:r>
      <w:r>
        <w:rPr>
          <w:rFonts w:ascii="Verdana" w:eastAsia="宋体" w:hAnsi="Verdana" w:cs="Times New Roman" w:hint="eastAsia"/>
          <w:b/>
          <w:bCs/>
          <w:sz w:val="28"/>
          <w:szCs w:val="28"/>
        </w:rPr>
        <w:t>的公告</w:t>
      </w:r>
    </w:p>
    <w:p w:rsidR="00F55608" w:rsidRDefault="00F55608">
      <w:pPr>
        <w:rPr>
          <w:rFonts w:ascii="宋体" w:eastAsia="宋体" w:hAnsi="宋体" w:cs="宋体"/>
          <w:szCs w:val="21"/>
        </w:rPr>
      </w:pPr>
    </w:p>
    <w:p w:rsidR="00F55608" w:rsidRDefault="002B7764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等线" w:hint="eastAsia"/>
          <w:szCs w:val="21"/>
        </w:rPr>
        <w:t>根据中邮创业基金管理股份有限公司（以下称“本公司”）与招商银行股份有限公司（以下称“招商银行”）签署的代销协议，</w:t>
      </w:r>
      <w:r>
        <w:rPr>
          <w:rFonts w:ascii="宋体" w:eastAsia="宋体" w:hAnsi="宋体" w:cs="等线"/>
          <w:szCs w:val="21"/>
        </w:rPr>
        <w:t xml:space="preserve"> </w:t>
      </w:r>
      <w:r>
        <w:rPr>
          <w:rFonts w:ascii="宋体" w:eastAsia="宋体" w:hAnsi="宋体" w:cs="等线" w:hint="eastAsia"/>
          <w:szCs w:val="21"/>
        </w:rPr>
        <w:t>自</w:t>
      </w:r>
      <w:r>
        <w:rPr>
          <w:rFonts w:ascii="宋体" w:eastAsia="宋体" w:hAnsi="宋体" w:cs="等线"/>
          <w:szCs w:val="21"/>
        </w:rPr>
        <w:t>2025</w:t>
      </w:r>
      <w:r>
        <w:rPr>
          <w:rFonts w:ascii="宋体" w:eastAsia="宋体" w:hAnsi="宋体" w:cs="等线" w:hint="eastAsia"/>
          <w:szCs w:val="21"/>
        </w:rPr>
        <w:t>年</w:t>
      </w:r>
      <w:r>
        <w:rPr>
          <w:rFonts w:ascii="宋体" w:eastAsia="宋体" w:hAnsi="宋体" w:cs="等线"/>
          <w:szCs w:val="21"/>
        </w:rPr>
        <w:t>12</w:t>
      </w:r>
      <w:r>
        <w:rPr>
          <w:rFonts w:ascii="宋体" w:eastAsia="宋体" w:hAnsi="宋体" w:cs="等线" w:hint="eastAsia"/>
          <w:szCs w:val="21"/>
        </w:rPr>
        <w:t>月</w:t>
      </w:r>
      <w:r>
        <w:rPr>
          <w:rFonts w:ascii="宋体" w:eastAsia="宋体" w:hAnsi="宋体" w:cs="等线"/>
          <w:szCs w:val="21"/>
        </w:rPr>
        <w:t>2</w:t>
      </w:r>
      <w:r>
        <w:rPr>
          <w:rFonts w:ascii="宋体" w:eastAsia="宋体" w:hAnsi="宋体" w:cs="等线" w:hint="eastAsia"/>
          <w:szCs w:val="21"/>
        </w:rPr>
        <w:t>日起，</w:t>
      </w:r>
      <w:r>
        <w:rPr>
          <w:rFonts w:ascii="宋体" w:eastAsia="宋体" w:hAnsi="宋体" w:cs="宋体" w:hint="eastAsia"/>
          <w:color w:val="000000"/>
          <w:szCs w:val="21"/>
        </w:rPr>
        <w:t>本公司将增加</w:t>
      </w:r>
      <w:r>
        <w:rPr>
          <w:rFonts w:ascii="宋体" w:eastAsia="宋体" w:hAnsi="宋体" w:cs="等线" w:hint="eastAsia"/>
          <w:szCs w:val="21"/>
        </w:rPr>
        <w:t>招商银行代理销售</w:t>
      </w:r>
      <w:r>
        <w:rPr>
          <w:rFonts w:ascii="宋体" w:eastAsia="宋体" w:hAnsi="宋体" w:cs="宋体" w:hint="eastAsia"/>
          <w:szCs w:val="21"/>
        </w:rPr>
        <w:t>中邮北证50成份指数增强型发起式证券投资基金</w:t>
      </w:r>
      <w:r>
        <w:rPr>
          <w:rFonts w:ascii="宋体" w:eastAsia="宋体" w:hAnsi="宋体" w:cs="Times New Roman"/>
          <w:bCs/>
          <w:color w:val="000000"/>
          <w:szCs w:val="21"/>
        </w:rPr>
        <w:t>A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、</w:t>
      </w:r>
      <w:r>
        <w:rPr>
          <w:rFonts w:ascii="宋体" w:eastAsia="宋体" w:hAnsi="宋体" w:cs="Times New Roman"/>
          <w:bCs/>
          <w:color w:val="000000"/>
          <w:szCs w:val="21"/>
        </w:rPr>
        <w:t>C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类份额（</w:t>
      </w:r>
      <w:r>
        <w:rPr>
          <w:rFonts w:ascii="宋体" w:eastAsia="宋体" w:hAnsi="宋体" w:cs="Times New Roman"/>
          <w:bCs/>
          <w:color w:val="000000"/>
          <w:szCs w:val="21"/>
        </w:rPr>
        <w:t>A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类基金代码：</w:t>
      </w:r>
      <w:r>
        <w:rPr>
          <w:rFonts w:ascii="宋体" w:eastAsia="宋体" w:hAnsi="宋体" w:cs="Times New Roman"/>
          <w:bCs/>
          <w:color w:val="000000"/>
          <w:szCs w:val="21"/>
        </w:rPr>
        <w:t>025488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，</w:t>
      </w:r>
      <w:r>
        <w:rPr>
          <w:rFonts w:ascii="宋体" w:eastAsia="宋体" w:hAnsi="宋体" w:cs="Times New Roman"/>
          <w:bCs/>
          <w:color w:val="000000"/>
          <w:szCs w:val="21"/>
        </w:rPr>
        <w:t>C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类基金代码：</w:t>
      </w:r>
      <w:r>
        <w:rPr>
          <w:rFonts w:ascii="宋体" w:eastAsia="宋体" w:hAnsi="宋体" w:cs="Times New Roman"/>
          <w:bCs/>
          <w:color w:val="000000"/>
          <w:szCs w:val="21"/>
        </w:rPr>
        <w:t>025489</w:t>
      </w:r>
      <w:r>
        <w:rPr>
          <w:rFonts w:ascii="宋体" w:eastAsia="宋体" w:hAnsi="宋体" w:hint="eastAsia"/>
        </w:rPr>
        <w:t>，以下简称“本基金”</w:t>
      </w:r>
      <w:r>
        <w:rPr>
          <w:rFonts w:ascii="宋体" w:eastAsia="宋体" w:hAnsi="宋体" w:cs="Times New Roman" w:hint="eastAsia"/>
          <w:bCs/>
          <w:color w:val="000000"/>
          <w:szCs w:val="21"/>
        </w:rPr>
        <w:t>）</w:t>
      </w:r>
      <w:r>
        <w:rPr>
          <w:rFonts w:ascii="宋体" w:eastAsia="宋体" w:hAnsi="宋体" w:cs="宋体" w:hint="eastAsia"/>
          <w:bCs/>
          <w:color w:val="000000"/>
          <w:szCs w:val="21"/>
        </w:rPr>
        <w:t>。</w:t>
      </w:r>
      <w:r>
        <w:rPr>
          <w:rFonts w:ascii="宋体" w:eastAsia="宋体" w:hAnsi="宋体" w:hint="eastAsia"/>
        </w:rPr>
        <w:t>同时，本基金自2025年12月2日至2025年12月26日期间参加招商银行认购费率优惠活动。现将有关事项公告如下：</w:t>
      </w:r>
    </w:p>
    <w:p w:rsidR="00F55608" w:rsidRDefault="002B7764">
      <w:pPr>
        <w:numPr>
          <w:ilvl w:val="0"/>
          <w:numId w:val="1"/>
        </w:numPr>
        <w:spacing w:line="360" w:lineRule="auto"/>
        <w:ind w:firstLineChars="200" w:firstLine="422"/>
        <w:rPr>
          <w:rFonts w:ascii="宋体" w:eastAsia="宋体" w:hAnsi="Times New Roman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业务范围</w:t>
      </w:r>
    </w:p>
    <w:p w:rsidR="00F55608" w:rsidRDefault="002B7764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自</w:t>
      </w:r>
      <w:r>
        <w:rPr>
          <w:rFonts w:ascii="宋体" w:eastAsia="宋体" w:hAnsi="宋体" w:cs="宋体"/>
          <w:szCs w:val="21"/>
        </w:rPr>
        <w:t>2025</w:t>
      </w:r>
      <w:r>
        <w:rPr>
          <w:rFonts w:ascii="宋体" w:eastAsia="宋体" w:hAnsi="宋体" w:cs="宋体" w:hint="eastAsia"/>
          <w:szCs w:val="21"/>
        </w:rPr>
        <w:t>年12月2日起，投资者可通过招商银行办理本基金的开户业务，并可在</w:t>
      </w:r>
      <w:r>
        <w:rPr>
          <w:rFonts w:ascii="宋体" w:eastAsia="宋体" w:hAnsi="宋体" w:hint="eastAsia"/>
        </w:rPr>
        <w:t>2025年12月2日至2025年12月26日期间通过招商银行办理本基金的认购业务</w:t>
      </w:r>
      <w:r>
        <w:rPr>
          <w:rFonts w:ascii="宋体" w:eastAsia="宋体" w:hAnsi="宋体" w:cs="宋体" w:hint="eastAsia"/>
          <w:szCs w:val="21"/>
        </w:rPr>
        <w:t>。</w:t>
      </w:r>
    </w:p>
    <w:p w:rsidR="00F55608" w:rsidRDefault="002B7764">
      <w:pPr>
        <w:spacing w:line="360" w:lineRule="auto"/>
        <w:ind w:firstLineChars="200" w:firstLine="420"/>
        <w:outlineLvl w:val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投资者通过</w:t>
      </w:r>
      <w:r>
        <w:rPr>
          <w:rFonts w:ascii="宋体" w:eastAsia="宋体" w:hAnsi="宋体" w:hint="eastAsia"/>
        </w:rPr>
        <w:t>招商银行</w:t>
      </w:r>
      <w:r>
        <w:rPr>
          <w:rFonts w:ascii="宋体" w:eastAsia="宋体" w:hAnsi="宋体" w:cs="宋体" w:hint="eastAsia"/>
          <w:szCs w:val="21"/>
        </w:rPr>
        <w:t>办理本基金A类份额的认购业务时，认购费率不设折扣限制，若折扣前的原费率为固定费用，则按原费率执行，不再享有费率折扣，具体以</w:t>
      </w:r>
      <w:r>
        <w:rPr>
          <w:rFonts w:ascii="宋体" w:eastAsia="宋体" w:hAnsi="宋体" w:hint="eastAsia"/>
        </w:rPr>
        <w:t>招商银行</w:t>
      </w:r>
      <w:r>
        <w:rPr>
          <w:rFonts w:ascii="宋体" w:eastAsia="宋体" w:hAnsi="宋体" w:cs="宋体" w:hint="eastAsia"/>
          <w:szCs w:val="21"/>
        </w:rPr>
        <w:t>规定为准。</w:t>
      </w:r>
    </w:p>
    <w:p w:rsidR="00F55608" w:rsidRDefault="002B7764">
      <w:pPr>
        <w:spacing w:line="360" w:lineRule="auto"/>
        <w:ind w:firstLineChars="200" w:firstLine="422"/>
        <w:outlineLvl w:val="0"/>
        <w:rPr>
          <w:rFonts w:ascii="宋体" w:eastAsia="宋体" w:hAnsi="Times New Roman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二、重要提示</w:t>
      </w:r>
      <w:r>
        <w:rPr>
          <w:rFonts w:ascii="宋体" w:eastAsia="宋体" w:hAnsi="宋体" w:cs="宋体"/>
          <w:b/>
          <w:szCs w:val="21"/>
        </w:rPr>
        <w:t xml:space="preserve"> </w:t>
      </w:r>
    </w:p>
    <w:p w:rsidR="00F55608" w:rsidRDefault="002B7764">
      <w:pPr>
        <w:pStyle w:val="a3"/>
        <w:spacing w:before="1" w:line="360" w:lineRule="auto"/>
        <w:ind w:right="215"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1、上述费率优惠活动的具体规则以</w:t>
      </w:r>
      <w:r>
        <w:rPr>
          <w:rFonts w:ascii="宋体" w:eastAsia="宋体" w:hAnsi="宋体" w:cs="宋体" w:hint="eastAsia"/>
          <w:bCs/>
          <w:color w:val="000000"/>
          <w:szCs w:val="21"/>
        </w:rPr>
        <w:t>招商银行</w:t>
      </w:r>
      <w:r>
        <w:rPr>
          <w:rFonts w:ascii="宋体" w:eastAsia="宋体" w:hAnsi="宋体" w:cs="宋体" w:hint="eastAsia"/>
          <w:kern w:val="0"/>
          <w:szCs w:val="21"/>
        </w:rPr>
        <w:t>的规定为准，费率优惠方案若有变动，以</w:t>
      </w:r>
      <w:r>
        <w:rPr>
          <w:rFonts w:ascii="宋体" w:eastAsia="宋体" w:hAnsi="宋体" w:cs="宋体" w:hint="eastAsia"/>
          <w:bCs/>
          <w:color w:val="000000"/>
          <w:szCs w:val="21"/>
        </w:rPr>
        <w:t>招商银行</w:t>
      </w:r>
      <w:r>
        <w:rPr>
          <w:rFonts w:ascii="宋体" w:eastAsia="宋体" w:hAnsi="宋体" w:cs="宋体" w:hint="eastAsia"/>
          <w:kern w:val="0"/>
          <w:szCs w:val="21"/>
        </w:rPr>
        <w:t>的相关公告为准。</w:t>
      </w:r>
    </w:p>
    <w:p w:rsidR="00F55608" w:rsidRDefault="002B7764">
      <w:pPr>
        <w:pStyle w:val="a3"/>
        <w:spacing w:before="1" w:line="360" w:lineRule="auto"/>
        <w:ind w:right="215"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</w:t>
      </w:r>
      <w:r>
        <w:rPr>
          <w:rFonts w:ascii="宋体" w:eastAsia="宋体" w:hAnsi="宋体" w:cs="宋体" w:hint="eastAsia"/>
          <w:szCs w:val="21"/>
        </w:rPr>
        <w:t>本公告的最终解释权归本公司所有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F55608" w:rsidRDefault="002B7764">
      <w:pPr>
        <w:pStyle w:val="a3"/>
        <w:spacing w:before="1" w:line="360" w:lineRule="auto"/>
        <w:ind w:right="215"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3、如</w:t>
      </w:r>
      <w:r>
        <w:rPr>
          <w:rFonts w:ascii="宋体" w:eastAsia="宋体" w:hAnsi="宋体" w:cs="宋体" w:hint="eastAsia"/>
          <w:szCs w:val="21"/>
        </w:rPr>
        <w:t>中邮北证50成份指数增强型发起式证券投资基金</w:t>
      </w:r>
      <w:r>
        <w:rPr>
          <w:rFonts w:ascii="宋体" w:eastAsia="宋体" w:hAnsi="宋体" w:cs="宋体" w:hint="eastAsia"/>
          <w:kern w:val="0"/>
          <w:szCs w:val="21"/>
        </w:rPr>
        <w:t>发行时间调整，则费率优惠期间将随之调整，届时本公司不再另行公告，敬请投资者知悉。</w:t>
      </w:r>
    </w:p>
    <w:p w:rsidR="00F55608" w:rsidRDefault="002B7764" w:rsidP="002B7764">
      <w:pPr>
        <w:spacing w:line="360" w:lineRule="auto"/>
        <w:ind w:firstLineChars="200" w:firstLine="422"/>
        <w:outlineLvl w:val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三、</w:t>
      </w:r>
      <w:r>
        <w:rPr>
          <w:rFonts w:ascii="Times New Roman" w:eastAsia="宋体" w:hAnsi="Times New Roman" w:cs="Times New Roman"/>
          <w:b/>
          <w:szCs w:val="21"/>
        </w:rPr>
        <w:t>投资者可通过以下途径了解或咨询相关情况</w:t>
      </w:r>
      <w:r>
        <w:rPr>
          <w:rFonts w:ascii="Times New Roman" w:eastAsia="宋体" w:hAnsi="Times New Roman" w:cs="Times New Roman"/>
          <w:b/>
          <w:szCs w:val="21"/>
        </w:rPr>
        <w:t xml:space="preserve"> </w:t>
      </w:r>
    </w:p>
    <w:tbl>
      <w:tblPr>
        <w:tblW w:w="8749" w:type="dxa"/>
        <w:tblInd w:w="2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0"/>
        <w:gridCol w:w="3180"/>
        <w:gridCol w:w="1939"/>
      </w:tblGrid>
      <w:tr w:rsidR="00F55608">
        <w:trPr>
          <w:trHeight w:val="285"/>
        </w:trPr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F55608" w:rsidRDefault="002B7764">
            <w:pPr>
              <w:widowControl/>
              <w:spacing w:line="360" w:lineRule="auto"/>
              <w:jc w:val="center"/>
              <w:rPr>
                <w:rFonts w:ascii="Verdana" w:eastAsia="宋体" w:hAnsi="Verdana" w:cs="Times New Roman"/>
                <w:bCs/>
                <w:position w:val="-32"/>
                <w:szCs w:val="21"/>
              </w:rPr>
            </w:pPr>
            <w:r>
              <w:rPr>
                <w:rFonts w:ascii="Verdana" w:eastAsia="宋体" w:hAnsi="Verdana" w:cs="Times New Roman" w:hint="eastAsia"/>
                <w:bCs/>
                <w:position w:val="-24"/>
                <w:szCs w:val="21"/>
              </w:rPr>
              <w:t>机构名称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:rsidR="00F55608" w:rsidRDefault="002B77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position w:val="-2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position w:val="-20"/>
                <w:szCs w:val="21"/>
              </w:rPr>
              <w:t>网址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:rsidR="00F55608" w:rsidRDefault="002B7764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Cs/>
                <w:position w:val="-2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position w:val="-20"/>
                <w:szCs w:val="21"/>
              </w:rPr>
              <w:t>客服热线</w:t>
            </w:r>
          </w:p>
        </w:tc>
      </w:tr>
      <w:tr w:rsidR="00F55608">
        <w:trPr>
          <w:trHeight w:val="588"/>
        </w:trPr>
        <w:tc>
          <w:tcPr>
            <w:tcW w:w="3630" w:type="dxa"/>
            <w:vAlign w:val="center"/>
          </w:tcPr>
          <w:p w:rsidR="00F55608" w:rsidRDefault="002B77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招商银行股份有限公司</w:t>
            </w:r>
          </w:p>
        </w:tc>
        <w:tc>
          <w:tcPr>
            <w:tcW w:w="3180" w:type="dxa"/>
            <w:vAlign w:val="center"/>
          </w:tcPr>
          <w:p w:rsidR="00F55608" w:rsidRDefault="002B77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www.cmbchina.com</w:t>
            </w:r>
          </w:p>
        </w:tc>
        <w:tc>
          <w:tcPr>
            <w:tcW w:w="1939" w:type="dxa"/>
            <w:vAlign w:val="center"/>
          </w:tcPr>
          <w:p w:rsidR="00F55608" w:rsidRDefault="002B7764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95555</w:t>
            </w:r>
          </w:p>
        </w:tc>
      </w:tr>
      <w:tr w:rsidR="00F55608">
        <w:trPr>
          <w:trHeight w:val="285"/>
        </w:trPr>
        <w:tc>
          <w:tcPr>
            <w:tcW w:w="3630" w:type="dxa"/>
            <w:vAlign w:val="center"/>
          </w:tcPr>
          <w:p w:rsidR="00F55608" w:rsidRDefault="002B776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中邮创业基金管理股份有限公司</w:t>
            </w:r>
          </w:p>
        </w:tc>
        <w:tc>
          <w:tcPr>
            <w:tcW w:w="3180" w:type="dxa"/>
            <w:vAlign w:val="center"/>
          </w:tcPr>
          <w:p w:rsidR="00F55608" w:rsidRDefault="002B7764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www.postfund.com.cn</w:t>
            </w:r>
          </w:p>
        </w:tc>
        <w:tc>
          <w:tcPr>
            <w:tcW w:w="1939" w:type="dxa"/>
            <w:vAlign w:val="center"/>
          </w:tcPr>
          <w:p w:rsidR="00F55608" w:rsidRDefault="002B7764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400-880-1618</w:t>
            </w:r>
          </w:p>
          <w:p w:rsidR="00F55608" w:rsidRDefault="002B7764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010-58511618</w:t>
            </w:r>
          </w:p>
        </w:tc>
      </w:tr>
    </w:tbl>
    <w:p w:rsidR="00F55608" w:rsidRDefault="00F55608">
      <w:pPr>
        <w:spacing w:line="360" w:lineRule="auto"/>
      </w:pPr>
    </w:p>
    <w:p w:rsidR="00F55608" w:rsidRDefault="002B7764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风险提示：本公司承诺以诚实信用、勤勉尽责的原则管理和运用基金资产，但不保证基金一定盈利，也不保证最低收益。基金投资需谨慎，敬请投资者注意投资风险。投资者欲了解基金的详细情况，请于投资基金前认真阅读基金的基金合同、招募说明书、基金产品资料概要以及相关业务公告。敬请投资者关注适当性管理相关规定，提前做好风险测评，并根据自身的风</w:t>
      </w:r>
      <w:r>
        <w:rPr>
          <w:rFonts w:ascii="宋体" w:eastAsia="宋体" w:hAnsi="宋体" w:cs="宋体" w:hint="eastAsia"/>
          <w:szCs w:val="21"/>
        </w:rPr>
        <w:lastRenderedPageBreak/>
        <w:t>险承受能力购买风险等级相匹配的产品。</w:t>
      </w:r>
    </w:p>
    <w:p w:rsidR="00F55608" w:rsidRDefault="002B7764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特此公告。 </w:t>
      </w:r>
    </w:p>
    <w:p w:rsidR="00F55608" w:rsidRDefault="002B7764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</w:t>
      </w:r>
    </w:p>
    <w:p w:rsidR="00F55608" w:rsidRDefault="00F55608">
      <w:pPr>
        <w:spacing w:line="360" w:lineRule="auto"/>
        <w:rPr>
          <w:rFonts w:ascii="宋体" w:eastAsia="宋体" w:hAnsi="宋体" w:cs="宋体"/>
          <w:szCs w:val="21"/>
        </w:rPr>
      </w:pPr>
    </w:p>
    <w:p w:rsidR="00F55608" w:rsidRDefault="002B7764">
      <w:pPr>
        <w:spacing w:line="360" w:lineRule="auto"/>
        <w:ind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中邮创业基金管理股份有限公司</w:t>
      </w:r>
    </w:p>
    <w:p w:rsidR="00F55608" w:rsidRDefault="002B7764">
      <w:pPr>
        <w:spacing w:line="360" w:lineRule="auto"/>
        <w:ind w:right="360" w:firstLine="420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                    </w:t>
      </w:r>
      <w:r>
        <w:rPr>
          <w:rFonts w:ascii="宋体" w:eastAsia="宋体" w:hAnsi="宋体" w:cs="宋体"/>
          <w:szCs w:val="21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202</w:t>
      </w:r>
      <w:r>
        <w:rPr>
          <w:rFonts w:ascii="宋体" w:eastAsia="宋体" w:hAnsi="宋体" w:cs="Times New Roman"/>
          <w:bCs/>
          <w:szCs w:val="21"/>
        </w:rPr>
        <w:t>5</w:t>
      </w:r>
      <w:r>
        <w:rPr>
          <w:rFonts w:ascii="宋体" w:eastAsia="宋体" w:hAnsi="宋体" w:cs="Times New Roman" w:hint="eastAsia"/>
          <w:bCs/>
          <w:szCs w:val="21"/>
        </w:rPr>
        <w:t>年</w:t>
      </w:r>
      <w:r>
        <w:rPr>
          <w:rFonts w:ascii="宋体" w:eastAsia="宋体" w:hAnsi="宋体" w:cs="Times New Roman"/>
          <w:bCs/>
          <w:szCs w:val="21"/>
        </w:rPr>
        <w:t>12</w:t>
      </w:r>
      <w:r>
        <w:rPr>
          <w:rFonts w:ascii="宋体" w:eastAsia="宋体" w:hAnsi="宋体" w:cs="Times New Roman" w:hint="eastAsia"/>
          <w:bCs/>
          <w:szCs w:val="21"/>
        </w:rPr>
        <w:t>月</w:t>
      </w:r>
      <w:r>
        <w:rPr>
          <w:rFonts w:ascii="宋体" w:eastAsia="宋体" w:hAnsi="宋体" w:cs="Times New Roman"/>
          <w:bCs/>
          <w:szCs w:val="21"/>
        </w:rPr>
        <w:t>2</w:t>
      </w:r>
      <w:r>
        <w:rPr>
          <w:rFonts w:ascii="宋体" w:eastAsia="宋体" w:hAnsi="宋体" w:cs="Times New Roman" w:hint="eastAsia"/>
          <w:bCs/>
          <w:szCs w:val="21"/>
        </w:rPr>
        <w:t>日</w:t>
      </w:r>
    </w:p>
    <w:p w:rsidR="00F55608" w:rsidRDefault="00F55608">
      <w:pPr>
        <w:spacing w:line="360" w:lineRule="auto"/>
      </w:pPr>
    </w:p>
    <w:sectPr w:rsidR="00F55608" w:rsidSect="00A77B7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6C130"/>
    <w:multiLevelType w:val="singleLevel"/>
    <w:tmpl w:val="5E26C130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DAB"/>
    <w:rsid w:val="002B7764"/>
    <w:rsid w:val="003402DD"/>
    <w:rsid w:val="004B1F04"/>
    <w:rsid w:val="004C6859"/>
    <w:rsid w:val="004F137E"/>
    <w:rsid w:val="006A2192"/>
    <w:rsid w:val="006F2A43"/>
    <w:rsid w:val="008F6A6E"/>
    <w:rsid w:val="00A30A1F"/>
    <w:rsid w:val="00A77B7C"/>
    <w:rsid w:val="00A82720"/>
    <w:rsid w:val="00AA4533"/>
    <w:rsid w:val="00C04434"/>
    <w:rsid w:val="00C30DAE"/>
    <w:rsid w:val="00D6715F"/>
    <w:rsid w:val="00DA6258"/>
    <w:rsid w:val="00DE00AD"/>
    <w:rsid w:val="00E408EF"/>
    <w:rsid w:val="00EB6DAB"/>
    <w:rsid w:val="00EC672E"/>
    <w:rsid w:val="00F42CDE"/>
    <w:rsid w:val="00F55608"/>
    <w:rsid w:val="00F614A3"/>
    <w:rsid w:val="00FE1CE5"/>
    <w:rsid w:val="5E40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rsid w:val="00A77B7C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rsid w:val="00A77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77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A77B7C"/>
    <w:rPr>
      <w:kern w:val="2"/>
      <w:sz w:val="21"/>
      <w:szCs w:val="22"/>
    </w:rPr>
  </w:style>
  <w:style w:type="character" w:customStyle="1" w:styleId="Char0">
    <w:name w:val="页眉 Char"/>
    <w:basedOn w:val="a0"/>
    <w:link w:val="a5"/>
    <w:uiPriority w:val="99"/>
    <w:rsid w:val="00A77B7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A77B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</dc:creator>
  <cp:lastModifiedBy>ZHONGM</cp:lastModifiedBy>
  <cp:revision>2</cp:revision>
  <dcterms:created xsi:type="dcterms:W3CDTF">2025-12-01T16:01:00Z</dcterms:created>
  <dcterms:modified xsi:type="dcterms:W3CDTF">2025-12-01T16:01:00Z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eyJoZGlkIjoiNTZkMGJlZWFhNWQzYWU4Y2QxMDg2Yjg1OGU1NjFhNGYiLCJ1c2VySWQiOiIxNzE5NjI2MDMxIn0=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31767828479349D096CFFD555BB43C0D_12</vt:lpwstr>
  </property>
</Properties>
</file>