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A5D" w:rsidRDefault="004F7FAA">
      <w:pPr>
        <w:autoSpaceDE w:val="0"/>
        <w:autoSpaceDN w:val="0"/>
        <w:adjustRightInd w:val="0"/>
        <w:spacing w:before="30" w:line="360" w:lineRule="auto"/>
        <w:ind w:left="15"/>
        <w:jc w:val="center"/>
        <w:rPr>
          <w:rFonts w:asciiTheme="minorEastAsia" w:hAnsiTheme="minorEastAsia" w:cs="宋体"/>
          <w:b/>
          <w:bCs/>
          <w:color w:val="FF0000"/>
          <w:kern w:val="0"/>
          <w:sz w:val="30"/>
          <w:szCs w:val="30"/>
        </w:rPr>
      </w:pPr>
      <w:r>
        <w:rPr>
          <w:rFonts w:asciiTheme="minorEastAsia" w:hAnsiTheme="minorEastAsia" w:cs="宋体"/>
          <w:b/>
          <w:bCs/>
          <w:color w:val="FF0000"/>
          <w:kern w:val="0"/>
          <w:sz w:val="30"/>
          <w:szCs w:val="30"/>
        </w:rPr>
        <w:tab/>
      </w:r>
    </w:p>
    <w:p w:rsidR="001C7A5D" w:rsidRDefault="004F7FAA">
      <w:pPr>
        <w:autoSpaceDE w:val="0"/>
        <w:autoSpaceDN w:val="0"/>
        <w:adjustRightInd w:val="0"/>
        <w:spacing w:before="30" w:line="360" w:lineRule="auto"/>
        <w:ind w:left="15"/>
        <w:jc w:val="center"/>
        <w:rPr>
          <w:rFonts w:asciiTheme="minorEastAsia" w:hAnsiTheme="minorEastAsia" w:cs="宋体"/>
          <w:b/>
          <w:bCs/>
          <w:color w:val="000000"/>
          <w:kern w:val="0"/>
          <w:sz w:val="30"/>
          <w:szCs w:val="30"/>
        </w:rPr>
      </w:pPr>
      <w:r>
        <w:rPr>
          <w:rFonts w:asciiTheme="minorEastAsia" w:hAnsiTheme="minorEastAsia" w:cs="宋体" w:hint="eastAsia"/>
          <w:b/>
          <w:bCs/>
          <w:color w:val="000000"/>
          <w:kern w:val="0"/>
          <w:sz w:val="30"/>
          <w:szCs w:val="30"/>
        </w:rPr>
        <w:t>创金合信尊睿债券型证券投资基金分红公告</w:t>
      </w:r>
    </w:p>
    <w:p w:rsidR="001C7A5D" w:rsidRDefault="001C7A5D">
      <w:pPr>
        <w:autoSpaceDE w:val="0"/>
        <w:autoSpaceDN w:val="0"/>
        <w:adjustRightInd w:val="0"/>
        <w:spacing w:line="360" w:lineRule="auto"/>
        <w:jc w:val="left"/>
        <w:rPr>
          <w:rFonts w:asciiTheme="minorEastAsia" w:hAnsiTheme="minorEastAsia" w:cs="MS Sans Serif"/>
          <w:color w:val="000000"/>
          <w:kern w:val="0"/>
          <w:sz w:val="24"/>
          <w:szCs w:val="24"/>
        </w:rPr>
      </w:pPr>
    </w:p>
    <w:p w:rsidR="001C7A5D" w:rsidRDefault="004F7FAA">
      <w:pPr>
        <w:autoSpaceDE w:val="0"/>
        <w:autoSpaceDN w:val="0"/>
        <w:adjustRightInd w:val="0"/>
        <w:spacing w:before="30" w:line="360" w:lineRule="auto"/>
        <w:ind w:left="15"/>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公告送出日期：2025年12月02日</w:t>
      </w:r>
    </w:p>
    <w:p w:rsidR="001C7A5D" w:rsidRDefault="004F7FAA">
      <w:pPr>
        <w:autoSpaceDE w:val="0"/>
        <w:autoSpaceDN w:val="0"/>
        <w:adjustRightInd w:val="0"/>
        <w:spacing w:before="30" w:line="360" w:lineRule="auto"/>
        <w:ind w:leftChars="7" w:left="15"/>
        <w:jc w:val="left"/>
        <w:rPr>
          <w:rFonts w:asciiTheme="minorEastAsia" w:hAnsiTheme="minorEastAsia" w:cs="宋体"/>
          <w:b/>
          <w:bCs/>
          <w:color w:val="000000"/>
          <w:kern w:val="0"/>
          <w:sz w:val="24"/>
          <w:szCs w:val="24"/>
        </w:rPr>
      </w:pPr>
      <w:r>
        <w:rPr>
          <w:rFonts w:asciiTheme="minorEastAsia" w:hAnsiTheme="minorEastAsia" w:cs="宋体"/>
          <w:b/>
          <w:bCs/>
          <w:color w:val="000000"/>
          <w:kern w:val="0"/>
          <w:sz w:val="24"/>
          <w:szCs w:val="24"/>
        </w:rPr>
        <w:t>1</w:t>
      </w:r>
      <w:r>
        <w:rPr>
          <w:rFonts w:asciiTheme="minorEastAsia" w:hAnsiTheme="minorEastAsia" w:cs="宋体" w:hint="eastAsia"/>
          <w:b/>
          <w:bCs/>
          <w:color w:val="000000"/>
          <w:kern w:val="0"/>
          <w:sz w:val="24"/>
          <w:szCs w:val="24"/>
        </w:rPr>
        <w:t>.公告基本信息</w:t>
      </w:r>
    </w:p>
    <w:tbl>
      <w:tblPr>
        <w:tblW w:w="9072" w:type="dxa"/>
        <w:tblInd w:w="108" w:type="dxa"/>
        <w:tblLayout w:type="fixed"/>
        <w:tblLook w:val="04A0"/>
      </w:tblPr>
      <w:tblGrid>
        <w:gridCol w:w="2466"/>
        <w:gridCol w:w="2212"/>
        <w:gridCol w:w="18"/>
        <w:gridCol w:w="2285"/>
        <w:gridCol w:w="2091"/>
      </w:tblGrid>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基金名称</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创金合信尊睿债券型证券投资基金</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基金简称</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创金合信尊睿债券</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基金主代码</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014378</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基金合同生效日</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2021年11月29日</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基金管理人名称</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创金合信基金管理有限公司</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基金托管人名称</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浙商银行股份有限公司</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公告依据</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《中华人民共和国证券投资基金法》《公开募集证券投资基金运作管理办法》《创金合信尊睿债券型证券投资基金基金合同》《创金合信尊睿债券型证券投资基金招募说明书》等</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收益分配基准日</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2025年11月28日</w:t>
            </w:r>
          </w:p>
        </w:tc>
      </w:tr>
      <w:tr w:rsidR="001C7A5D">
        <w:tc>
          <w:tcPr>
            <w:tcW w:w="4678"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有关年度分红次数的说明</w:t>
            </w:r>
          </w:p>
        </w:tc>
        <w:tc>
          <w:tcPr>
            <w:tcW w:w="4394"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widowControl/>
              <w:spacing w:line="360" w:lineRule="auto"/>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本次分红为2025年度的第1次分红</w:t>
            </w:r>
          </w:p>
        </w:tc>
      </w:tr>
      <w:tr w:rsidR="001C7A5D">
        <w:tc>
          <w:tcPr>
            <w:tcW w:w="4678"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下属分级基金的基金简称</w:t>
            </w:r>
          </w:p>
        </w:tc>
        <w:tc>
          <w:tcPr>
            <w:tcW w:w="2303"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29" w:line="360" w:lineRule="auto"/>
              <w:ind w:left="15"/>
              <w:jc w:val="left"/>
              <w:rPr>
                <w:rFonts w:ascii="Times New Roman" w:eastAsia="宋体" w:hAnsi="Times New Roman" w:cs="宋体"/>
                <w:color w:val="000000"/>
                <w:kern w:val="0"/>
                <w:sz w:val="24"/>
                <w:szCs w:val="24"/>
              </w:rPr>
            </w:pPr>
            <w:r>
              <w:rPr>
                <w:rFonts w:asciiTheme="minorEastAsia" w:cs="宋体"/>
                <w:color w:val="000000"/>
                <w:kern w:val="0"/>
                <w:sz w:val="24"/>
                <w:szCs w:val="24"/>
              </w:rPr>
              <w:t>创金合信尊睿债券A</w:t>
            </w:r>
          </w:p>
        </w:tc>
        <w:tc>
          <w:tcPr>
            <w:tcW w:w="2091"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29" w:line="288" w:lineRule="auto"/>
              <w:ind w:left="15"/>
              <w:jc w:val="left"/>
              <w:rPr>
                <w:rFonts w:ascii="Times New Roman" w:eastAsia="宋体" w:hAnsi="Times New Roman" w:cs="宋体"/>
                <w:color w:val="000000"/>
                <w:kern w:val="0"/>
                <w:sz w:val="24"/>
                <w:szCs w:val="24"/>
              </w:rPr>
            </w:pPr>
            <w:r>
              <w:rPr>
                <w:rFonts w:asciiTheme="minorEastAsia" w:cs="宋体"/>
                <w:color w:val="000000"/>
                <w:kern w:val="0"/>
                <w:sz w:val="24"/>
                <w:szCs w:val="24"/>
              </w:rPr>
              <w:t>创金合信尊睿债券C</w:t>
            </w:r>
          </w:p>
        </w:tc>
      </w:tr>
      <w:tr w:rsidR="001C7A5D">
        <w:tc>
          <w:tcPr>
            <w:tcW w:w="4678"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下属分级基金的交易代码</w:t>
            </w:r>
          </w:p>
        </w:tc>
        <w:tc>
          <w:tcPr>
            <w:tcW w:w="2303"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line="360" w:lineRule="auto"/>
              <w:jc w:val="left"/>
              <w:rPr>
                <w:rFonts w:ascii="Times New Roman" w:eastAsia="宋体" w:hAnsi="Times New Roman" w:cs="宋体"/>
                <w:color w:val="000000"/>
                <w:kern w:val="0"/>
                <w:sz w:val="24"/>
                <w:szCs w:val="24"/>
              </w:rPr>
            </w:pPr>
            <w:r>
              <w:rPr>
                <w:rFonts w:asciiTheme="minorEastAsia" w:cs="MS Sans Serif"/>
                <w:color w:val="000000"/>
                <w:kern w:val="0"/>
                <w:sz w:val="24"/>
                <w:szCs w:val="24"/>
              </w:rPr>
              <w:t>014378</w:t>
            </w:r>
          </w:p>
        </w:tc>
        <w:tc>
          <w:tcPr>
            <w:tcW w:w="2091"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29" w:line="288" w:lineRule="auto"/>
              <w:ind w:left="15"/>
              <w:jc w:val="left"/>
              <w:rPr>
                <w:rFonts w:ascii="Times New Roman" w:eastAsia="宋体" w:hAnsi="Times New Roman" w:cs="宋体"/>
                <w:color w:val="000000"/>
                <w:kern w:val="0"/>
                <w:sz w:val="24"/>
                <w:szCs w:val="24"/>
              </w:rPr>
            </w:pPr>
            <w:r>
              <w:rPr>
                <w:rFonts w:asciiTheme="minorEastAsia" w:cs="MS Sans Serif"/>
                <w:color w:val="000000"/>
                <w:kern w:val="0"/>
                <w:sz w:val="24"/>
                <w:szCs w:val="24"/>
              </w:rPr>
              <w:t>014379</w:t>
            </w:r>
          </w:p>
        </w:tc>
      </w:tr>
      <w:tr w:rsidR="001C7A5D">
        <w:tc>
          <w:tcPr>
            <w:tcW w:w="2466" w:type="dxa"/>
            <w:vMerge w:val="restart"/>
            <w:tcBorders>
              <w:top w:val="single" w:sz="8" w:space="0" w:color="000000"/>
              <w:left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截止基准日下属分级基金的相关指标</w:t>
            </w:r>
          </w:p>
        </w:tc>
        <w:tc>
          <w:tcPr>
            <w:tcW w:w="2212"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基准日下属分级基金份额净值（单位： 元）</w:t>
            </w:r>
          </w:p>
        </w:tc>
        <w:tc>
          <w:tcPr>
            <w:tcW w:w="2303"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1.0457</w:t>
            </w:r>
          </w:p>
        </w:tc>
        <w:tc>
          <w:tcPr>
            <w:tcW w:w="2091"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1.0777</w:t>
            </w:r>
          </w:p>
        </w:tc>
      </w:tr>
      <w:tr w:rsidR="001C7A5D">
        <w:tc>
          <w:tcPr>
            <w:tcW w:w="2466" w:type="dxa"/>
            <w:vMerge/>
            <w:tcBorders>
              <w:left w:val="single" w:sz="8" w:space="0" w:color="000000"/>
              <w:bottom w:val="single" w:sz="8" w:space="0" w:color="000000"/>
              <w:right w:val="single" w:sz="8" w:space="0" w:color="000000"/>
            </w:tcBorders>
            <w:vAlign w:val="center"/>
          </w:tcPr>
          <w:p w:rsidR="001C7A5D" w:rsidRDefault="001C7A5D">
            <w:pPr>
              <w:autoSpaceDE w:val="0"/>
              <w:autoSpaceDN w:val="0"/>
              <w:adjustRightInd w:val="0"/>
              <w:spacing w:before="30" w:line="360" w:lineRule="auto"/>
              <w:ind w:left="15"/>
              <w:jc w:val="left"/>
              <w:rPr>
                <w:rFonts w:asciiTheme="minorEastAsia" w:hAnsiTheme="minorEastAsia" w:cs="宋体"/>
                <w:color w:val="000000"/>
                <w:kern w:val="0"/>
                <w:sz w:val="24"/>
                <w:szCs w:val="24"/>
              </w:rPr>
            </w:pPr>
          </w:p>
        </w:tc>
        <w:tc>
          <w:tcPr>
            <w:tcW w:w="2212"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基准日下属分级基金可供分配利润（单位：元 ）</w:t>
            </w:r>
          </w:p>
        </w:tc>
        <w:tc>
          <w:tcPr>
            <w:tcW w:w="2303"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182,747,655.86</w:t>
            </w:r>
          </w:p>
        </w:tc>
        <w:tc>
          <w:tcPr>
            <w:tcW w:w="2091"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2,143.62</w:t>
            </w:r>
          </w:p>
        </w:tc>
      </w:tr>
      <w:tr w:rsidR="001C7A5D">
        <w:tc>
          <w:tcPr>
            <w:tcW w:w="4678"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本次下属分级基金分红方案（单位：元/10份基金份额）</w:t>
            </w:r>
          </w:p>
        </w:tc>
        <w:tc>
          <w:tcPr>
            <w:tcW w:w="2303"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0.45</w:t>
            </w:r>
          </w:p>
        </w:tc>
        <w:tc>
          <w:tcPr>
            <w:tcW w:w="2091"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0.45</w:t>
            </w:r>
          </w:p>
        </w:tc>
      </w:tr>
    </w:tbl>
    <w:p w:rsidR="001C7A5D" w:rsidRDefault="001C7A5D">
      <w:pPr>
        <w:autoSpaceDE w:val="0"/>
        <w:autoSpaceDN w:val="0"/>
        <w:adjustRightInd w:val="0"/>
        <w:spacing w:before="30" w:line="360" w:lineRule="auto"/>
        <w:ind w:left="15"/>
        <w:jc w:val="left"/>
        <w:rPr>
          <w:rFonts w:asciiTheme="minorEastAsia" w:hAnsiTheme="minorEastAsia" w:cs="宋体"/>
          <w:color w:val="000000"/>
          <w:kern w:val="0"/>
          <w:sz w:val="24"/>
          <w:szCs w:val="24"/>
        </w:rPr>
      </w:pPr>
    </w:p>
    <w:p w:rsidR="001C7A5D" w:rsidRPr="00196AEB" w:rsidRDefault="004F7FAA">
      <w:pPr>
        <w:autoSpaceDE w:val="0"/>
        <w:autoSpaceDN w:val="0"/>
        <w:adjustRightInd w:val="0"/>
        <w:spacing w:before="30" w:line="360" w:lineRule="auto"/>
        <w:ind w:left="15"/>
        <w:jc w:val="left"/>
        <w:rPr>
          <w:rFonts w:asciiTheme="minorEastAsia" w:hAnsiTheme="minorEastAsia" w:cs="宋体"/>
          <w:b/>
          <w:bCs/>
          <w:color w:val="000000"/>
          <w:kern w:val="0"/>
          <w:sz w:val="24"/>
          <w:szCs w:val="24"/>
        </w:rPr>
      </w:pPr>
      <w:r w:rsidRPr="00196AEB">
        <w:rPr>
          <w:rFonts w:asciiTheme="minorEastAsia" w:hAnsiTheme="minorEastAsia" w:cs="宋体"/>
          <w:b/>
          <w:bCs/>
          <w:color w:val="000000"/>
          <w:kern w:val="0"/>
          <w:sz w:val="24"/>
          <w:szCs w:val="24"/>
        </w:rPr>
        <w:t>2</w:t>
      </w:r>
      <w:r w:rsidRPr="00196AEB">
        <w:rPr>
          <w:rFonts w:asciiTheme="minorEastAsia" w:hAnsiTheme="minorEastAsia" w:cs="宋体" w:hint="eastAsia"/>
          <w:b/>
          <w:bCs/>
          <w:color w:val="000000"/>
          <w:kern w:val="0"/>
          <w:sz w:val="24"/>
          <w:szCs w:val="24"/>
        </w:rPr>
        <w:t>.与分红相关的其他信息</w:t>
      </w:r>
    </w:p>
    <w:tbl>
      <w:tblPr>
        <w:tblW w:w="0" w:type="auto"/>
        <w:tblInd w:w="108" w:type="dxa"/>
        <w:tblLayout w:type="fixed"/>
        <w:tblLook w:val="04A0"/>
      </w:tblPr>
      <w:tblGrid>
        <w:gridCol w:w="4696"/>
        <w:gridCol w:w="2167"/>
        <w:gridCol w:w="2167"/>
      </w:tblGrid>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权益登记日</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2025年12月03日</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除息日</w:t>
            </w:r>
          </w:p>
        </w:tc>
        <w:tc>
          <w:tcPr>
            <w:tcW w:w="2167"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w:t>
            </w:r>
            <w:r>
              <w:rPr>
                <w:rFonts w:asciiTheme="minorEastAsia" w:hAnsiTheme="minorEastAsia" w:cs="宋体" w:hint="eastAsia"/>
                <w:color w:val="000000"/>
                <w:kern w:val="0"/>
                <w:sz w:val="24"/>
                <w:szCs w:val="24"/>
              </w:rPr>
              <w:t>（场内）</w:t>
            </w:r>
          </w:p>
        </w:tc>
        <w:tc>
          <w:tcPr>
            <w:tcW w:w="2167"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2025年12月03日（场外）</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现金红利发放日</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2025年12月05日</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分红对象</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权益登记日在本基金注册登记机构登记在册的本基金全体基金份额持有人。</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红利再投资相关事项的说明</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选择红利再投资方式的投资者所转换的基金份额将以2025年12月03日的基金份额净值为计算基准确定再投资份额，红利再投资所转换的基金份额于2025年12月04日直接划入其基金账户，2025年12月05日起投资者可以查询、赎回。</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税收相关事项的说明</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根据财政部、国家税务总局的相关规定，基金向投资者分配的基金收益，暂免征收所得税。</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费用相关事项的说明</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本基金本次分红免收分红手续费。</w:t>
            </w:r>
          </w:p>
        </w:tc>
      </w:tr>
    </w:tbl>
    <w:p w:rsidR="001C7A5D" w:rsidRDefault="001C7A5D">
      <w:pPr>
        <w:autoSpaceDE w:val="0"/>
        <w:autoSpaceDN w:val="0"/>
        <w:adjustRightInd w:val="0"/>
        <w:spacing w:before="30" w:line="360" w:lineRule="auto"/>
        <w:ind w:left="15"/>
        <w:jc w:val="left"/>
        <w:rPr>
          <w:rFonts w:asciiTheme="minorEastAsia" w:hAnsiTheme="minorEastAsia" w:cs="宋体"/>
          <w:b/>
          <w:bCs/>
          <w:color w:val="000000"/>
          <w:kern w:val="0"/>
          <w:sz w:val="24"/>
          <w:szCs w:val="24"/>
        </w:rPr>
      </w:pPr>
    </w:p>
    <w:p w:rsidR="001C7A5D" w:rsidRDefault="004F7FAA">
      <w:pPr>
        <w:autoSpaceDE w:val="0"/>
        <w:autoSpaceDN w:val="0"/>
        <w:adjustRightInd w:val="0"/>
        <w:spacing w:before="30" w:line="360" w:lineRule="auto"/>
        <w:ind w:left="15"/>
        <w:jc w:val="left"/>
        <w:rPr>
          <w:rFonts w:asciiTheme="minorEastAsia" w:hAnsiTheme="minorEastAsia" w:cs="宋体"/>
          <w:b/>
          <w:bCs/>
          <w:color w:val="000000"/>
          <w:kern w:val="0"/>
          <w:sz w:val="24"/>
          <w:szCs w:val="24"/>
        </w:rPr>
      </w:pPr>
      <w:r>
        <w:rPr>
          <w:rFonts w:asciiTheme="minorEastAsia" w:hAnsiTheme="minorEastAsia" w:cs="宋体"/>
          <w:b/>
          <w:bCs/>
          <w:color w:val="000000"/>
          <w:kern w:val="0"/>
          <w:sz w:val="24"/>
          <w:szCs w:val="24"/>
        </w:rPr>
        <w:t>3</w:t>
      </w:r>
      <w:r>
        <w:rPr>
          <w:rFonts w:asciiTheme="minorEastAsia" w:hAnsiTheme="minorEastAsia" w:cs="宋体" w:hint="eastAsia"/>
          <w:b/>
          <w:bCs/>
          <w:color w:val="000000"/>
          <w:kern w:val="0"/>
          <w:sz w:val="24"/>
          <w:szCs w:val="24"/>
        </w:rPr>
        <w:t>.其他需要提示的事项</w:t>
      </w:r>
    </w:p>
    <w:p w:rsidR="001C7A5D" w:rsidRDefault="004F7FAA">
      <w:pPr>
        <w:autoSpaceDE w:val="0"/>
        <w:autoSpaceDN w:val="0"/>
        <w:adjustRightInd w:val="0"/>
        <w:spacing w:before="29" w:line="360" w:lineRule="auto"/>
        <w:ind w:leftChars="7" w:left="15"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w:t>
      </w:r>
      <w:r>
        <w:rPr>
          <w:rFonts w:asciiTheme="minorEastAsia" w:hAnsiTheme="minorEastAsia" w:cs="宋体"/>
          <w:color w:val="000000"/>
          <w:kern w:val="0"/>
          <w:sz w:val="24"/>
          <w:szCs w:val="24"/>
        </w:rPr>
        <w:t>1</w:t>
      </w:r>
      <w:r>
        <w:rPr>
          <w:rFonts w:asciiTheme="minorEastAsia" w:hAnsiTheme="minorEastAsia" w:cs="宋体" w:hint="eastAsia"/>
          <w:color w:val="000000"/>
          <w:kern w:val="0"/>
          <w:sz w:val="24"/>
          <w:szCs w:val="24"/>
        </w:rPr>
        <w:t>）权益登记日申购或转换转入的基金份额不享有本次分红权益，赎回或转换转出的基金份额享有本次分红权益。</w:t>
      </w:r>
    </w:p>
    <w:p w:rsidR="001C7A5D" w:rsidRDefault="004F7FAA">
      <w:pPr>
        <w:autoSpaceDE w:val="0"/>
        <w:autoSpaceDN w:val="0"/>
        <w:adjustRightInd w:val="0"/>
        <w:spacing w:before="29" w:line="360" w:lineRule="auto"/>
        <w:ind w:leftChars="7" w:left="15"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本次分红确认的方式按照投资者在权益登记日之前最后一次选择的分红方式为准。投资者如需修改分红方式，请务必在权益登记日前一日的交易时间结束前（即2025年12月02日15:00前）到销售网点办理变更手续，投资者在权益登记日前一个工作日超过交易时间提交的修改分红方式的申请对本次收益分配</w:t>
      </w:r>
      <w:r>
        <w:rPr>
          <w:rFonts w:asciiTheme="minorEastAsia" w:hAnsiTheme="minorEastAsia" w:cs="宋体" w:hint="eastAsia"/>
          <w:color w:val="000000"/>
          <w:kern w:val="0"/>
          <w:sz w:val="24"/>
          <w:szCs w:val="24"/>
        </w:rPr>
        <w:lastRenderedPageBreak/>
        <w:t>无效。对于未选择本基金具体分红方式的投资者，本基金默认的分红方式为现金红利方式。</w:t>
      </w:r>
    </w:p>
    <w:p w:rsidR="001C7A5D" w:rsidRDefault="004F7FAA">
      <w:pPr>
        <w:autoSpaceDE w:val="0"/>
        <w:autoSpaceDN w:val="0"/>
        <w:adjustRightInd w:val="0"/>
        <w:spacing w:before="29" w:line="360" w:lineRule="auto"/>
        <w:ind w:leftChars="7" w:left="15"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（3）投资者可访问本公司网站</w:t>
      </w:r>
      <w:r>
        <w:rPr>
          <w:rFonts w:asciiTheme="minorEastAsia" w:hAnsiTheme="minorEastAsia" w:cs="宋体"/>
          <w:color w:val="000000"/>
          <w:kern w:val="0"/>
          <w:sz w:val="24"/>
          <w:szCs w:val="24"/>
        </w:rPr>
        <w:t>www.cjhxfund.com</w:t>
      </w:r>
      <w:r>
        <w:rPr>
          <w:rFonts w:asciiTheme="minorEastAsia" w:hAnsiTheme="minorEastAsia" w:cs="宋体" w:hint="eastAsia"/>
          <w:color w:val="000000"/>
          <w:kern w:val="0"/>
          <w:sz w:val="24"/>
          <w:szCs w:val="24"/>
        </w:rPr>
        <w:t>或拨打客服热线</w:t>
      </w:r>
      <w:r>
        <w:rPr>
          <w:rFonts w:asciiTheme="minorEastAsia" w:hAnsiTheme="minorEastAsia" w:cs="宋体"/>
          <w:color w:val="000000"/>
          <w:kern w:val="0"/>
          <w:sz w:val="24"/>
          <w:szCs w:val="24"/>
        </w:rPr>
        <w:t>400-868-0666</w:t>
      </w:r>
      <w:r>
        <w:rPr>
          <w:rFonts w:asciiTheme="minorEastAsia" w:hAnsiTheme="minorEastAsia" w:cs="宋体" w:hint="eastAsia"/>
          <w:color w:val="000000"/>
          <w:kern w:val="0"/>
          <w:sz w:val="24"/>
          <w:szCs w:val="24"/>
        </w:rPr>
        <w:t>咨询相关情况。</w:t>
      </w:r>
    </w:p>
    <w:p w:rsidR="001C7A5D" w:rsidRDefault="001C7A5D">
      <w:pPr>
        <w:autoSpaceDE w:val="0"/>
        <w:autoSpaceDN w:val="0"/>
        <w:adjustRightInd w:val="0"/>
        <w:spacing w:before="29" w:line="360" w:lineRule="auto"/>
        <w:ind w:left="15"/>
        <w:jc w:val="left"/>
        <w:rPr>
          <w:rFonts w:asciiTheme="minorEastAsia" w:hAnsiTheme="minorEastAsia" w:cs="宋体"/>
          <w:color w:val="000000"/>
          <w:kern w:val="0"/>
          <w:sz w:val="24"/>
          <w:szCs w:val="24"/>
        </w:rPr>
      </w:pPr>
    </w:p>
    <w:p w:rsidR="001C7A5D" w:rsidRDefault="004F7FAA">
      <w:pPr>
        <w:autoSpaceDE w:val="0"/>
        <w:autoSpaceDN w:val="0"/>
        <w:adjustRightInd w:val="0"/>
        <w:spacing w:before="29" w:line="360" w:lineRule="auto"/>
        <w:ind w:left="15"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投资者投资于本基金前应认真阅读基金的基金合同、更新的招募说明书及相关公告。</w:t>
      </w:r>
    </w:p>
    <w:p w:rsidR="001C7A5D" w:rsidRDefault="001C7A5D">
      <w:pPr>
        <w:autoSpaceDE w:val="0"/>
        <w:autoSpaceDN w:val="0"/>
        <w:adjustRightInd w:val="0"/>
        <w:spacing w:before="29" w:line="360" w:lineRule="auto"/>
        <w:ind w:left="15" w:firstLine="480"/>
        <w:jc w:val="left"/>
        <w:rPr>
          <w:rFonts w:asciiTheme="minorEastAsia" w:hAnsiTheme="minorEastAsia" w:cs="宋体"/>
          <w:color w:val="000000"/>
          <w:kern w:val="0"/>
          <w:sz w:val="24"/>
          <w:szCs w:val="24"/>
        </w:rPr>
      </w:pPr>
    </w:p>
    <w:p w:rsidR="001C7A5D" w:rsidRDefault="004F7FAA">
      <w:pPr>
        <w:autoSpaceDE w:val="0"/>
        <w:autoSpaceDN w:val="0"/>
        <w:adjustRightInd w:val="0"/>
        <w:spacing w:before="29" w:line="360" w:lineRule="auto"/>
        <w:ind w:left="15"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特此公告。</w:t>
      </w:r>
    </w:p>
    <w:p w:rsidR="001C7A5D" w:rsidRDefault="004F7FAA">
      <w:pPr>
        <w:autoSpaceDE w:val="0"/>
        <w:autoSpaceDN w:val="0"/>
        <w:adjustRightInd w:val="0"/>
        <w:spacing w:before="29" w:line="360" w:lineRule="auto"/>
        <w:ind w:left="15"/>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 xml:space="preserve">  </w:t>
      </w:r>
    </w:p>
    <w:p w:rsidR="001C7A5D" w:rsidRDefault="004F7FAA">
      <w:pPr>
        <w:autoSpaceDE w:val="0"/>
        <w:autoSpaceDN w:val="0"/>
        <w:adjustRightInd w:val="0"/>
        <w:spacing w:before="29" w:line="360" w:lineRule="auto"/>
        <w:ind w:left="15"/>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 xml:space="preserve">   </w:t>
      </w:r>
      <w:r>
        <w:rPr>
          <w:rFonts w:asciiTheme="minorEastAsia" w:hAnsiTheme="minorEastAsia" w:cs="宋体" w:hint="eastAsia"/>
          <w:color w:val="000000"/>
          <w:kern w:val="0"/>
          <w:sz w:val="24"/>
          <w:szCs w:val="24"/>
        </w:rPr>
        <w:t xml:space="preserve">                                     </w:t>
      </w:r>
      <w:r>
        <w:rPr>
          <w:rFonts w:asciiTheme="minorEastAsia" w:hAnsiTheme="minorEastAsia" w:cs="宋体"/>
          <w:color w:val="000000"/>
          <w:kern w:val="0"/>
          <w:sz w:val="24"/>
          <w:szCs w:val="24"/>
        </w:rPr>
        <w:t xml:space="preserve"> </w:t>
      </w:r>
      <w:r>
        <w:rPr>
          <w:rFonts w:asciiTheme="minorEastAsia" w:hAnsiTheme="minorEastAsia" w:cs="宋体" w:hint="eastAsia"/>
          <w:color w:val="000000"/>
          <w:kern w:val="0"/>
          <w:sz w:val="24"/>
          <w:szCs w:val="24"/>
        </w:rPr>
        <w:t>创金合信基金管理有限公司</w:t>
      </w:r>
    </w:p>
    <w:p w:rsidR="001C7A5D" w:rsidRDefault="004F7FAA">
      <w:pPr>
        <w:spacing w:line="360" w:lineRule="auto"/>
        <w:jc w:val="right"/>
        <w:rPr>
          <w:rFonts w:asciiTheme="minorEastAsia" w:hAnsiTheme="minorEastAsia" w:cs="宋体"/>
          <w:b/>
          <w:color w:val="FF0000"/>
          <w:kern w:val="0"/>
          <w:sz w:val="24"/>
          <w:szCs w:val="24"/>
        </w:rPr>
      </w:pPr>
      <w:r>
        <w:rPr>
          <w:rFonts w:asciiTheme="minorEastAsia" w:hAnsiTheme="minorEastAsia" w:cs="宋体"/>
          <w:color w:val="000000"/>
          <w:kern w:val="0"/>
          <w:sz w:val="24"/>
          <w:szCs w:val="24"/>
        </w:rPr>
        <w:t xml:space="preserve">    </w:t>
      </w:r>
      <w:r>
        <w:rPr>
          <w:rFonts w:asciiTheme="minorEastAsia" w:hAnsiTheme="minorEastAsia" w:cs="宋体" w:hint="eastAsia"/>
          <w:color w:val="000000"/>
          <w:kern w:val="0"/>
          <w:sz w:val="24"/>
          <w:szCs w:val="24"/>
        </w:rPr>
        <w:t xml:space="preserve">                                        2025年12月02日</w:t>
      </w:r>
    </w:p>
    <w:sectPr w:rsidR="001C7A5D" w:rsidSect="00DC51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S Sans Serif">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mQwYTI5NTUwNTc0OTI5YmM0MTcxYTczOGNlZWY5MGQifQ=="/>
  </w:docVars>
  <w:rsids>
    <w:rsidRoot w:val="00DE0BD6"/>
    <w:rsid w:val="00044EF1"/>
    <w:rsid w:val="00075384"/>
    <w:rsid w:val="00097DA3"/>
    <w:rsid w:val="0010115C"/>
    <w:rsid w:val="00102A96"/>
    <w:rsid w:val="001255F2"/>
    <w:rsid w:val="00126320"/>
    <w:rsid w:val="001663C7"/>
    <w:rsid w:val="00196AEB"/>
    <w:rsid w:val="001C7A5D"/>
    <w:rsid w:val="002415C1"/>
    <w:rsid w:val="0024698C"/>
    <w:rsid w:val="002648AB"/>
    <w:rsid w:val="00274418"/>
    <w:rsid w:val="00275102"/>
    <w:rsid w:val="00294605"/>
    <w:rsid w:val="002A1462"/>
    <w:rsid w:val="00316B2B"/>
    <w:rsid w:val="00342EEC"/>
    <w:rsid w:val="00386680"/>
    <w:rsid w:val="003F7319"/>
    <w:rsid w:val="004711E5"/>
    <w:rsid w:val="00473AE2"/>
    <w:rsid w:val="004D6525"/>
    <w:rsid w:val="004E3816"/>
    <w:rsid w:val="004F362B"/>
    <w:rsid w:val="004F5510"/>
    <w:rsid w:val="004F7B9C"/>
    <w:rsid w:val="004F7FAA"/>
    <w:rsid w:val="0058652F"/>
    <w:rsid w:val="00590040"/>
    <w:rsid w:val="0059770F"/>
    <w:rsid w:val="005D2237"/>
    <w:rsid w:val="005E02D1"/>
    <w:rsid w:val="00601A21"/>
    <w:rsid w:val="0061785D"/>
    <w:rsid w:val="00675499"/>
    <w:rsid w:val="006B07D1"/>
    <w:rsid w:val="006E75F5"/>
    <w:rsid w:val="00730945"/>
    <w:rsid w:val="00737E0A"/>
    <w:rsid w:val="007607B6"/>
    <w:rsid w:val="007C4796"/>
    <w:rsid w:val="007D0B50"/>
    <w:rsid w:val="007F4F5C"/>
    <w:rsid w:val="008013EE"/>
    <w:rsid w:val="00823C63"/>
    <w:rsid w:val="00827A05"/>
    <w:rsid w:val="00890A23"/>
    <w:rsid w:val="008C672F"/>
    <w:rsid w:val="008E745B"/>
    <w:rsid w:val="00906253"/>
    <w:rsid w:val="009435A4"/>
    <w:rsid w:val="00990D82"/>
    <w:rsid w:val="009A3508"/>
    <w:rsid w:val="009B3D74"/>
    <w:rsid w:val="009D3D71"/>
    <w:rsid w:val="009E46DA"/>
    <w:rsid w:val="00A0600E"/>
    <w:rsid w:val="00A4248D"/>
    <w:rsid w:val="00A80521"/>
    <w:rsid w:val="00A97324"/>
    <w:rsid w:val="00AA08BC"/>
    <w:rsid w:val="00B11916"/>
    <w:rsid w:val="00B4355C"/>
    <w:rsid w:val="00BA6251"/>
    <w:rsid w:val="00BB05C4"/>
    <w:rsid w:val="00BB3DF5"/>
    <w:rsid w:val="00BD4B53"/>
    <w:rsid w:val="00CD4A88"/>
    <w:rsid w:val="00CE68D3"/>
    <w:rsid w:val="00CF2484"/>
    <w:rsid w:val="00CF61BE"/>
    <w:rsid w:val="00D022A2"/>
    <w:rsid w:val="00D14722"/>
    <w:rsid w:val="00D3511D"/>
    <w:rsid w:val="00D36C5F"/>
    <w:rsid w:val="00D42E86"/>
    <w:rsid w:val="00DB04E2"/>
    <w:rsid w:val="00DC5110"/>
    <w:rsid w:val="00DD25FA"/>
    <w:rsid w:val="00DD68D2"/>
    <w:rsid w:val="00DE0BD6"/>
    <w:rsid w:val="00DF1337"/>
    <w:rsid w:val="00E12AB7"/>
    <w:rsid w:val="00E36856"/>
    <w:rsid w:val="00E413AC"/>
    <w:rsid w:val="00E64B9D"/>
    <w:rsid w:val="00E91097"/>
    <w:rsid w:val="00EA54E4"/>
    <w:rsid w:val="00EC2AF3"/>
    <w:rsid w:val="00EE5BB4"/>
    <w:rsid w:val="00EF0BC4"/>
    <w:rsid w:val="00F077A1"/>
    <w:rsid w:val="00F162CF"/>
    <w:rsid w:val="00F64BA9"/>
    <w:rsid w:val="00F655F5"/>
    <w:rsid w:val="00F91F5B"/>
    <w:rsid w:val="00FA1D68"/>
    <w:rsid w:val="00FB4E31"/>
    <w:rsid w:val="00FB790E"/>
    <w:rsid w:val="00FD3E5B"/>
    <w:rsid w:val="053F4757"/>
    <w:rsid w:val="0A0D6DA0"/>
    <w:rsid w:val="1DDF5AF0"/>
    <w:rsid w:val="28054DDD"/>
    <w:rsid w:val="39832FA2"/>
    <w:rsid w:val="591A1EAF"/>
    <w:rsid w:val="62E02F29"/>
    <w:rsid w:val="7A7800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10"/>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C5110"/>
    <w:pPr>
      <w:jc w:val="left"/>
    </w:pPr>
  </w:style>
  <w:style w:type="paragraph" w:styleId="a4">
    <w:name w:val="Balloon Text"/>
    <w:basedOn w:val="a"/>
    <w:link w:val="Char0"/>
    <w:uiPriority w:val="99"/>
    <w:semiHidden/>
    <w:unhideWhenUsed/>
    <w:qFormat/>
    <w:rsid w:val="00DC5110"/>
    <w:rPr>
      <w:sz w:val="18"/>
      <w:szCs w:val="18"/>
    </w:rPr>
  </w:style>
  <w:style w:type="paragraph" w:styleId="a5">
    <w:name w:val="footer"/>
    <w:basedOn w:val="a"/>
    <w:link w:val="Char1"/>
    <w:uiPriority w:val="99"/>
    <w:unhideWhenUsed/>
    <w:qFormat/>
    <w:rsid w:val="00DC5110"/>
    <w:pPr>
      <w:tabs>
        <w:tab w:val="center" w:pos="4153"/>
        <w:tab w:val="right" w:pos="8306"/>
      </w:tabs>
      <w:snapToGrid w:val="0"/>
      <w:jc w:val="left"/>
    </w:pPr>
    <w:rPr>
      <w:rFonts w:cstheme="minorBidi"/>
      <w:sz w:val="18"/>
      <w:szCs w:val="18"/>
    </w:rPr>
  </w:style>
  <w:style w:type="paragraph" w:styleId="a6">
    <w:name w:val="header"/>
    <w:basedOn w:val="a"/>
    <w:link w:val="Char2"/>
    <w:uiPriority w:val="99"/>
    <w:unhideWhenUsed/>
    <w:qFormat/>
    <w:rsid w:val="00DC5110"/>
    <w:pPr>
      <w:pBdr>
        <w:bottom w:val="single" w:sz="6" w:space="1" w:color="auto"/>
      </w:pBdr>
      <w:tabs>
        <w:tab w:val="center" w:pos="4153"/>
        <w:tab w:val="right" w:pos="8306"/>
      </w:tabs>
      <w:snapToGrid w:val="0"/>
      <w:jc w:val="center"/>
    </w:pPr>
    <w:rPr>
      <w:rFonts w:cstheme="minorBidi"/>
      <w:sz w:val="18"/>
      <w:szCs w:val="18"/>
    </w:rPr>
  </w:style>
  <w:style w:type="paragraph" w:styleId="a7">
    <w:name w:val="annotation subject"/>
    <w:basedOn w:val="a3"/>
    <w:next w:val="a3"/>
    <w:link w:val="Char3"/>
    <w:uiPriority w:val="99"/>
    <w:semiHidden/>
    <w:unhideWhenUsed/>
    <w:qFormat/>
    <w:rsid w:val="00DC5110"/>
    <w:rPr>
      <w:b/>
      <w:bCs/>
    </w:rPr>
  </w:style>
  <w:style w:type="character" w:styleId="a8">
    <w:name w:val="annotation reference"/>
    <w:basedOn w:val="a0"/>
    <w:uiPriority w:val="99"/>
    <w:semiHidden/>
    <w:unhideWhenUsed/>
    <w:qFormat/>
    <w:rsid w:val="00DC5110"/>
    <w:rPr>
      <w:sz w:val="21"/>
      <w:szCs w:val="21"/>
    </w:rPr>
  </w:style>
  <w:style w:type="character" w:customStyle="1" w:styleId="Char2">
    <w:name w:val="页眉 Char"/>
    <w:basedOn w:val="a0"/>
    <w:link w:val="a6"/>
    <w:uiPriority w:val="99"/>
    <w:qFormat/>
    <w:rsid w:val="00DC5110"/>
    <w:rPr>
      <w:sz w:val="18"/>
      <w:szCs w:val="18"/>
    </w:rPr>
  </w:style>
  <w:style w:type="character" w:customStyle="1" w:styleId="Char1">
    <w:name w:val="页脚 Char"/>
    <w:basedOn w:val="a0"/>
    <w:link w:val="a5"/>
    <w:uiPriority w:val="99"/>
    <w:qFormat/>
    <w:rsid w:val="00DC5110"/>
    <w:rPr>
      <w:sz w:val="18"/>
      <w:szCs w:val="18"/>
    </w:rPr>
  </w:style>
  <w:style w:type="character" w:customStyle="1" w:styleId="Char">
    <w:name w:val="批注文字 Char"/>
    <w:basedOn w:val="a0"/>
    <w:link w:val="a3"/>
    <w:uiPriority w:val="99"/>
    <w:semiHidden/>
    <w:qFormat/>
    <w:rsid w:val="00DC5110"/>
    <w:rPr>
      <w:rFonts w:cs="Times New Roman"/>
    </w:rPr>
  </w:style>
  <w:style w:type="character" w:customStyle="1" w:styleId="Char3">
    <w:name w:val="批注主题 Char"/>
    <w:basedOn w:val="Char"/>
    <w:link w:val="a7"/>
    <w:uiPriority w:val="99"/>
    <w:semiHidden/>
    <w:qFormat/>
    <w:rsid w:val="00DC5110"/>
    <w:rPr>
      <w:rFonts w:cs="Times New Roman"/>
      <w:b/>
      <w:bCs/>
    </w:rPr>
  </w:style>
  <w:style w:type="character" w:customStyle="1" w:styleId="Char0">
    <w:name w:val="批注框文本 Char"/>
    <w:basedOn w:val="a0"/>
    <w:link w:val="a4"/>
    <w:uiPriority w:val="99"/>
    <w:semiHidden/>
    <w:qFormat/>
    <w:rsid w:val="00DC5110"/>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1215</Characters>
  <Application>Microsoft Office Word</Application>
  <DocSecurity>4</DocSecurity>
  <Lines>10</Lines>
  <Paragraphs>2</Paragraphs>
  <ScaleCrop>false</ScaleCrop>
  <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guiyan</dc:creator>
  <cp:lastModifiedBy>ZHONGM</cp:lastModifiedBy>
  <cp:revision>2</cp:revision>
  <dcterms:created xsi:type="dcterms:W3CDTF">2025-12-01T16:00:00Z</dcterms:created>
  <dcterms:modified xsi:type="dcterms:W3CDTF">2025-12-01T16:00:00Z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6F0EA657EE6141B4A83EF2E6AA2D240B</vt:lpwstr>
  </property>
</Properties>
</file>