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370E" w:rsidRPr="004833F6" w:rsidRDefault="00034405" w:rsidP="004833F6">
      <w:pPr>
        <w:spacing w:line="360" w:lineRule="auto"/>
        <w:jc w:val="center"/>
        <w:rPr>
          <w:rFonts w:ascii="宋体" w:eastAsia="宋体" w:hAnsi="宋体"/>
          <w:b/>
        </w:rPr>
      </w:pPr>
      <w:r w:rsidRPr="004833F6">
        <w:rPr>
          <w:rFonts w:ascii="宋体" w:eastAsia="宋体" w:hAnsi="宋体" w:hint="eastAsia"/>
          <w:b/>
        </w:rPr>
        <w:t>宝盈基金管理有限公司</w:t>
      </w:r>
      <w:r w:rsidR="00B65F52" w:rsidRPr="00B65F52">
        <w:rPr>
          <w:rFonts w:ascii="宋体" w:eastAsia="宋体" w:hAnsi="宋体" w:hint="eastAsia"/>
          <w:b/>
        </w:rPr>
        <w:t>关于宝盈货币市场证券投资基金关联交易的公告</w:t>
      </w:r>
    </w:p>
    <w:p w:rsidR="00034405" w:rsidRPr="004833F6" w:rsidRDefault="00034405" w:rsidP="004833F6">
      <w:pPr>
        <w:spacing w:line="360" w:lineRule="auto"/>
        <w:rPr>
          <w:rFonts w:ascii="宋体" w:eastAsia="宋体" w:hAnsi="宋体"/>
        </w:rPr>
      </w:pPr>
    </w:p>
    <w:p w:rsidR="00034405" w:rsidRPr="004833F6" w:rsidRDefault="00CF7A2C" w:rsidP="00B65F52">
      <w:pPr>
        <w:spacing w:line="360" w:lineRule="auto"/>
        <w:ind w:firstLineChars="200" w:firstLine="420"/>
        <w:rPr>
          <w:rFonts w:ascii="宋体" w:eastAsia="宋体" w:hAnsi="宋体"/>
        </w:rPr>
      </w:pPr>
      <w:r w:rsidRPr="00CF7A2C">
        <w:rPr>
          <w:rFonts w:ascii="宋体" w:eastAsia="宋体" w:hAnsi="宋体" w:hint="eastAsia"/>
        </w:rPr>
        <w:t>宝盈基金管理有限公司（以下简称“本公司”）</w:t>
      </w:r>
      <w:r w:rsidR="00B65F52" w:rsidRPr="00B65F52">
        <w:rPr>
          <w:rFonts w:ascii="宋体" w:eastAsia="宋体" w:hAnsi="宋体" w:hint="eastAsia"/>
        </w:rPr>
        <w:t>根据《中华人民共和国证券投资基金法》、</w:t>
      </w:r>
      <w:bookmarkStart w:id="0" w:name="_GoBack"/>
      <w:bookmarkEnd w:id="0"/>
      <w:r w:rsidR="00B65F52" w:rsidRPr="00B65F52">
        <w:rPr>
          <w:rFonts w:ascii="宋体" w:eastAsia="宋体" w:hAnsi="宋体" w:hint="eastAsia"/>
        </w:rPr>
        <w:t>《公开募集证券投资基金信息披露管理办法》及</w:t>
      </w:r>
      <w:r w:rsidR="00B65F52">
        <w:rPr>
          <w:rFonts w:ascii="宋体" w:eastAsia="宋体" w:hAnsi="宋体" w:hint="eastAsia"/>
        </w:rPr>
        <w:t>宝盈货币</w:t>
      </w:r>
      <w:r w:rsidR="00B65F52" w:rsidRPr="00B65F52">
        <w:rPr>
          <w:rFonts w:ascii="宋体" w:eastAsia="宋体" w:hAnsi="宋体" w:hint="eastAsia"/>
        </w:rPr>
        <w:t>市场</w:t>
      </w:r>
      <w:r w:rsidR="00B65F52">
        <w:rPr>
          <w:rFonts w:ascii="宋体" w:eastAsia="宋体" w:hAnsi="宋体" w:hint="eastAsia"/>
        </w:rPr>
        <w:t>证券投资</w:t>
      </w:r>
      <w:r w:rsidR="00B65F52" w:rsidRPr="00B65F52">
        <w:rPr>
          <w:rFonts w:ascii="宋体" w:eastAsia="宋体" w:hAnsi="宋体" w:hint="eastAsia"/>
        </w:rPr>
        <w:t>基金（以下简称“本基金”）基金合同的规定，现将本基金自</w:t>
      </w:r>
      <w:r w:rsidR="00B65F52" w:rsidRPr="005956E1">
        <w:rPr>
          <w:rFonts w:ascii="宋体" w:eastAsia="宋体" w:hAnsi="宋体" w:hint="eastAsia"/>
        </w:rPr>
        <w:t>二级市场买入</w:t>
      </w:r>
      <w:r w:rsidR="00B65F52" w:rsidRPr="00B65F52">
        <w:rPr>
          <w:rFonts w:ascii="宋体" w:eastAsia="宋体" w:hAnsi="宋体" w:hint="eastAsia"/>
        </w:rPr>
        <w:t>托管人中国建设银行股份有限公司发行的同业存单的相关交易信息披露如下</w:t>
      </w:r>
      <w:r w:rsidR="0072345C">
        <w:rPr>
          <w:rFonts w:ascii="宋体" w:eastAsia="宋体" w:hAnsi="宋体" w:hint="eastAsia"/>
        </w:rPr>
        <w:t>：</w:t>
      </w:r>
    </w:p>
    <w:tbl>
      <w:tblPr>
        <w:tblStyle w:val="a3"/>
        <w:tblW w:w="0" w:type="auto"/>
        <w:tblLook w:val="04A0"/>
      </w:tblPr>
      <w:tblGrid>
        <w:gridCol w:w="2122"/>
        <w:gridCol w:w="2225"/>
        <w:gridCol w:w="1910"/>
        <w:gridCol w:w="2039"/>
      </w:tblGrid>
      <w:tr w:rsidR="0072345C" w:rsidRPr="00056CC1" w:rsidTr="000C526A">
        <w:tc>
          <w:tcPr>
            <w:tcW w:w="2122" w:type="dxa"/>
          </w:tcPr>
          <w:p w:rsidR="0072345C" w:rsidRPr="005956E1" w:rsidRDefault="0072345C" w:rsidP="004833F6">
            <w:pPr>
              <w:spacing w:line="360" w:lineRule="auto"/>
              <w:rPr>
                <w:rFonts w:ascii="宋体" w:eastAsia="宋体" w:hAnsi="宋体"/>
              </w:rPr>
            </w:pPr>
            <w:r w:rsidRPr="005956E1">
              <w:rPr>
                <w:rFonts w:ascii="宋体" w:eastAsia="宋体" w:hAnsi="宋体" w:hint="eastAsia"/>
              </w:rPr>
              <w:t>证券代码</w:t>
            </w:r>
          </w:p>
        </w:tc>
        <w:tc>
          <w:tcPr>
            <w:tcW w:w="2225" w:type="dxa"/>
          </w:tcPr>
          <w:p w:rsidR="0072345C" w:rsidRPr="005956E1" w:rsidRDefault="0072345C" w:rsidP="004833F6">
            <w:pPr>
              <w:spacing w:line="360" w:lineRule="auto"/>
              <w:rPr>
                <w:rFonts w:ascii="宋体" w:eastAsia="宋体" w:hAnsi="宋体"/>
              </w:rPr>
            </w:pPr>
            <w:r w:rsidRPr="005956E1">
              <w:rPr>
                <w:rFonts w:ascii="宋体" w:eastAsia="宋体" w:hAnsi="宋体" w:hint="eastAsia"/>
              </w:rPr>
              <w:t>证券简称</w:t>
            </w:r>
          </w:p>
        </w:tc>
        <w:tc>
          <w:tcPr>
            <w:tcW w:w="1910" w:type="dxa"/>
          </w:tcPr>
          <w:p w:rsidR="0072345C" w:rsidRPr="005956E1" w:rsidRDefault="0072345C" w:rsidP="004833F6">
            <w:pPr>
              <w:spacing w:line="360" w:lineRule="auto"/>
              <w:rPr>
                <w:rFonts w:ascii="宋体" w:eastAsia="宋体" w:hAnsi="宋体"/>
              </w:rPr>
            </w:pPr>
            <w:r w:rsidRPr="005956E1">
              <w:rPr>
                <w:rFonts w:ascii="宋体" w:eastAsia="宋体" w:hAnsi="宋体" w:hint="eastAsia"/>
              </w:rPr>
              <w:t>交易数量（张）</w:t>
            </w:r>
          </w:p>
        </w:tc>
        <w:tc>
          <w:tcPr>
            <w:tcW w:w="2039" w:type="dxa"/>
          </w:tcPr>
          <w:p w:rsidR="0072345C" w:rsidRPr="005956E1" w:rsidRDefault="0072345C" w:rsidP="004833F6">
            <w:pPr>
              <w:spacing w:line="360" w:lineRule="auto"/>
              <w:rPr>
                <w:rFonts w:ascii="宋体" w:eastAsia="宋体" w:hAnsi="宋体"/>
              </w:rPr>
            </w:pPr>
            <w:r w:rsidRPr="005956E1">
              <w:rPr>
                <w:rFonts w:ascii="宋体" w:eastAsia="宋体" w:hAnsi="宋体" w:hint="eastAsia"/>
              </w:rPr>
              <w:t>券面总额（元）</w:t>
            </w:r>
          </w:p>
        </w:tc>
      </w:tr>
      <w:tr w:rsidR="0072345C" w:rsidRPr="00056CC1" w:rsidTr="000C526A">
        <w:tc>
          <w:tcPr>
            <w:tcW w:w="2122" w:type="dxa"/>
          </w:tcPr>
          <w:p w:rsidR="0072345C" w:rsidRPr="005956E1" w:rsidRDefault="0035352C" w:rsidP="004833F6">
            <w:pPr>
              <w:spacing w:line="360" w:lineRule="auto"/>
              <w:rPr>
                <w:rFonts w:ascii="宋体" w:eastAsia="宋体" w:hAnsi="宋体"/>
              </w:rPr>
            </w:pPr>
            <w:r w:rsidRPr="0035352C">
              <w:rPr>
                <w:rFonts w:ascii="宋体" w:eastAsia="宋体" w:hAnsi="宋体"/>
              </w:rPr>
              <w:t>112505415</w:t>
            </w:r>
            <w:r w:rsidR="007464FC">
              <w:rPr>
                <w:rFonts w:ascii="宋体" w:eastAsia="宋体" w:hAnsi="宋体"/>
              </w:rPr>
              <w:t>.IB</w:t>
            </w:r>
          </w:p>
        </w:tc>
        <w:tc>
          <w:tcPr>
            <w:tcW w:w="2225" w:type="dxa"/>
          </w:tcPr>
          <w:p w:rsidR="0072345C" w:rsidRPr="005956E1" w:rsidRDefault="0035352C" w:rsidP="004833F6">
            <w:pPr>
              <w:spacing w:line="360" w:lineRule="auto"/>
              <w:rPr>
                <w:rFonts w:ascii="宋体" w:eastAsia="宋体" w:hAnsi="宋体"/>
              </w:rPr>
            </w:pPr>
            <w:r w:rsidRPr="000C526A">
              <w:rPr>
                <w:rFonts w:ascii="宋体" w:eastAsia="宋体" w:hAnsi="宋体"/>
              </w:rPr>
              <w:t>25建设银行CD415</w:t>
            </w:r>
          </w:p>
        </w:tc>
        <w:tc>
          <w:tcPr>
            <w:tcW w:w="1910" w:type="dxa"/>
          </w:tcPr>
          <w:p w:rsidR="0072345C" w:rsidRPr="005956E1" w:rsidRDefault="0035352C" w:rsidP="004833F6">
            <w:pPr>
              <w:spacing w:line="360" w:lineRule="auto"/>
              <w:rPr>
                <w:rFonts w:ascii="宋体" w:eastAsia="宋体" w:hAnsi="宋体"/>
              </w:rPr>
            </w:pPr>
            <w:r>
              <w:rPr>
                <w:rFonts w:ascii="宋体" w:eastAsia="宋体" w:hAnsi="宋体"/>
              </w:rPr>
              <w:t>1</w:t>
            </w:r>
            <w:r>
              <w:rPr>
                <w:rFonts w:ascii="宋体" w:eastAsia="宋体" w:hAnsi="宋体" w:hint="eastAsia"/>
              </w:rPr>
              <w:t>,</w:t>
            </w:r>
            <w:r>
              <w:rPr>
                <w:rFonts w:ascii="宋体" w:eastAsia="宋体" w:hAnsi="宋体"/>
              </w:rPr>
              <w:t>00</w:t>
            </w:r>
            <w:r w:rsidR="00423334">
              <w:rPr>
                <w:rFonts w:ascii="宋体" w:eastAsia="宋体" w:hAnsi="宋体"/>
              </w:rPr>
              <w:t>0,000</w:t>
            </w:r>
          </w:p>
        </w:tc>
        <w:tc>
          <w:tcPr>
            <w:tcW w:w="2039" w:type="dxa"/>
          </w:tcPr>
          <w:p w:rsidR="0072345C" w:rsidRPr="005956E1" w:rsidRDefault="0035352C" w:rsidP="004833F6">
            <w:pPr>
              <w:spacing w:line="360" w:lineRule="auto"/>
              <w:rPr>
                <w:rFonts w:ascii="宋体" w:eastAsia="宋体" w:hAnsi="宋体"/>
              </w:rPr>
            </w:pPr>
            <w:r>
              <w:rPr>
                <w:rFonts w:ascii="宋体" w:eastAsia="宋体" w:hAnsi="宋体"/>
              </w:rPr>
              <w:t>100</w:t>
            </w:r>
            <w:r w:rsidR="00423334">
              <w:rPr>
                <w:rFonts w:ascii="宋体" w:eastAsia="宋体" w:hAnsi="宋体"/>
              </w:rPr>
              <w:t>,000,000.00</w:t>
            </w:r>
          </w:p>
        </w:tc>
      </w:tr>
    </w:tbl>
    <w:p w:rsidR="009A1C85" w:rsidRDefault="009A1C85" w:rsidP="009A1C85">
      <w:pPr>
        <w:spacing w:line="360" w:lineRule="auto"/>
        <w:ind w:firstLineChars="200" w:firstLine="420"/>
        <w:rPr>
          <w:rFonts w:ascii="宋体" w:eastAsia="宋体" w:hAnsi="宋体"/>
        </w:rPr>
      </w:pPr>
      <w:r w:rsidRPr="009A1C85">
        <w:rPr>
          <w:rFonts w:ascii="宋体" w:eastAsia="宋体" w:hAnsi="宋体" w:hint="eastAsia"/>
        </w:rPr>
        <w:t>上述关联交易的交易价格公允，且不存在利益输送的情况，在进行关联交易前已依照法律法规的要求履行了相关审批程序。</w:t>
      </w:r>
    </w:p>
    <w:p w:rsidR="009A1C85" w:rsidRDefault="009A1C85" w:rsidP="009A1C85">
      <w:pPr>
        <w:spacing w:line="360" w:lineRule="auto"/>
        <w:ind w:firstLineChars="200" w:firstLine="420"/>
        <w:rPr>
          <w:rFonts w:ascii="宋体" w:eastAsia="宋体" w:hAnsi="宋体"/>
        </w:rPr>
      </w:pPr>
    </w:p>
    <w:p w:rsidR="009A1C85" w:rsidRPr="004833F6" w:rsidRDefault="009A1C85" w:rsidP="009A1C85">
      <w:pPr>
        <w:spacing w:line="360" w:lineRule="auto"/>
        <w:ind w:firstLineChars="200" w:firstLine="420"/>
        <w:rPr>
          <w:rFonts w:ascii="宋体" w:eastAsia="宋体" w:hAnsi="宋体"/>
        </w:rPr>
      </w:pPr>
    </w:p>
    <w:p w:rsidR="00CC5DB8" w:rsidRPr="004833F6" w:rsidRDefault="009A1C85" w:rsidP="007109CB">
      <w:pPr>
        <w:spacing w:line="360" w:lineRule="auto"/>
        <w:ind w:firstLineChars="200" w:firstLine="420"/>
        <w:rPr>
          <w:rFonts w:ascii="宋体" w:eastAsia="宋体" w:hAnsi="宋体"/>
        </w:rPr>
      </w:pPr>
      <w:r>
        <w:rPr>
          <w:rFonts w:ascii="宋体" w:eastAsia="宋体" w:hAnsi="宋体" w:hint="eastAsia"/>
        </w:rPr>
        <w:t>风险提示：</w:t>
      </w:r>
      <w:r w:rsidR="00CC5DB8" w:rsidRPr="004833F6">
        <w:rPr>
          <w:rFonts w:ascii="宋体" w:eastAsia="宋体" w:hAnsi="宋体"/>
        </w:rPr>
        <w:t>本公司承诺以诚实信用、勤勉尽责的原则管理和运用基金资产，但不保证基金一定盈利，也不保证最低收益。</w:t>
      </w:r>
      <w:r w:rsidR="007109CB" w:rsidRPr="007109CB">
        <w:rPr>
          <w:rFonts w:ascii="宋体" w:eastAsia="宋体" w:hAnsi="宋体" w:hint="eastAsia"/>
        </w:rPr>
        <w:t>基金的过往业绩及其净值高低并不预示其未来业绩表现。</w:t>
      </w:r>
      <w:r w:rsidR="00CF7A2C" w:rsidRPr="004833F6">
        <w:rPr>
          <w:rFonts w:ascii="宋体" w:eastAsia="宋体" w:hAnsi="宋体"/>
        </w:rPr>
        <w:t>本公司</w:t>
      </w:r>
      <w:r w:rsidR="007109CB" w:rsidRPr="007109CB">
        <w:rPr>
          <w:rFonts w:ascii="宋体" w:eastAsia="宋体" w:hAnsi="宋体" w:hint="eastAsia"/>
        </w:rPr>
        <w:t>管理的其他基金的业绩并不构成对本基金业绩表现的保证。投资者投资本基金前应认真阅读基金合同、招募说明书等法律文件，了解拟投资基金的风险收益特征，并根据自身投资目的、投资期限、投资经验、资产状况等判断基金是否和投资者的风险承受能力相匹配</w:t>
      </w:r>
      <w:r w:rsidR="007109CB">
        <w:rPr>
          <w:rFonts w:ascii="宋体" w:eastAsia="宋体" w:hAnsi="宋体" w:hint="eastAsia"/>
        </w:rPr>
        <w:t>。</w:t>
      </w:r>
      <w:r w:rsidR="00CC5DB8" w:rsidRPr="004833F6">
        <w:rPr>
          <w:rFonts w:ascii="宋体" w:eastAsia="宋体" w:hAnsi="宋体"/>
        </w:rPr>
        <w:t xml:space="preserve">本公司提醒投资者基金投资的“买者自负”原则，在做出投资决策后，基金运营状况与基金净值变化引致的投资风险，由投资者自行承担。投资有风险，决策须谨慎。 </w:t>
      </w:r>
    </w:p>
    <w:p w:rsidR="00CC5DB8" w:rsidRPr="004833F6" w:rsidRDefault="00CC5DB8" w:rsidP="004833F6">
      <w:pPr>
        <w:spacing w:line="360" w:lineRule="auto"/>
        <w:ind w:firstLineChars="200" w:firstLine="420"/>
        <w:rPr>
          <w:rFonts w:ascii="宋体" w:eastAsia="宋体" w:hAnsi="宋体"/>
        </w:rPr>
      </w:pPr>
      <w:r w:rsidRPr="004833F6">
        <w:rPr>
          <w:rFonts w:ascii="宋体" w:eastAsia="宋体" w:hAnsi="宋体"/>
        </w:rPr>
        <w:t>投资者可登陆本公司网站（</w:t>
      </w:r>
      <w:r w:rsidR="0060254B" w:rsidRPr="004833F6">
        <w:rPr>
          <w:rFonts w:ascii="宋体" w:eastAsia="宋体" w:hAnsi="宋体"/>
        </w:rPr>
        <w:t>www.byfunds.com</w:t>
      </w:r>
      <w:r w:rsidRPr="004833F6">
        <w:rPr>
          <w:rFonts w:ascii="宋体" w:eastAsia="宋体" w:hAnsi="宋体"/>
        </w:rPr>
        <w:t>）查询相关信息或拨打客户服务电话（</w:t>
      </w:r>
      <w:r w:rsidR="0060254B" w:rsidRPr="004833F6">
        <w:rPr>
          <w:rFonts w:ascii="宋体" w:eastAsia="宋体" w:hAnsi="宋体"/>
        </w:rPr>
        <w:t>400-8888-300</w:t>
      </w:r>
      <w:r w:rsidRPr="004833F6">
        <w:rPr>
          <w:rFonts w:ascii="宋体" w:eastAsia="宋体" w:hAnsi="宋体"/>
        </w:rPr>
        <w:t xml:space="preserve">）咨询相关事宜。 </w:t>
      </w:r>
    </w:p>
    <w:p w:rsidR="00BE729A" w:rsidRPr="004833F6" w:rsidRDefault="00CC5DB8" w:rsidP="004833F6">
      <w:pPr>
        <w:spacing w:line="360" w:lineRule="auto"/>
        <w:ind w:firstLineChars="200" w:firstLine="420"/>
        <w:rPr>
          <w:rFonts w:ascii="宋体" w:eastAsia="宋体" w:hAnsi="宋体"/>
        </w:rPr>
      </w:pPr>
      <w:r w:rsidRPr="004833F6">
        <w:rPr>
          <w:rFonts w:ascii="宋体" w:eastAsia="宋体" w:hAnsi="宋体"/>
        </w:rPr>
        <w:t>特此公告。</w:t>
      </w:r>
    </w:p>
    <w:p w:rsidR="003F0600" w:rsidRPr="004833F6" w:rsidRDefault="003F0600" w:rsidP="004833F6">
      <w:pPr>
        <w:spacing w:line="360" w:lineRule="auto"/>
        <w:ind w:firstLineChars="200" w:firstLine="420"/>
        <w:rPr>
          <w:rFonts w:ascii="宋体" w:eastAsia="宋体" w:hAnsi="宋体"/>
        </w:rPr>
      </w:pPr>
    </w:p>
    <w:p w:rsidR="003F0600" w:rsidRPr="004833F6" w:rsidRDefault="003F0600" w:rsidP="004833F6">
      <w:pPr>
        <w:spacing w:line="360" w:lineRule="auto"/>
        <w:ind w:firstLineChars="200" w:firstLine="420"/>
        <w:rPr>
          <w:rFonts w:ascii="宋体" w:eastAsia="宋体" w:hAnsi="宋体"/>
        </w:rPr>
      </w:pPr>
    </w:p>
    <w:p w:rsidR="003F0600" w:rsidRPr="00BD2781" w:rsidRDefault="003F0600" w:rsidP="004833F6">
      <w:pPr>
        <w:spacing w:line="360" w:lineRule="auto"/>
        <w:ind w:firstLineChars="200" w:firstLine="420"/>
        <w:rPr>
          <w:rFonts w:ascii="宋体" w:eastAsia="宋体" w:hAnsi="宋体"/>
        </w:rPr>
      </w:pPr>
      <w:r w:rsidRPr="004833F6">
        <w:rPr>
          <w:rFonts w:ascii="宋体" w:eastAsia="宋体" w:hAnsi="宋体"/>
        </w:rPr>
        <w:t xml:space="preserve">                                                  </w:t>
      </w:r>
      <w:r w:rsidRPr="00BD2781">
        <w:rPr>
          <w:rFonts w:ascii="宋体" w:eastAsia="宋体" w:hAnsi="宋体" w:hint="eastAsia"/>
        </w:rPr>
        <w:t>宝盈基金管理有限公司</w:t>
      </w:r>
    </w:p>
    <w:p w:rsidR="003F0600" w:rsidRPr="004833F6" w:rsidRDefault="003F0600" w:rsidP="004833F6">
      <w:pPr>
        <w:spacing w:line="360" w:lineRule="auto"/>
        <w:ind w:firstLineChars="200" w:firstLine="420"/>
        <w:rPr>
          <w:rFonts w:ascii="宋体" w:eastAsia="宋体" w:hAnsi="宋体"/>
        </w:rPr>
      </w:pPr>
      <w:r w:rsidRPr="00BD2781">
        <w:rPr>
          <w:rFonts w:ascii="宋体" w:eastAsia="宋体" w:hAnsi="宋体"/>
        </w:rPr>
        <w:t xml:space="preserve">                                                       </w:t>
      </w:r>
      <w:r w:rsidR="00FC5878" w:rsidRPr="005956E1">
        <w:rPr>
          <w:rFonts w:ascii="宋体" w:eastAsia="宋体" w:hAnsi="宋体"/>
        </w:rPr>
        <w:t>2025年</w:t>
      </w:r>
      <w:r w:rsidR="0035352C">
        <w:rPr>
          <w:rFonts w:ascii="宋体" w:eastAsia="宋体" w:hAnsi="宋体"/>
        </w:rPr>
        <w:t>12</w:t>
      </w:r>
      <w:r w:rsidR="00FC5878" w:rsidRPr="005956E1">
        <w:rPr>
          <w:rFonts w:ascii="宋体" w:eastAsia="宋体" w:hAnsi="宋体"/>
        </w:rPr>
        <w:t>月</w:t>
      </w:r>
      <w:r w:rsidR="0035352C">
        <w:rPr>
          <w:rFonts w:ascii="宋体" w:eastAsia="宋体" w:hAnsi="宋体"/>
        </w:rPr>
        <w:t>2</w:t>
      </w:r>
      <w:r w:rsidRPr="005956E1">
        <w:rPr>
          <w:rFonts w:ascii="宋体" w:eastAsia="宋体" w:hAnsi="宋体"/>
        </w:rPr>
        <w:t>日</w:t>
      </w:r>
    </w:p>
    <w:sectPr w:rsidR="003F0600" w:rsidRPr="004833F6" w:rsidSect="00E31D4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10A6" w:rsidRDefault="00E510A6" w:rsidP="00963804">
      <w:r>
        <w:separator/>
      </w:r>
    </w:p>
  </w:endnote>
  <w:endnote w:type="continuationSeparator" w:id="0">
    <w:p w:rsidR="00E510A6" w:rsidRDefault="00E510A6" w:rsidP="00963804">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10A6" w:rsidRDefault="00E510A6" w:rsidP="00963804">
      <w:r>
        <w:separator/>
      </w:r>
    </w:p>
  </w:footnote>
  <w:footnote w:type="continuationSeparator" w:id="0">
    <w:p w:rsidR="00E510A6" w:rsidRDefault="00E510A6" w:rsidP="0096380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B0A16"/>
    <w:rsid w:val="00034405"/>
    <w:rsid w:val="00056CC1"/>
    <w:rsid w:val="000C526A"/>
    <w:rsid w:val="000F1CED"/>
    <w:rsid w:val="0016548B"/>
    <w:rsid w:val="0017150D"/>
    <w:rsid w:val="001839A0"/>
    <w:rsid w:val="00272060"/>
    <w:rsid w:val="00272B8D"/>
    <w:rsid w:val="00283ECF"/>
    <w:rsid w:val="002A76F4"/>
    <w:rsid w:val="002F16B0"/>
    <w:rsid w:val="002F5199"/>
    <w:rsid w:val="0035352C"/>
    <w:rsid w:val="00362DE0"/>
    <w:rsid w:val="00387DB4"/>
    <w:rsid w:val="003A5CA9"/>
    <w:rsid w:val="003B40F5"/>
    <w:rsid w:val="003F0600"/>
    <w:rsid w:val="00423334"/>
    <w:rsid w:val="004833F6"/>
    <w:rsid w:val="004A1006"/>
    <w:rsid w:val="004B6C60"/>
    <w:rsid w:val="005956E1"/>
    <w:rsid w:val="005B3D74"/>
    <w:rsid w:val="0060254B"/>
    <w:rsid w:val="00633C82"/>
    <w:rsid w:val="0068401A"/>
    <w:rsid w:val="006F2FDC"/>
    <w:rsid w:val="007109CB"/>
    <w:rsid w:val="0072345C"/>
    <w:rsid w:val="007425E4"/>
    <w:rsid w:val="007464FC"/>
    <w:rsid w:val="00762AB6"/>
    <w:rsid w:val="008B0A16"/>
    <w:rsid w:val="008E4A14"/>
    <w:rsid w:val="00910AE3"/>
    <w:rsid w:val="00924376"/>
    <w:rsid w:val="009559C1"/>
    <w:rsid w:val="00963804"/>
    <w:rsid w:val="009A1C85"/>
    <w:rsid w:val="009E7892"/>
    <w:rsid w:val="00A208F5"/>
    <w:rsid w:val="00AC1B77"/>
    <w:rsid w:val="00B65F52"/>
    <w:rsid w:val="00BD2781"/>
    <w:rsid w:val="00BE729A"/>
    <w:rsid w:val="00BF3D04"/>
    <w:rsid w:val="00C927B2"/>
    <w:rsid w:val="00CB5693"/>
    <w:rsid w:val="00CC5DB8"/>
    <w:rsid w:val="00CD7AB5"/>
    <w:rsid w:val="00CE770A"/>
    <w:rsid w:val="00CF7A2C"/>
    <w:rsid w:val="00E31D4A"/>
    <w:rsid w:val="00E457B4"/>
    <w:rsid w:val="00E510A6"/>
    <w:rsid w:val="00E65F22"/>
    <w:rsid w:val="00EC3265"/>
    <w:rsid w:val="00EC4668"/>
    <w:rsid w:val="00EF701E"/>
    <w:rsid w:val="00FC587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1D4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E72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96380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963804"/>
    <w:rPr>
      <w:sz w:val="18"/>
      <w:szCs w:val="18"/>
    </w:rPr>
  </w:style>
  <w:style w:type="paragraph" w:styleId="a5">
    <w:name w:val="footer"/>
    <w:basedOn w:val="a"/>
    <w:link w:val="Char0"/>
    <w:uiPriority w:val="99"/>
    <w:unhideWhenUsed/>
    <w:rsid w:val="00963804"/>
    <w:pPr>
      <w:tabs>
        <w:tab w:val="center" w:pos="4153"/>
        <w:tab w:val="right" w:pos="8306"/>
      </w:tabs>
      <w:snapToGrid w:val="0"/>
      <w:jc w:val="left"/>
    </w:pPr>
    <w:rPr>
      <w:sz w:val="18"/>
      <w:szCs w:val="18"/>
    </w:rPr>
  </w:style>
  <w:style w:type="character" w:customStyle="1" w:styleId="Char0">
    <w:name w:val="页脚 Char"/>
    <w:basedOn w:val="a0"/>
    <w:link w:val="a5"/>
    <w:uiPriority w:val="99"/>
    <w:rsid w:val="00963804"/>
    <w:rPr>
      <w:sz w:val="18"/>
      <w:szCs w:val="18"/>
    </w:rPr>
  </w:style>
  <w:style w:type="character" w:styleId="a6">
    <w:name w:val="annotation reference"/>
    <w:basedOn w:val="a0"/>
    <w:uiPriority w:val="99"/>
    <w:semiHidden/>
    <w:unhideWhenUsed/>
    <w:rsid w:val="00910AE3"/>
    <w:rPr>
      <w:sz w:val="21"/>
      <w:szCs w:val="21"/>
    </w:rPr>
  </w:style>
  <w:style w:type="paragraph" w:styleId="a7">
    <w:name w:val="annotation text"/>
    <w:basedOn w:val="a"/>
    <w:link w:val="Char1"/>
    <w:uiPriority w:val="99"/>
    <w:semiHidden/>
    <w:unhideWhenUsed/>
    <w:rsid w:val="00910AE3"/>
    <w:pPr>
      <w:jc w:val="left"/>
    </w:pPr>
  </w:style>
  <w:style w:type="character" w:customStyle="1" w:styleId="Char1">
    <w:name w:val="批注文字 Char"/>
    <w:basedOn w:val="a0"/>
    <w:link w:val="a7"/>
    <w:uiPriority w:val="99"/>
    <w:semiHidden/>
    <w:rsid w:val="00910AE3"/>
  </w:style>
  <w:style w:type="paragraph" w:styleId="a8">
    <w:name w:val="annotation subject"/>
    <w:basedOn w:val="a7"/>
    <w:next w:val="a7"/>
    <w:link w:val="Char2"/>
    <w:uiPriority w:val="99"/>
    <w:semiHidden/>
    <w:unhideWhenUsed/>
    <w:rsid w:val="00910AE3"/>
    <w:rPr>
      <w:b/>
      <w:bCs/>
    </w:rPr>
  </w:style>
  <w:style w:type="character" w:customStyle="1" w:styleId="Char2">
    <w:name w:val="批注主题 Char"/>
    <w:basedOn w:val="Char1"/>
    <w:link w:val="a8"/>
    <w:uiPriority w:val="99"/>
    <w:semiHidden/>
    <w:rsid w:val="00910AE3"/>
    <w:rPr>
      <w:b/>
      <w:bCs/>
    </w:rPr>
  </w:style>
  <w:style w:type="paragraph" w:styleId="a9">
    <w:name w:val="Balloon Text"/>
    <w:basedOn w:val="a"/>
    <w:link w:val="Char3"/>
    <w:uiPriority w:val="99"/>
    <w:semiHidden/>
    <w:unhideWhenUsed/>
    <w:rsid w:val="00910AE3"/>
    <w:rPr>
      <w:sz w:val="18"/>
      <w:szCs w:val="18"/>
    </w:rPr>
  </w:style>
  <w:style w:type="character" w:customStyle="1" w:styleId="Char3">
    <w:name w:val="批注框文本 Char"/>
    <w:basedOn w:val="a0"/>
    <w:link w:val="a9"/>
    <w:uiPriority w:val="99"/>
    <w:semiHidden/>
    <w:rsid w:val="00910AE3"/>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665</Characters>
  <Application>Microsoft Office Word</Application>
  <DocSecurity>4</DocSecurity>
  <Lines>5</Lines>
  <Paragraphs>1</Paragraphs>
  <ScaleCrop>false</ScaleCrop>
  <Company/>
  <LinksUpToDate>false</LinksUpToDate>
  <CharactersWithSpaces>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程逸飞</dc:creator>
  <cp:keywords/>
  <dc:description/>
  <cp:lastModifiedBy>ZHONGM</cp:lastModifiedBy>
  <cp:revision>2</cp:revision>
  <dcterms:created xsi:type="dcterms:W3CDTF">2025-12-01T16:02:00Z</dcterms:created>
  <dcterms:modified xsi:type="dcterms:W3CDTF">2025-12-01T16:02:00Z</dcterms:modified>
</cp:coreProperties>
</file>