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E9573D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关于汇添富精选美元债债券型证券投资基金调整大额申购、定期定额投资业务限制金额的公告</w:t>
      </w:r>
    </w:p>
    <w:p w:rsidR="00745B42" w:rsidRPr="00745B42" w:rsidRDefault="00E9573D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12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02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E9573D" w:rsidP="00E9573D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6"/>
        <w:gridCol w:w="992"/>
        <w:gridCol w:w="1693"/>
        <w:gridCol w:w="1693"/>
        <w:gridCol w:w="1459"/>
        <w:gridCol w:w="1459"/>
      </w:tblGrid>
      <w:tr w:rsidR="00AC280E">
        <w:tc>
          <w:tcPr>
            <w:tcW w:w="-25536" w:type="dxa"/>
            <w:gridSpan w:val="2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汇添富精选美元债债券型证券投资基金</w:t>
            </w:r>
          </w:p>
        </w:tc>
      </w:tr>
      <w:tr w:rsidR="00AC280E">
        <w:tc>
          <w:tcPr>
            <w:tcW w:w="-25536" w:type="dxa"/>
            <w:gridSpan w:val="2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</w:p>
        </w:tc>
      </w:tr>
      <w:tr w:rsidR="00AC280E">
        <w:tc>
          <w:tcPr>
            <w:tcW w:w="-25536" w:type="dxa"/>
            <w:gridSpan w:val="2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004419</w:t>
            </w:r>
          </w:p>
        </w:tc>
      </w:tr>
      <w:tr w:rsidR="00AC280E">
        <w:tc>
          <w:tcPr>
            <w:tcW w:w="-25536" w:type="dxa"/>
            <w:gridSpan w:val="2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AC280E">
        <w:tc>
          <w:tcPr>
            <w:tcW w:w="-25536" w:type="dxa"/>
            <w:gridSpan w:val="2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根据《公开募集证券投资基金信息披露管理办法》等法律法规和《汇添富精选美元债债券型证券投资基金基金合同》的规定。</w:t>
            </w:r>
          </w:p>
        </w:tc>
      </w:tr>
      <w:tr w:rsidR="00AC280E">
        <w:tc>
          <w:tcPr>
            <w:tcW w:w="20000" w:type="dxa"/>
            <w:vMerge w:val="restart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AC280E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为保护基金份额持有人的利益，保障基金平稳运作，根据《汇添富精选美元债债券型证券投资基金基金合同》的有关规定。</w:t>
            </w:r>
          </w:p>
        </w:tc>
      </w:tr>
      <w:tr w:rsidR="00AC280E">
        <w:tc>
          <w:tcPr>
            <w:tcW w:w="-25536" w:type="dxa"/>
            <w:gridSpan w:val="2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美元现汇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美元现汇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</w:tr>
      <w:tr w:rsidR="00AC280E">
        <w:tc>
          <w:tcPr>
            <w:tcW w:w="-25536" w:type="dxa"/>
            <w:gridSpan w:val="2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004419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004420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004421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004422</w:t>
            </w:r>
          </w:p>
        </w:tc>
      </w:tr>
      <w:tr w:rsidR="00AC280E">
        <w:tc>
          <w:tcPr>
            <w:tcW w:w="-25536" w:type="dxa"/>
            <w:gridSpan w:val="2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AC280E">
        <w:tc>
          <w:tcPr>
            <w:tcW w:w="-25536" w:type="dxa"/>
            <w:gridSpan w:val="2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</w:tr>
      <w:tr w:rsidR="00AC280E">
        <w:tc>
          <w:tcPr>
            <w:tcW w:w="-25536" w:type="dxa"/>
            <w:gridSpan w:val="2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3,000.00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3,000.00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500.00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500.00</w:t>
            </w:r>
          </w:p>
        </w:tc>
      </w:tr>
      <w:tr w:rsidR="00AC280E">
        <w:tc>
          <w:tcPr>
            <w:tcW w:w="-25536" w:type="dxa"/>
            <w:gridSpan w:val="2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3,000.00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3,000.00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500.00</w:t>
            </w:r>
          </w:p>
        </w:tc>
        <w:tc>
          <w:tcPr>
            <w:tcW w:w="20000" w:type="dxa"/>
            <w:vAlign w:val="center"/>
          </w:tcPr>
          <w:p w:rsidR="00745B42" w:rsidRPr="00745B42" w:rsidRDefault="00E9573D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E9573D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、本公司已于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08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19</w:t>
      </w:r>
      <w:r w:rsidRPr="00745B42">
        <w:rPr>
          <w:rFonts w:ascii="宋体" w:eastAsia="宋体" w:hAnsi="宋体" w:cs="宋体"/>
          <w:color w:val="000000"/>
          <w:szCs w:val="21"/>
        </w:rPr>
        <w:t>日发布《关于汇添富精选美元债债券型证券投资基金调整大额申购、定期定额投资业务限制金额的公告》，对汇添富美元债债券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的大额申购、大额定期定额投资业务进行限制，限制金额自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08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19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08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19</w:t>
      </w:r>
      <w:r w:rsidRPr="00745B42">
        <w:rPr>
          <w:rFonts w:ascii="宋体" w:eastAsia="宋体" w:hAnsi="宋体" w:cs="宋体"/>
          <w:color w:val="000000"/>
          <w:szCs w:val="21"/>
        </w:rPr>
        <w:t>日）为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人民币元；对汇添富美元债债券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的大额申购、大额定期定额投资业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务进行限制，限制金额自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08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19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08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19</w:t>
      </w:r>
      <w:r w:rsidRPr="00745B42">
        <w:rPr>
          <w:rFonts w:ascii="宋体" w:eastAsia="宋体" w:hAnsi="宋体" w:cs="宋体"/>
          <w:color w:val="000000"/>
          <w:szCs w:val="21"/>
        </w:rPr>
        <w:t>日）为</w:t>
      </w:r>
      <w:r w:rsidRPr="00745B42">
        <w:rPr>
          <w:rFonts w:ascii="宋体" w:eastAsia="宋体" w:hAnsi="宋体" w:cs="宋体"/>
          <w:color w:val="000000"/>
          <w:szCs w:val="21"/>
        </w:rPr>
        <w:t>150</w:t>
      </w:r>
      <w:r w:rsidRPr="00745B42">
        <w:rPr>
          <w:rFonts w:ascii="宋体" w:eastAsia="宋体" w:hAnsi="宋体" w:cs="宋体"/>
          <w:color w:val="000000"/>
          <w:szCs w:val="21"/>
        </w:rPr>
        <w:t>美元。</w:t>
      </w:r>
    </w:p>
    <w:p w:rsidR="00745B42" w:rsidRPr="00745B42" w:rsidRDefault="00E9573D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3000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3000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3000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</w:t>
      </w:r>
      <w:r w:rsidRPr="00745B42">
        <w:rPr>
          <w:rFonts w:ascii="宋体" w:eastAsia="宋体" w:hAnsi="宋体" w:cs="宋体"/>
          <w:color w:val="000000"/>
          <w:szCs w:val="21"/>
        </w:rPr>
        <w:t>。</w:t>
      </w:r>
    </w:p>
    <w:p w:rsidR="00745B42" w:rsidRPr="00745B42" w:rsidRDefault="00E9573D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3000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3000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3000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E9573D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</w:t>
      </w: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E9573D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E9573D" w:rsidP="00E9573D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E9573D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</w:t>
      </w:r>
      <w:r>
        <w:rPr>
          <w:rFonts w:ascii="宋体" w:eastAsia="宋体" w:hAnsi="宋体" w:cs="宋体"/>
          <w:color w:val="000000"/>
          <w:sz w:val="24"/>
          <w:szCs w:val="24"/>
        </w:rPr>
        <w:t>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E9573D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E9573D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E9573D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E9573D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12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02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650CB3"/>
    <w:rsid w:val="00745B42"/>
    <w:rsid w:val="00787C4C"/>
    <w:rsid w:val="00872445"/>
    <w:rsid w:val="00AC280E"/>
    <w:rsid w:val="00B40DE1"/>
    <w:rsid w:val="00B778F6"/>
    <w:rsid w:val="00B938DD"/>
    <w:rsid w:val="00BD71CE"/>
    <w:rsid w:val="00CD0296"/>
    <w:rsid w:val="00CF7360"/>
    <w:rsid w:val="00D412BA"/>
    <w:rsid w:val="00E61199"/>
    <w:rsid w:val="00E9573D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0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4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2025-12-01T16:01:00Z</dcterms:created>
  <dcterms:modified xsi:type="dcterms:W3CDTF">2025-12-01T16:01:00Z</dcterms:modified>
</cp:coreProperties>
</file>