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282B" w:rsidRDefault="00A34AEE">
      <w:pPr>
        <w:pStyle w:val="11"/>
        <w:overflowPunct w:val="0"/>
        <w:autoSpaceDE w:val="0"/>
        <w:autoSpaceDN w:val="0"/>
        <w:adjustRightInd w:val="0"/>
        <w:snapToGrid w:val="0"/>
        <w:spacing w:line="360" w:lineRule="auto"/>
        <w:ind w:left="0"/>
        <w:jc w:val="center"/>
        <w:rPr>
          <w:rFonts w:cs="黑体"/>
          <w:b w:val="0"/>
          <w:bCs w:val="0"/>
          <w:snapToGrid w:val="0"/>
          <w:sz w:val="36"/>
          <w:szCs w:val="36"/>
          <w:lang w:eastAsia="zh-CN"/>
        </w:rPr>
      </w:pPr>
      <w:bookmarkStart w:id="0" w:name="_GoBack"/>
      <w:bookmarkEnd w:id="0"/>
      <w:r>
        <w:rPr>
          <w:rFonts w:cs="黑体" w:hint="eastAsia"/>
          <w:snapToGrid w:val="0"/>
          <w:sz w:val="36"/>
          <w:szCs w:val="36"/>
          <w:lang w:eastAsia="zh-CN"/>
        </w:rPr>
        <w:t>关于中加医疗创新混合型发起式证券投资基金基金合同终止及基金财产清算的公告</w:t>
      </w:r>
    </w:p>
    <w:p w:rsidR="00B7282B" w:rsidRDefault="00B7282B">
      <w:pPr>
        <w:spacing w:line="360" w:lineRule="auto"/>
        <w:jc w:val="both"/>
        <w:rPr>
          <w:rFonts w:ascii="宋体" w:hAnsi="宋体" w:cs="黑体"/>
          <w:b/>
          <w:bCs/>
          <w:sz w:val="24"/>
          <w:szCs w:val="24"/>
          <w:lang w:eastAsia="zh-CN"/>
        </w:rPr>
      </w:pP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根据《中华人民共和国证券投资基金法》《公开募集证券投资基金运作管理办法》</w:t>
      </w:r>
      <w:r>
        <w:rPr>
          <w:rFonts w:hint="eastAsia"/>
          <w:lang w:eastAsia="zh-CN"/>
        </w:rPr>
        <w:t>的有关规定以及</w:t>
      </w:r>
      <w:r>
        <w:rPr>
          <w:rFonts w:hint="eastAsia"/>
          <w:lang w:eastAsia="zh-CN"/>
        </w:rPr>
        <w:t>《中加医疗创新混合型发起式证券投资基金基金合同》（以下简称“《基金合同》”或“基金合同”）的有关</w:t>
      </w:r>
      <w:r>
        <w:rPr>
          <w:rFonts w:hint="eastAsia"/>
          <w:lang w:eastAsia="zh-CN"/>
        </w:rPr>
        <w:t>约</w:t>
      </w:r>
      <w:r>
        <w:rPr>
          <w:rFonts w:hint="eastAsia"/>
          <w:lang w:eastAsia="zh-CN"/>
        </w:rPr>
        <w:t>定，中加医疗创新混合型发起式证券投资基金（以下简称“本基金”）已触发《基金合同》</w:t>
      </w:r>
      <w:r>
        <w:rPr>
          <w:rFonts w:hint="eastAsia"/>
          <w:lang w:eastAsia="zh-CN"/>
        </w:rPr>
        <w:t>自动</w:t>
      </w:r>
      <w:r>
        <w:rPr>
          <w:rFonts w:hint="eastAsia"/>
          <w:lang w:eastAsia="zh-CN"/>
        </w:rPr>
        <w:t>终止的情形，中加基金管理有限公司（以下简称“基金管理人”）应当在上述终止情形出现后终止基金合同并依法履行基金财产清算程序，此事项不需召开基金份额持有人大会。现将相关事项公告如下：</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一、本基金基本信息</w:t>
      </w:r>
      <w:r>
        <w:rPr>
          <w:lang w:eastAsia="zh-CN"/>
        </w:rPr>
        <w:t xml:space="preserve"> </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基金名称：</w:t>
      </w:r>
      <w:r>
        <w:rPr>
          <w:rFonts w:hint="eastAsia"/>
          <w:lang w:eastAsia="zh-CN"/>
        </w:rPr>
        <w:t>中加医疗创新混合型发起式证券投资基金</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基金简称：</w:t>
      </w:r>
      <w:r>
        <w:rPr>
          <w:rFonts w:hint="eastAsia"/>
          <w:lang w:eastAsia="zh-CN"/>
        </w:rPr>
        <w:t>中加医疗创新混合发起式</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基金代码：</w:t>
      </w:r>
      <w:r>
        <w:rPr>
          <w:rFonts w:hint="eastAsia"/>
          <w:lang w:eastAsia="zh-CN"/>
        </w:rPr>
        <w:t>A</w:t>
      </w:r>
      <w:r>
        <w:rPr>
          <w:rFonts w:hint="eastAsia"/>
          <w:lang w:eastAsia="zh-CN"/>
        </w:rPr>
        <w:t>类</w:t>
      </w:r>
      <w:r>
        <w:rPr>
          <w:rFonts w:hint="eastAsia"/>
          <w:lang w:eastAsia="zh-CN"/>
        </w:rPr>
        <w:t>016756</w:t>
      </w:r>
      <w:r>
        <w:rPr>
          <w:rFonts w:hint="eastAsia"/>
          <w:lang w:eastAsia="zh-CN"/>
        </w:rPr>
        <w:t>；</w:t>
      </w:r>
      <w:r>
        <w:rPr>
          <w:rFonts w:hint="eastAsia"/>
          <w:lang w:eastAsia="zh-CN"/>
        </w:rPr>
        <w:t>C</w:t>
      </w:r>
      <w:r>
        <w:rPr>
          <w:rFonts w:hint="eastAsia"/>
          <w:lang w:eastAsia="zh-CN"/>
        </w:rPr>
        <w:t>类</w:t>
      </w:r>
      <w:r>
        <w:rPr>
          <w:rFonts w:hint="eastAsia"/>
          <w:lang w:eastAsia="zh-CN"/>
        </w:rPr>
        <w:t>016757</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基金运作方式：契约型开放式</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基金合同生效日：</w:t>
      </w:r>
      <w:r>
        <w:rPr>
          <w:rFonts w:hint="eastAsia"/>
          <w:lang w:eastAsia="zh-CN"/>
        </w:rPr>
        <w:t>202</w:t>
      </w:r>
      <w:r>
        <w:rPr>
          <w:rFonts w:hint="eastAsia"/>
          <w:lang w:eastAsia="zh-CN"/>
        </w:rPr>
        <w:t>2</w:t>
      </w:r>
      <w:r>
        <w:rPr>
          <w:rFonts w:hint="eastAsia"/>
          <w:lang w:eastAsia="zh-CN"/>
        </w:rPr>
        <w:t>年</w:t>
      </w:r>
      <w:r>
        <w:rPr>
          <w:rFonts w:hint="eastAsia"/>
          <w:lang w:eastAsia="zh-CN"/>
        </w:rPr>
        <w:t>11</w:t>
      </w:r>
      <w:r>
        <w:rPr>
          <w:rFonts w:hint="eastAsia"/>
          <w:lang w:eastAsia="zh-CN"/>
        </w:rPr>
        <w:t>月</w:t>
      </w:r>
      <w:r>
        <w:rPr>
          <w:rFonts w:hint="eastAsia"/>
          <w:lang w:eastAsia="zh-CN"/>
        </w:rPr>
        <w:t>30</w:t>
      </w:r>
      <w:r>
        <w:rPr>
          <w:rFonts w:hint="eastAsia"/>
          <w:lang w:eastAsia="zh-CN"/>
        </w:rPr>
        <w:t>日</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基金管理人名称：</w:t>
      </w:r>
      <w:r>
        <w:rPr>
          <w:rFonts w:hint="eastAsia"/>
          <w:lang w:eastAsia="zh-CN"/>
        </w:rPr>
        <w:t>中加基金管理有限公司</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基金托管人名称：</w:t>
      </w:r>
      <w:r>
        <w:rPr>
          <w:rFonts w:hint="eastAsia"/>
          <w:lang w:eastAsia="zh-CN"/>
        </w:rPr>
        <w:t>中国光大银行股份有限公司</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公告依据：《中华人民共和国证券投资</w:t>
      </w:r>
      <w:r>
        <w:rPr>
          <w:rFonts w:hint="eastAsia"/>
          <w:lang w:eastAsia="zh-CN"/>
        </w:rPr>
        <w:t>基金法》《公开募集证券投资基金运作管理办法》《公开募集证券投资基金信息披露管理办法》</w:t>
      </w:r>
      <w:r>
        <w:rPr>
          <w:rFonts w:hint="eastAsia"/>
          <w:lang w:eastAsia="zh-CN"/>
        </w:rPr>
        <w:t>《基金合同》《</w:t>
      </w:r>
      <w:r>
        <w:rPr>
          <w:rFonts w:hint="eastAsia"/>
          <w:lang w:eastAsia="zh-CN"/>
        </w:rPr>
        <w:t>中加医疗创新混合型发起式证券投资基金招募说明书》及其更新等。</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二、触发基金合同终止的情形说明</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《基金合同》</w:t>
      </w:r>
      <w:r>
        <w:rPr>
          <w:lang w:eastAsia="zh-CN"/>
        </w:rPr>
        <w:t>“</w:t>
      </w:r>
      <w:r>
        <w:rPr>
          <w:lang w:eastAsia="zh-CN"/>
        </w:rPr>
        <w:t>第五部分</w:t>
      </w:r>
      <w:r>
        <w:rPr>
          <w:lang w:eastAsia="zh-CN"/>
        </w:rPr>
        <w:t xml:space="preserve"> </w:t>
      </w:r>
      <w:r>
        <w:rPr>
          <w:lang w:eastAsia="zh-CN"/>
        </w:rPr>
        <w:t>基金备案</w:t>
      </w:r>
      <w:r>
        <w:rPr>
          <w:lang w:eastAsia="zh-CN"/>
        </w:rPr>
        <w:t>”</w:t>
      </w:r>
      <w:r>
        <w:rPr>
          <w:lang w:eastAsia="zh-CN"/>
        </w:rPr>
        <w:t>之</w:t>
      </w:r>
      <w:r>
        <w:rPr>
          <w:lang w:eastAsia="zh-CN"/>
        </w:rPr>
        <w:t>“</w:t>
      </w:r>
      <w:r>
        <w:rPr>
          <w:lang w:eastAsia="zh-CN"/>
        </w:rPr>
        <w:t>三、</w:t>
      </w:r>
      <w:r>
        <w:rPr>
          <w:rFonts w:hint="eastAsia"/>
          <w:lang w:eastAsia="zh-CN"/>
        </w:rPr>
        <w:t>基金存续期内的基金份额持有人数量和资产规模</w:t>
      </w:r>
      <w:r>
        <w:rPr>
          <w:lang w:eastAsia="zh-CN"/>
        </w:rPr>
        <w:t>”</w:t>
      </w:r>
      <w:r>
        <w:rPr>
          <w:lang w:eastAsia="zh-CN"/>
        </w:rPr>
        <w:t>约定：</w:t>
      </w:r>
      <w:r>
        <w:rPr>
          <w:lang w:eastAsia="zh-CN"/>
        </w:rPr>
        <w:t>“</w:t>
      </w:r>
      <w:r>
        <w:rPr>
          <w:rFonts w:hint="eastAsia"/>
          <w:lang w:eastAsia="zh-CN"/>
        </w:rPr>
        <w:t>基金合同生效之日起三年后的对应日（若无对应日则顺延至下一日），若基金资产净值低于两亿元，基金合同自动终止，且不得通过召开基金份额持有人大会延续基金合同期限</w:t>
      </w:r>
      <w:r>
        <w:rPr>
          <w:lang w:eastAsia="zh-CN"/>
        </w:rPr>
        <w:t>。</w:t>
      </w:r>
      <w:r>
        <w:rPr>
          <w:lang w:eastAsia="zh-CN"/>
        </w:rPr>
        <w:t>”</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lang w:eastAsia="zh-CN"/>
        </w:rPr>
        <w:t>本基金基金合同生效日为</w:t>
      </w:r>
      <w:r>
        <w:rPr>
          <w:rFonts w:hint="eastAsia"/>
          <w:lang w:eastAsia="zh-CN"/>
        </w:rPr>
        <w:t>202</w:t>
      </w:r>
      <w:r>
        <w:rPr>
          <w:rFonts w:hint="eastAsia"/>
          <w:lang w:eastAsia="zh-CN"/>
        </w:rPr>
        <w:t>2</w:t>
      </w:r>
      <w:r>
        <w:rPr>
          <w:rFonts w:hint="eastAsia"/>
          <w:lang w:eastAsia="zh-CN"/>
        </w:rPr>
        <w:t>年</w:t>
      </w:r>
      <w:r>
        <w:rPr>
          <w:rFonts w:hint="eastAsia"/>
          <w:lang w:eastAsia="zh-CN"/>
        </w:rPr>
        <w:t>11</w:t>
      </w:r>
      <w:r>
        <w:rPr>
          <w:rFonts w:hint="eastAsia"/>
          <w:lang w:eastAsia="zh-CN"/>
        </w:rPr>
        <w:t>月</w:t>
      </w:r>
      <w:r>
        <w:rPr>
          <w:rFonts w:hint="eastAsia"/>
          <w:lang w:eastAsia="zh-CN"/>
        </w:rPr>
        <w:t>30</w:t>
      </w:r>
      <w:r>
        <w:rPr>
          <w:rFonts w:hint="eastAsia"/>
          <w:lang w:eastAsia="zh-CN"/>
        </w:rPr>
        <w:t>日</w:t>
      </w:r>
      <w:r>
        <w:rPr>
          <w:lang w:eastAsia="zh-CN"/>
        </w:rPr>
        <w:t>，基金合同生效之日起满</w:t>
      </w:r>
      <w:r>
        <w:rPr>
          <w:lang w:eastAsia="zh-CN"/>
        </w:rPr>
        <w:t>三年后的对应日为</w:t>
      </w:r>
      <w:r>
        <w:rPr>
          <w:lang w:eastAsia="zh-CN"/>
        </w:rPr>
        <w:t>202</w:t>
      </w:r>
      <w:r>
        <w:rPr>
          <w:rFonts w:hint="eastAsia"/>
          <w:lang w:eastAsia="zh-CN"/>
        </w:rPr>
        <w:t>5</w:t>
      </w:r>
      <w:r>
        <w:rPr>
          <w:lang w:eastAsia="zh-CN"/>
        </w:rPr>
        <w:t>年</w:t>
      </w:r>
      <w:r>
        <w:rPr>
          <w:rFonts w:hint="eastAsia"/>
          <w:lang w:eastAsia="zh-CN"/>
        </w:rPr>
        <w:t>11</w:t>
      </w:r>
      <w:r>
        <w:rPr>
          <w:lang w:eastAsia="zh-CN"/>
        </w:rPr>
        <w:t>月</w:t>
      </w:r>
      <w:r>
        <w:rPr>
          <w:rFonts w:hint="eastAsia"/>
          <w:lang w:eastAsia="zh-CN"/>
        </w:rPr>
        <w:t>30</w:t>
      </w:r>
      <w:r>
        <w:rPr>
          <w:lang w:eastAsia="zh-CN"/>
        </w:rPr>
        <w:t>日。截至</w:t>
      </w:r>
      <w:r>
        <w:rPr>
          <w:lang w:eastAsia="zh-CN"/>
        </w:rPr>
        <w:t>202</w:t>
      </w:r>
      <w:r>
        <w:rPr>
          <w:rFonts w:hint="eastAsia"/>
          <w:lang w:eastAsia="zh-CN"/>
        </w:rPr>
        <w:t>5</w:t>
      </w:r>
      <w:r>
        <w:rPr>
          <w:lang w:eastAsia="zh-CN"/>
        </w:rPr>
        <w:t>年</w:t>
      </w:r>
      <w:r>
        <w:rPr>
          <w:rFonts w:hint="eastAsia"/>
          <w:lang w:eastAsia="zh-CN"/>
        </w:rPr>
        <w:t>11</w:t>
      </w:r>
      <w:r>
        <w:rPr>
          <w:lang w:eastAsia="zh-CN"/>
        </w:rPr>
        <w:t>月</w:t>
      </w:r>
      <w:r>
        <w:rPr>
          <w:rFonts w:hint="eastAsia"/>
          <w:lang w:eastAsia="zh-CN"/>
        </w:rPr>
        <w:t>30</w:t>
      </w:r>
      <w:r>
        <w:rPr>
          <w:lang w:eastAsia="zh-CN"/>
        </w:rPr>
        <w:t>日日终，本基金的基金规模低于</w:t>
      </w:r>
      <w:r>
        <w:rPr>
          <w:rFonts w:hint="eastAsia"/>
          <w:lang w:eastAsia="zh-CN"/>
        </w:rPr>
        <w:t>两</w:t>
      </w:r>
      <w:r>
        <w:rPr>
          <w:lang w:eastAsia="zh-CN"/>
        </w:rPr>
        <w:t>亿元人民币，触发《基金合同》约定的</w:t>
      </w:r>
      <w:r>
        <w:rPr>
          <w:rFonts w:hint="eastAsia"/>
          <w:lang w:eastAsia="zh-CN"/>
        </w:rPr>
        <w:t>前述</w:t>
      </w:r>
      <w:r>
        <w:rPr>
          <w:lang w:eastAsia="zh-CN"/>
        </w:rPr>
        <w:t>终止</w:t>
      </w:r>
      <w:r>
        <w:rPr>
          <w:rFonts w:hint="eastAsia"/>
          <w:lang w:eastAsia="zh-CN"/>
        </w:rPr>
        <w:t>条件</w:t>
      </w:r>
      <w:r>
        <w:rPr>
          <w:lang w:eastAsia="zh-CN"/>
        </w:rPr>
        <w:t>，</w:t>
      </w:r>
      <w:r>
        <w:rPr>
          <w:rFonts w:hint="eastAsia"/>
          <w:lang w:eastAsia="zh-CN"/>
        </w:rPr>
        <w:t>因此本基金根据《基金合</w:t>
      </w:r>
      <w:r>
        <w:rPr>
          <w:rFonts w:hint="eastAsia"/>
          <w:lang w:eastAsia="zh-CN"/>
        </w:rPr>
        <w:lastRenderedPageBreak/>
        <w:t>同</w:t>
      </w:r>
      <w:r>
        <w:rPr>
          <w:lang w:eastAsia="zh-CN"/>
        </w:rPr>
        <w:t>》</w:t>
      </w:r>
      <w:r>
        <w:rPr>
          <w:rFonts w:hint="eastAsia"/>
          <w:lang w:eastAsia="zh-CN"/>
        </w:rPr>
        <w:t>约定进入基金财产清算程序，而不需召开基金份额持有人大会</w:t>
      </w:r>
      <w:r>
        <w:rPr>
          <w:lang w:eastAsia="zh-CN"/>
        </w:rPr>
        <w:t>。</w:t>
      </w:r>
    </w:p>
    <w:p w:rsidR="00B7282B" w:rsidRDefault="00A34AEE">
      <w:pPr>
        <w:pStyle w:val="a5"/>
        <w:numPr>
          <w:ilvl w:val="0"/>
          <w:numId w:val="1"/>
        </w:numPr>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基金财产的清算</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（一）基金财产清算安排</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1</w:t>
      </w:r>
      <w:r>
        <w:rPr>
          <w:rFonts w:hint="eastAsia"/>
          <w:lang w:eastAsia="zh-CN"/>
        </w:rPr>
        <w:t>、本基金最后一个运作日为</w:t>
      </w:r>
      <w:r>
        <w:rPr>
          <w:rFonts w:hint="eastAsia"/>
          <w:lang w:eastAsia="zh-CN"/>
        </w:rPr>
        <w:t>202</w:t>
      </w:r>
      <w:r>
        <w:rPr>
          <w:rFonts w:hint="eastAsia"/>
          <w:lang w:eastAsia="zh-CN"/>
        </w:rPr>
        <w:t>5</w:t>
      </w:r>
      <w:r>
        <w:rPr>
          <w:rFonts w:hint="eastAsia"/>
          <w:lang w:eastAsia="zh-CN"/>
        </w:rPr>
        <w:t>年</w:t>
      </w:r>
      <w:r>
        <w:rPr>
          <w:rFonts w:hint="eastAsia"/>
          <w:lang w:eastAsia="zh-CN"/>
        </w:rPr>
        <w:t>11</w:t>
      </w:r>
      <w:r>
        <w:rPr>
          <w:rFonts w:hint="eastAsia"/>
          <w:lang w:eastAsia="zh-CN"/>
        </w:rPr>
        <w:t>月</w:t>
      </w:r>
      <w:r>
        <w:rPr>
          <w:rFonts w:hint="eastAsia"/>
          <w:lang w:eastAsia="zh-CN"/>
        </w:rPr>
        <w:t>30</w:t>
      </w:r>
      <w:r>
        <w:rPr>
          <w:rFonts w:hint="eastAsia"/>
          <w:lang w:eastAsia="zh-CN"/>
        </w:rPr>
        <w:t>日，自</w:t>
      </w:r>
      <w:r>
        <w:rPr>
          <w:rFonts w:hint="eastAsia"/>
          <w:lang w:eastAsia="zh-CN"/>
        </w:rPr>
        <w:t>202</w:t>
      </w:r>
      <w:r>
        <w:rPr>
          <w:rFonts w:hint="eastAsia"/>
          <w:lang w:eastAsia="zh-CN"/>
        </w:rPr>
        <w:t>5</w:t>
      </w:r>
      <w:r>
        <w:rPr>
          <w:rFonts w:hint="eastAsia"/>
          <w:lang w:eastAsia="zh-CN"/>
        </w:rPr>
        <w:t>年</w:t>
      </w:r>
      <w:r>
        <w:rPr>
          <w:rFonts w:hint="eastAsia"/>
          <w:lang w:eastAsia="zh-CN"/>
        </w:rPr>
        <w:t>12</w:t>
      </w:r>
      <w:r>
        <w:rPr>
          <w:rFonts w:hint="eastAsia"/>
          <w:lang w:eastAsia="zh-CN"/>
        </w:rPr>
        <w:t>月</w:t>
      </w:r>
      <w:r>
        <w:rPr>
          <w:rFonts w:hint="eastAsia"/>
          <w:lang w:eastAsia="zh-CN"/>
        </w:rPr>
        <w:t>1</w:t>
      </w:r>
      <w:r>
        <w:rPr>
          <w:rFonts w:hint="eastAsia"/>
          <w:lang w:eastAsia="zh-CN"/>
        </w:rPr>
        <w:t>日（最后运作日的下一日）起进入清算程序，停止办理申购、赎回、</w:t>
      </w:r>
      <w:r>
        <w:rPr>
          <w:rFonts w:hint="eastAsia"/>
          <w:lang w:eastAsia="zh-CN"/>
        </w:rPr>
        <w:t>转换、</w:t>
      </w:r>
      <w:r>
        <w:rPr>
          <w:rFonts w:hint="eastAsia"/>
          <w:lang w:eastAsia="zh-CN"/>
        </w:rPr>
        <w:t>定期定额投资等业务，并且之后不再恢复。本基金进入清算程序后，停止收取基金管理费、基金托管费、</w:t>
      </w:r>
      <w:r>
        <w:rPr>
          <w:rFonts w:hint="eastAsia"/>
          <w:lang w:eastAsia="zh-CN"/>
        </w:rPr>
        <w:t>基金销售服务费</w:t>
      </w:r>
      <w:r>
        <w:rPr>
          <w:rFonts w:hint="eastAsia"/>
          <w:lang w:eastAsia="zh-CN"/>
        </w:rPr>
        <w:t>。</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2</w:t>
      </w:r>
      <w:r>
        <w:rPr>
          <w:rFonts w:hint="eastAsia"/>
          <w:lang w:eastAsia="zh-CN"/>
        </w:rPr>
        <w:t>、基金管理人组织基金财产清算小组并在中国证监会的监督下进行基金清算。基金财产清算小组成员由基金管理人、基金托管人、符合《中华人民共和国证券法》规定的注册会计师、律师以及中国证监会指定的人员组成。基金财产清算小组可以聘用必要的工作人员。</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3</w:t>
      </w:r>
      <w:r>
        <w:rPr>
          <w:rFonts w:hint="eastAsia"/>
          <w:lang w:eastAsia="zh-CN"/>
        </w:rPr>
        <w:t>、基金财产清算小组负责基金财产的保管、清理、估价、变现和分配。基金财产清算小组可以依法进行必要的民事活动。</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4</w:t>
      </w:r>
      <w:r>
        <w:rPr>
          <w:rFonts w:hint="eastAsia"/>
          <w:lang w:eastAsia="zh-CN"/>
        </w:rPr>
        <w:t>、基金财产清算程序：</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w:t>
      </w:r>
      <w:r>
        <w:rPr>
          <w:rFonts w:hint="eastAsia"/>
          <w:lang w:eastAsia="zh-CN"/>
        </w:rPr>
        <w:t>1</w:t>
      </w:r>
      <w:r>
        <w:rPr>
          <w:rFonts w:hint="eastAsia"/>
          <w:lang w:eastAsia="zh-CN"/>
        </w:rPr>
        <w:t>）《基金合同》终止情形出现时，由基金财产清算小组统一接管基金；</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w:t>
      </w:r>
      <w:r>
        <w:rPr>
          <w:rFonts w:hint="eastAsia"/>
          <w:lang w:eastAsia="zh-CN"/>
        </w:rPr>
        <w:t>2</w:t>
      </w:r>
      <w:r>
        <w:rPr>
          <w:rFonts w:hint="eastAsia"/>
          <w:lang w:eastAsia="zh-CN"/>
        </w:rPr>
        <w:t>）对基金财产和债权债务进行清理和确认；</w:t>
      </w:r>
    </w:p>
    <w:p w:rsidR="00B7282B" w:rsidRDefault="00A34AEE">
      <w:pPr>
        <w:pStyle w:val="a5"/>
        <w:numPr>
          <w:ilvl w:val="0"/>
          <w:numId w:val="2"/>
        </w:numPr>
        <w:overflowPunct w:val="0"/>
        <w:autoSpaceDE w:val="0"/>
        <w:autoSpaceDN w:val="0"/>
        <w:adjustRightInd w:val="0"/>
        <w:snapToGrid w:val="0"/>
        <w:spacing w:before="0" w:line="360" w:lineRule="auto"/>
        <w:ind w:left="0" w:firstLine="480"/>
        <w:jc w:val="both"/>
        <w:rPr>
          <w:lang w:eastAsia="zh-CN"/>
        </w:rPr>
      </w:pPr>
      <w:r>
        <w:rPr>
          <w:rFonts w:hint="eastAsia"/>
          <w:lang w:eastAsia="zh-CN"/>
        </w:rPr>
        <w:t>对基金财产进行估值和变现；</w:t>
      </w:r>
    </w:p>
    <w:p w:rsidR="00B7282B" w:rsidRDefault="00A34AEE">
      <w:pPr>
        <w:pStyle w:val="a5"/>
        <w:numPr>
          <w:ilvl w:val="0"/>
          <w:numId w:val="2"/>
        </w:numPr>
        <w:overflowPunct w:val="0"/>
        <w:autoSpaceDE w:val="0"/>
        <w:autoSpaceDN w:val="0"/>
        <w:adjustRightInd w:val="0"/>
        <w:snapToGrid w:val="0"/>
        <w:spacing w:before="0" w:line="360" w:lineRule="auto"/>
        <w:ind w:left="0" w:firstLine="480"/>
        <w:jc w:val="both"/>
        <w:rPr>
          <w:lang w:eastAsia="zh-CN"/>
        </w:rPr>
      </w:pPr>
      <w:r>
        <w:rPr>
          <w:rFonts w:hint="eastAsia"/>
          <w:lang w:eastAsia="zh-CN"/>
        </w:rPr>
        <w:t>制作清算报告；</w:t>
      </w:r>
    </w:p>
    <w:p w:rsidR="00B7282B" w:rsidRDefault="00A34AEE">
      <w:pPr>
        <w:pStyle w:val="a5"/>
        <w:numPr>
          <w:ilvl w:val="0"/>
          <w:numId w:val="2"/>
        </w:numPr>
        <w:overflowPunct w:val="0"/>
        <w:autoSpaceDE w:val="0"/>
        <w:autoSpaceDN w:val="0"/>
        <w:adjustRightInd w:val="0"/>
        <w:snapToGrid w:val="0"/>
        <w:spacing w:before="0" w:line="360" w:lineRule="auto"/>
        <w:ind w:left="0" w:firstLine="480"/>
        <w:jc w:val="both"/>
        <w:rPr>
          <w:lang w:eastAsia="zh-CN"/>
        </w:rPr>
      </w:pPr>
      <w:r>
        <w:rPr>
          <w:rFonts w:hint="eastAsia"/>
          <w:lang w:eastAsia="zh-CN"/>
        </w:rPr>
        <w:t>聘请会计师事务所对清算报告进行外部审计，聘请律师事务所对清算报告出具法律意见书；</w:t>
      </w:r>
    </w:p>
    <w:p w:rsidR="00B7282B" w:rsidRDefault="00A34AEE">
      <w:pPr>
        <w:pStyle w:val="a5"/>
        <w:numPr>
          <w:ilvl w:val="0"/>
          <w:numId w:val="2"/>
        </w:numPr>
        <w:overflowPunct w:val="0"/>
        <w:autoSpaceDE w:val="0"/>
        <w:autoSpaceDN w:val="0"/>
        <w:adjustRightInd w:val="0"/>
        <w:snapToGrid w:val="0"/>
        <w:spacing w:before="0" w:line="360" w:lineRule="auto"/>
        <w:ind w:left="0" w:firstLine="480"/>
        <w:jc w:val="both"/>
        <w:rPr>
          <w:lang w:eastAsia="zh-CN"/>
        </w:rPr>
      </w:pPr>
      <w:r>
        <w:rPr>
          <w:rFonts w:hint="eastAsia"/>
          <w:lang w:eastAsia="zh-CN"/>
        </w:rPr>
        <w:t>将清算报告报中国证监会备案并公告；</w:t>
      </w:r>
    </w:p>
    <w:p w:rsidR="00B7282B" w:rsidRDefault="00A34AEE">
      <w:pPr>
        <w:pStyle w:val="a5"/>
        <w:numPr>
          <w:ilvl w:val="0"/>
          <w:numId w:val="2"/>
        </w:numPr>
        <w:overflowPunct w:val="0"/>
        <w:autoSpaceDE w:val="0"/>
        <w:autoSpaceDN w:val="0"/>
        <w:adjustRightInd w:val="0"/>
        <w:snapToGrid w:val="0"/>
        <w:spacing w:before="0" w:line="360" w:lineRule="auto"/>
        <w:ind w:left="0" w:firstLine="480"/>
        <w:jc w:val="both"/>
        <w:rPr>
          <w:lang w:eastAsia="zh-CN"/>
        </w:rPr>
      </w:pPr>
      <w:r>
        <w:rPr>
          <w:rFonts w:hint="eastAsia"/>
          <w:lang w:eastAsia="zh-CN"/>
        </w:rPr>
        <w:t>对基金剩余财产进行分配。</w:t>
      </w:r>
    </w:p>
    <w:p w:rsidR="00B7282B" w:rsidRDefault="00A34AEE">
      <w:pPr>
        <w:pStyle w:val="a5"/>
        <w:numPr>
          <w:ilvl w:val="255"/>
          <w:numId w:val="0"/>
        </w:numPr>
        <w:overflowPunct w:val="0"/>
        <w:autoSpaceDE w:val="0"/>
        <w:autoSpaceDN w:val="0"/>
        <w:adjustRightInd w:val="0"/>
        <w:snapToGrid w:val="0"/>
        <w:spacing w:before="0" w:line="360" w:lineRule="auto"/>
        <w:jc w:val="both"/>
        <w:rPr>
          <w:lang w:eastAsia="zh-CN"/>
        </w:rPr>
      </w:pPr>
      <w:r>
        <w:rPr>
          <w:rFonts w:hint="eastAsia"/>
          <w:lang w:eastAsia="zh-CN"/>
        </w:rPr>
        <w:t xml:space="preserve">    5</w:t>
      </w:r>
      <w:r>
        <w:rPr>
          <w:rFonts w:hint="eastAsia"/>
          <w:lang w:eastAsia="zh-CN"/>
        </w:rPr>
        <w:t>、基金财产清算的期限为</w:t>
      </w:r>
      <w:r>
        <w:rPr>
          <w:rFonts w:hint="eastAsia"/>
          <w:lang w:eastAsia="zh-CN"/>
        </w:rPr>
        <w:t>6</w:t>
      </w:r>
      <w:r>
        <w:rPr>
          <w:rFonts w:hint="eastAsia"/>
          <w:lang w:eastAsia="zh-CN"/>
        </w:rPr>
        <w:t>个月，但因本基金所持证券的流动性受到限制而不能及时变现的，清算期限相应顺延。</w:t>
      </w:r>
    </w:p>
    <w:p w:rsidR="00B7282B" w:rsidRDefault="00A34AEE">
      <w:pPr>
        <w:pStyle w:val="a5"/>
        <w:numPr>
          <w:ilvl w:val="0"/>
          <w:numId w:val="3"/>
        </w:numPr>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清算费用</w:t>
      </w:r>
    </w:p>
    <w:p w:rsidR="00B7282B" w:rsidRDefault="00A34AEE">
      <w:pPr>
        <w:pStyle w:val="a5"/>
        <w:numPr>
          <w:ilvl w:val="255"/>
          <w:numId w:val="0"/>
        </w:numPr>
        <w:overflowPunct w:val="0"/>
        <w:autoSpaceDE w:val="0"/>
        <w:autoSpaceDN w:val="0"/>
        <w:adjustRightInd w:val="0"/>
        <w:snapToGrid w:val="0"/>
        <w:spacing w:before="0" w:line="360" w:lineRule="auto"/>
        <w:jc w:val="both"/>
        <w:rPr>
          <w:lang w:eastAsia="zh-CN"/>
        </w:rPr>
      </w:pPr>
      <w:r>
        <w:rPr>
          <w:rFonts w:hint="eastAsia"/>
          <w:lang w:eastAsia="zh-CN"/>
        </w:rPr>
        <w:t xml:space="preserve">    </w:t>
      </w:r>
      <w:r>
        <w:rPr>
          <w:rFonts w:hint="eastAsia"/>
          <w:lang w:eastAsia="zh-CN"/>
        </w:rPr>
        <w:t>清算费用是指基金财产清算小组在进行基金财产清算过程中发生的所有合理费用，清算费用由基金财产清算小组优先从基金财产中支付。</w:t>
      </w:r>
    </w:p>
    <w:p w:rsidR="00B7282B" w:rsidRDefault="00A34AEE">
      <w:pPr>
        <w:pStyle w:val="a5"/>
        <w:numPr>
          <w:ilvl w:val="0"/>
          <w:numId w:val="3"/>
        </w:numPr>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基金财产清算剩余资产的分配</w:t>
      </w:r>
    </w:p>
    <w:p w:rsidR="00B7282B" w:rsidRDefault="00A34AEE">
      <w:pPr>
        <w:pStyle w:val="a5"/>
        <w:numPr>
          <w:ilvl w:val="255"/>
          <w:numId w:val="0"/>
        </w:numPr>
        <w:overflowPunct w:val="0"/>
        <w:autoSpaceDE w:val="0"/>
        <w:autoSpaceDN w:val="0"/>
        <w:adjustRightInd w:val="0"/>
        <w:snapToGrid w:val="0"/>
        <w:spacing w:before="0" w:line="360" w:lineRule="auto"/>
        <w:jc w:val="both"/>
        <w:rPr>
          <w:lang w:eastAsia="zh-CN"/>
        </w:rPr>
      </w:pPr>
      <w:r>
        <w:rPr>
          <w:rFonts w:hint="eastAsia"/>
          <w:lang w:eastAsia="zh-CN"/>
        </w:rPr>
        <w:t xml:space="preserve">    </w:t>
      </w:r>
      <w:r>
        <w:rPr>
          <w:rFonts w:hint="eastAsia"/>
          <w:lang w:eastAsia="zh-CN"/>
        </w:rPr>
        <w:t>依据基金财产清算的分配方案，将基金财产清算后的全部剩余资产扣除基</w:t>
      </w:r>
      <w:r>
        <w:rPr>
          <w:rFonts w:hint="eastAsia"/>
          <w:lang w:eastAsia="zh-CN"/>
        </w:rPr>
        <w:t>金财产清算费用、交纳所欠税款并清偿基金债务后，按基金份额持有人持有的基金</w:t>
      </w:r>
      <w:r>
        <w:rPr>
          <w:rFonts w:hint="eastAsia"/>
          <w:lang w:eastAsia="zh-CN"/>
        </w:rPr>
        <w:lastRenderedPageBreak/>
        <w:t>份额比例进行分配。</w:t>
      </w:r>
    </w:p>
    <w:p w:rsidR="00B7282B" w:rsidRDefault="00A34AEE">
      <w:pPr>
        <w:pStyle w:val="a5"/>
        <w:numPr>
          <w:ilvl w:val="0"/>
          <w:numId w:val="3"/>
        </w:numPr>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基金财产清算的公告</w:t>
      </w:r>
    </w:p>
    <w:p w:rsidR="00B7282B" w:rsidRDefault="00A34AEE">
      <w:pPr>
        <w:pStyle w:val="a5"/>
        <w:numPr>
          <w:ilvl w:val="255"/>
          <w:numId w:val="0"/>
        </w:numPr>
        <w:overflowPunct w:val="0"/>
        <w:autoSpaceDE w:val="0"/>
        <w:autoSpaceDN w:val="0"/>
        <w:adjustRightInd w:val="0"/>
        <w:snapToGrid w:val="0"/>
        <w:spacing w:before="0" w:line="360" w:lineRule="auto"/>
        <w:ind w:left="120" w:firstLine="480"/>
        <w:jc w:val="both"/>
        <w:rPr>
          <w:lang w:eastAsia="zh-CN"/>
        </w:rPr>
      </w:pPr>
      <w:r>
        <w:rPr>
          <w:rFonts w:hint="eastAsia"/>
          <w:lang w:eastAsia="zh-CN"/>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hint="eastAsia"/>
          <w:lang w:eastAsia="zh-CN"/>
        </w:rPr>
        <w:t>5</w:t>
      </w:r>
      <w:r>
        <w:rPr>
          <w:rFonts w:hint="eastAsia"/>
          <w:lang w:eastAsia="zh-CN"/>
        </w:rPr>
        <w:t>个工作日内由基金财产清算小组进行公告，基金财产清算小组应当将清算报告登载在规定网站上，并将清算报告提示性公告登载在规定报刊上。</w:t>
      </w:r>
    </w:p>
    <w:p w:rsidR="00B7282B" w:rsidRDefault="00A34AEE">
      <w:pPr>
        <w:pStyle w:val="a5"/>
        <w:numPr>
          <w:ilvl w:val="0"/>
          <w:numId w:val="3"/>
        </w:numPr>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基金财产清算账册及文件的保存</w:t>
      </w:r>
    </w:p>
    <w:p w:rsidR="00B7282B" w:rsidRDefault="00A34AEE">
      <w:pPr>
        <w:pStyle w:val="a5"/>
        <w:numPr>
          <w:ilvl w:val="255"/>
          <w:numId w:val="0"/>
        </w:numPr>
        <w:overflowPunct w:val="0"/>
        <w:autoSpaceDE w:val="0"/>
        <w:autoSpaceDN w:val="0"/>
        <w:adjustRightInd w:val="0"/>
        <w:snapToGrid w:val="0"/>
        <w:spacing w:before="0" w:line="360" w:lineRule="auto"/>
        <w:jc w:val="both"/>
        <w:rPr>
          <w:lang w:eastAsia="zh-CN"/>
        </w:rPr>
      </w:pPr>
      <w:r>
        <w:rPr>
          <w:rFonts w:hint="eastAsia"/>
          <w:lang w:eastAsia="zh-CN"/>
        </w:rPr>
        <w:t xml:space="preserve">    </w:t>
      </w:r>
      <w:r>
        <w:rPr>
          <w:rFonts w:hint="eastAsia"/>
          <w:lang w:eastAsia="zh-CN"/>
        </w:rPr>
        <w:t>基金财产清算账册及有关文件由基金托管人保存，保存期限不低于法律法规规定的最低期限。</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四、基金财产清算中的事项说明</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（一）本基金进入清算程序后不再办理申购、赎回、</w:t>
      </w:r>
      <w:r>
        <w:rPr>
          <w:rFonts w:hint="eastAsia"/>
          <w:lang w:eastAsia="zh-CN"/>
        </w:rPr>
        <w:t>转换、</w:t>
      </w:r>
      <w:r>
        <w:rPr>
          <w:rFonts w:hint="eastAsia"/>
          <w:lang w:eastAsia="zh-CN"/>
        </w:rPr>
        <w:t>定期定额投资等业务，</w:t>
      </w:r>
      <w:r>
        <w:rPr>
          <w:rFonts w:hint="eastAsia"/>
          <w:lang w:eastAsia="zh-CN"/>
        </w:rPr>
        <w:t>即</w:t>
      </w:r>
      <w:r>
        <w:rPr>
          <w:rFonts w:hint="eastAsia"/>
          <w:lang w:eastAsia="zh-CN"/>
        </w:rPr>
        <w:t>本基金将自</w:t>
      </w:r>
      <w:r>
        <w:rPr>
          <w:rFonts w:hint="eastAsia"/>
          <w:lang w:eastAsia="zh-CN"/>
        </w:rPr>
        <w:t>202</w:t>
      </w:r>
      <w:r>
        <w:rPr>
          <w:rFonts w:hint="eastAsia"/>
          <w:lang w:eastAsia="zh-CN"/>
        </w:rPr>
        <w:t>5</w:t>
      </w:r>
      <w:r>
        <w:rPr>
          <w:rFonts w:hint="eastAsia"/>
          <w:lang w:eastAsia="zh-CN"/>
        </w:rPr>
        <w:t>年</w:t>
      </w:r>
      <w:r>
        <w:rPr>
          <w:rFonts w:hint="eastAsia"/>
          <w:lang w:eastAsia="zh-CN"/>
        </w:rPr>
        <w:t>12</w:t>
      </w:r>
      <w:r>
        <w:rPr>
          <w:rFonts w:hint="eastAsia"/>
          <w:lang w:eastAsia="zh-CN"/>
        </w:rPr>
        <w:t>月</w:t>
      </w:r>
      <w:r>
        <w:rPr>
          <w:rFonts w:hint="eastAsia"/>
          <w:lang w:eastAsia="zh-CN"/>
        </w:rPr>
        <w:t>1</w:t>
      </w:r>
      <w:r>
        <w:rPr>
          <w:rFonts w:hint="eastAsia"/>
          <w:lang w:eastAsia="zh-CN"/>
        </w:rPr>
        <w:t>日起不再办理申购、赎回、</w:t>
      </w:r>
      <w:r>
        <w:rPr>
          <w:rFonts w:hint="eastAsia"/>
          <w:lang w:eastAsia="zh-CN"/>
        </w:rPr>
        <w:t>转换、</w:t>
      </w:r>
      <w:r>
        <w:rPr>
          <w:rFonts w:hint="eastAsia"/>
          <w:lang w:eastAsia="zh-CN"/>
        </w:rPr>
        <w:t>定期定额投资等业务，并且之后不再恢复。</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（二）停牌证券或其他无法及时变现证券</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如清算期内仍有持仓证券停牌或其他无法及时变现的证券，则本基金可能需要进行多次清算。停牌证券或其他无法及时变现的证券的恢复流通时间具有一定的不确定性，且锁定期内价格波动亦存在不确定性</w:t>
      </w:r>
      <w:r>
        <w:rPr>
          <w:rFonts w:hint="eastAsia"/>
          <w:lang w:eastAsia="zh-CN"/>
        </w:rPr>
        <w:t>，故投资者存在无法及时获得清算款，或获得的清算款远低于最后运作日基金份额净值的风险。</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（三）结算备付金、保证金及应收利息</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为了提高清算效率，基金管理人可以使用自有资金先行垫付最低结算备付金和交易席位保证金，以及清算期间产生的应收利息等，该垫付资金及垫付资金到账日起孳生的利息将于收回款项、结息后返还给基金管理人。</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五、特别提示</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1</w:t>
      </w:r>
      <w:r>
        <w:rPr>
          <w:rFonts w:hint="eastAsia"/>
          <w:lang w:eastAsia="zh-CN"/>
        </w:rPr>
        <w:t>、为降低对投资者的影响，本基金已自</w:t>
      </w:r>
      <w:r>
        <w:rPr>
          <w:lang w:eastAsia="zh-CN"/>
        </w:rPr>
        <w:t>202</w:t>
      </w:r>
      <w:r>
        <w:rPr>
          <w:rFonts w:hint="eastAsia"/>
          <w:lang w:eastAsia="zh-CN"/>
        </w:rPr>
        <w:t>5</w:t>
      </w:r>
      <w:r>
        <w:rPr>
          <w:lang w:eastAsia="zh-CN"/>
        </w:rPr>
        <w:t>年</w:t>
      </w:r>
      <w:r>
        <w:rPr>
          <w:rFonts w:hint="eastAsia"/>
          <w:lang w:eastAsia="zh-CN"/>
        </w:rPr>
        <w:t>11</w:t>
      </w:r>
      <w:r>
        <w:rPr>
          <w:rFonts w:hint="eastAsia"/>
          <w:lang w:eastAsia="zh-CN"/>
        </w:rPr>
        <w:t>月</w:t>
      </w:r>
      <w:r>
        <w:rPr>
          <w:rFonts w:hint="eastAsia"/>
          <w:lang w:eastAsia="zh-CN"/>
        </w:rPr>
        <w:t>14</w:t>
      </w:r>
      <w:r>
        <w:rPr>
          <w:rFonts w:hint="eastAsia"/>
          <w:lang w:eastAsia="zh-CN"/>
        </w:rPr>
        <w:t>日起暂停办理申购（</w:t>
      </w:r>
      <w:r>
        <w:rPr>
          <w:rFonts w:hint="eastAsia"/>
          <w:lang w:eastAsia="zh-CN"/>
        </w:rPr>
        <w:t>含转换转入、</w:t>
      </w:r>
      <w:r>
        <w:rPr>
          <w:rFonts w:hint="eastAsia"/>
          <w:lang w:eastAsia="zh-CN"/>
        </w:rPr>
        <w:t>定期定额投资）业务。本基金进入清算程序后不再开放办理申购、赎回、</w:t>
      </w:r>
      <w:r>
        <w:rPr>
          <w:rFonts w:hint="eastAsia"/>
          <w:lang w:eastAsia="zh-CN"/>
        </w:rPr>
        <w:t>转换、</w:t>
      </w:r>
      <w:r>
        <w:rPr>
          <w:rFonts w:hint="eastAsia"/>
          <w:lang w:eastAsia="zh-CN"/>
        </w:rPr>
        <w:t>定期定额投资等业务。敬请投资者予以关注。本公司承诺在清算过程中以诚实信用、勤勉尽责的原则履行相关职责。</w:t>
      </w:r>
    </w:p>
    <w:p w:rsidR="00B7282B" w:rsidRDefault="00A34AEE">
      <w:pPr>
        <w:pStyle w:val="a5"/>
        <w:numPr>
          <w:ilvl w:val="255"/>
          <w:numId w:val="0"/>
        </w:numPr>
        <w:overflowPunct w:val="0"/>
        <w:autoSpaceDE w:val="0"/>
        <w:autoSpaceDN w:val="0"/>
        <w:adjustRightInd w:val="0"/>
        <w:snapToGrid w:val="0"/>
        <w:spacing w:before="0" w:line="360" w:lineRule="auto"/>
        <w:ind w:firstLine="480"/>
        <w:jc w:val="both"/>
        <w:rPr>
          <w:lang w:eastAsia="zh-CN"/>
        </w:rPr>
      </w:pPr>
      <w:r>
        <w:rPr>
          <w:rFonts w:hint="eastAsia"/>
          <w:lang w:eastAsia="zh-CN"/>
        </w:rPr>
        <w:t>2</w:t>
      </w:r>
      <w:r>
        <w:rPr>
          <w:rFonts w:hint="eastAsia"/>
          <w:lang w:eastAsia="zh-CN"/>
        </w:rPr>
        <w:t>、敬请投资者关注基金清算的相关后续公告。</w:t>
      </w: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rPr>
          <w:rFonts w:hint="eastAsia"/>
          <w:lang w:eastAsia="zh-CN"/>
        </w:rPr>
        <w:t>3</w:t>
      </w:r>
      <w:r>
        <w:rPr>
          <w:rFonts w:hint="eastAsia"/>
          <w:lang w:eastAsia="zh-CN"/>
        </w:rPr>
        <w:t>、投资者可以登陆中加基金管理有限公司网站（</w:t>
      </w:r>
      <w:r>
        <w:rPr>
          <w:rFonts w:hint="eastAsia"/>
          <w:lang w:eastAsia="zh-CN"/>
        </w:rPr>
        <w:t>www.bobbns.com</w:t>
      </w:r>
      <w:r>
        <w:rPr>
          <w:rFonts w:hint="eastAsia"/>
          <w:lang w:eastAsia="zh-CN"/>
        </w:rPr>
        <w:t>）和中国证监会基金电子披露网站（</w:t>
      </w:r>
      <w:r>
        <w:rPr>
          <w:rFonts w:hint="eastAsia"/>
          <w:lang w:eastAsia="zh-CN"/>
        </w:rPr>
        <w:t>http://eid.csrc.gov.cn/fund</w:t>
      </w:r>
      <w:r>
        <w:rPr>
          <w:rFonts w:hint="eastAsia"/>
          <w:lang w:eastAsia="zh-CN"/>
        </w:rPr>
        <w:t>）或拨打中加基金管理有限公司全国统一客户服务号码</w:t>
      </w:r>
      <w:r>
        <w:rPr>
          <w:rFonts w:hint="eastAsia"/>
          <w:lang w:eastAsia="zh-CN"/>
        </w:rPr>
        <w:t>400-00-95526</w:t>
      </w:r>
      <w:r>
        <w:rPr>
          <w:rFonts w:hint="eastAsia"/>
          <w:lang w:eastAsia="zh-CN"/>
        </w:rPr>
        <w:t>（免长途话费）咨询相关情况。</w:t>
      </w:r>
    </w:p>
    <w:p w:rsidR="00B7282B" w:rsidRDefault="00B7282B">
      <w:pPr>
        <w:pStyle w:val="a5"/>
        <w:overflowPunct w:val="0"/>
        <w:autoSpaceDE w:val="0"/>
        <w:autoSpaceDN w:val="0"/>
        <w:adjustRightInd w:val="0"/>
        <w:snapToGrid w:val="0"/>
        <w:spacing w:before="0" w:line="360" w:lineRule="auto"/>
        <w:ind w:left="0" w:firstLineChars="200" w:firstLine="480"/>
        <w:jc w:val="both"/>
        <w:rPr>
          <w:lang w:eastAsia="zh-CN"/>
        </w:rPr>
      </w:pPr>
    </w:p>
    <w:p w:rsidR="00B7282B" w:rsidRDefault="00A34AEE">
      <w:pPr>
        <w:pStyle w:val="a5"/>
        <w:overflowPunct w:val="0"/>
        <w:autoSpaceDE w:val="0"/>
        <w:autoSpaceDN w:val="0"/>
        <w:adjustRightInd w:val="0"/>
        <w:snapToGrid w:val="0"/>
        <w:spacing w:before="0" w:line="360" w:lineRule="auto"/>
        <w:ind w:left="0" w:firstLineChars="200" w:firstLine="480"/>
        <w:jc w:val="both"/>
        <w:rPr>
          <w:lang w:eastAsia="zh-CN"/>
        </w:rPr>
      </w:pPr>
      <w:r>
        <w:t>特此公告。</w:t>
      </w:r>
    </w:p>
    <w:p w:rsidR="00B7282B" w:rsidRDefault="00B7282B">
      <w:pPr>
        <w:pStyle w:val="a5"/>
        <w:overflowPunct w:val="0"/>
        <w:autoSpaceDE w:val="0"/>
        <w:autoSpaceDN w:val="0"/>
        <w:adjustRightInd w:val="0"/>
        <w:snapToGrid w:val="0"/>
        <w:spacing w:before="0" w:line="360" w:lineRule="auto"/>
        <w:ind w:left="0" w:firstLineChars="200" w:firstLine="480"/>
        <w:jc w:val="both"/>
        <w:rPr>
          <w:lang w:eastAsia="zh-CN"/>
        </w:rPr>
      </w:pPr>
    </w:p>
    <w:p w:rsidR="00B7282B" w:rsidRDefault="00A34AEE">
      <w:pPr>
        <w:pStyle w:val="a5"/>
        <w:overflowPunct w:val="0"/>
        <w:autoSpaceDE w:val="0"/>
        <w:autoSpaceDN w:val="0"/>
        <w:adjustRightInd w:val="0"/>
        <w:snapToGrid w:val="0"/>
        <w:spacing w:before="0" w:line="360" w:lineRule="auto"/>
        <w:ind w:left="0" w:firstLineChars="200" w:firstLine="480"/>
        <w:jc w:val="right"/>
        <w:rPr>
          <w:lang w:eastAsia="zh-CN"/>
        </w:rPr>
      </w:pPr>
      <w:r>
        <w:t>中加基金管理有限公司</w:t>
      </w:r>
    </w:p>
    <w:p w:rsidR="00B7282B" w:rsidRDefault="00A34AEE">
      <w:pPr>
        <w:pStyle w:val="a5"/>
        <w:overflowPunct w:val="0"/>
        <w:autoSpaceDE w:val="0"/>
        <w:autoSpaceDN w:val="0"/>
        <w:adjustRightInd w:val="0"/>
        <w:snapToGrid w:val="0"/>
        <w:spacing w:before="0" w:line="360" w:lineRule="auto"/>
        <w:ind w:left="0" w:firstLineChars="200" w:firstLine="480"/>
        <w:jc w:val="right"/>
        <w:rPr>
          <w:sz w:val="21"/>
          <w:szCs w:val="21"/>
          <w:lang w:eastAsia="zh-CN"/>
        </w:rPr>
      </w:pPr>
      <w:r>
        <w:t>202</w:t>
      </w:r>
      <w:r>
        <w:rPr>
          <w:rFonts w:hint="eastAsia"/>
          <w:lang w:eastAsia="zh-CN"/>
        </w:rPr>
        <w:t>5</w:t>
      </w:r>
      <w:r>
        <w:t>年</w:t>
      </w:r>
      <w:r>
        <w:rPr>
          <w:rFonts w:hint="eastAsia"/>
          <w:lang w:eastAsia="zh-CN"/>
        </w:rPr>
        <w:t>12</w:t>
      </w:r>
      <w:r>
        <w:t>月</w:t>
      </w:r>
      <w:r>
        <w:rPr>
          <w:rFonts w:hint="eastAsia"/>
          <w:lang w:eastAsia="zh-CN"/>
        </w:rPr>
        <w:t>1</w:t>
      </w:r>
      <w:r>
        <w:rPr>
          <w:rFonts w:hint="eastAsia"/>
          <w:lang w:eastAsia="zh-CN"/>
        </w:rPr>
        <w:t>日</w:t>
      </w:r>
    </w:p>
    <w:sectPr w:rsidR="00B7282B" w:rsidSect="00B728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B501F0"/>
    <w:multiLevelType w:val="singleLevel"/>
    <w:tmpl w:val="64B501F0"/>
    <w:lvl w:ilvl="0">
      <w:start w:val="3"/>
      <w:numFmt w:val="chineseCounting"/>
      <w:suff w:val="nothing"/>
      <w:lvlText w:val="%1、"/>
      <w:lvlJc w:val="left"/>
    </w:lvl>
  </w:abstractNum>
  <w:abstractNum w:abstractNumId="1">
    <w:nsid w:val="64B5F535"/>
    <w:multiLevelType w:val="singleLevel"/>
    <w:tmpl w:val="64B5F535"/>
    <w:lvl w:ilvl="0">
      <w:start w:val="3"/>
      <w:numFmt w:val="decimal"/>
      <w:suff w:val="nothing"/>
      <w:lvlText w:val="（%1）"/>
      <w:lvlJc w:val="left"/>
    </w:lvl>
  </w:abstractNum>
  <w:abstractNum w:abstractNumId="2">
    <w:nsid w:val="64B5F60F"/>
    <w:multiLevelType w:val="singleLevel"/>
    <w:tmpl w:val="64B5F60F"/>
    <w:lvl w:ilvl="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D3C57"/>
    <w:rsid w:val="0001759B"/>
    <w:rsid w:val="000177ED"/>
    <w:rsid w:val="00044E89"/>
    <w:rsid w:val="0007591F"/>
    <w:rsid w:val="000C401F"/>
    <w:rsid w:val="000D3720"/>
    <w:rsid w:val="000D5358"/>
    <w:rsid w:val="0014074C"/>
    <w:rsid w:val="00143171"/>
    <w:rsid w:val="001B5872"/>
    <w:rsid w:val="001D4B42"/>
    <w:rsid w:val="001E62C7"/>
    <w:rsid w:val="001F27D6"/>
    <w:rsid w:val="00246EAB"/>
    <w:rsid w:val="0025307A"/>
    <w:rsid w:val="00273BAD"/>
    <w:rsid w:val="002F4E3D"/>
    <w:rsid w:val="00306B99"/>
    <w:rsid w:val="00327EB6"/>
    <w:rsid w:val="003339A6"/>
    <w:rsid w:val="003675B0"/>
    <w:rsid w:val="00382691"/>
    <w:rsid w:val="00385314"/>
    <w:rsid w:val="003B3DB7"/>
    <w:rsid w:val="003F5764"/>
    <w:rsid w:val="0040062F"/>
    <w:rsid w:val="00474C11"/>
    <w:rsid w:val="00481F3B"/>
    <w:rsid w:val="004823D0"/>
    <w:rsid w:val="004977B2"/>
    <w:rsid w:val="004B2934"/>
    <w:rsid w:val="004E40B0"/>
    <w:rsid w:val="00517A1C"/>
    <w:rsid w:val="00537948"/>
    <w:rsid w:val="005F40A9"/>
    <w:rsid w:val="00616CD7"/>
    <w:rsid w:val="00622A06"/>
    <w:rsid w:val="006413E9"/>
    <w:rsid w:val="00651EE3"/>
    <w:rsid w:val="006A2B93"/>
    <w:rsid w:val="006A6F75"/>
    <w:rsid w:val="006C5140"/>
    <w:rsid w:val="0071177B"/>
    <w:rsid w:val="00727B63"/>
    <w:rsid w:val="00747823"/>
    <w:rsid w:val="00763F80"/>
    <w:rsid w:val="007A0FCB"/>
    <w:rsid w:val="007F23AC"/>
    <w:rsid w:val="00817CF7"/>
    <w:rsid w:val="0082785C"/>
    <w:rsid w:val="008365AD"/>
    <w:rsid w:val="00874734"/>
    <w:rsid w:val="008E3471"/>
    <w:rsid w:val="008F0911"/>
    <w:rsid w:val="00963E3B"/>
    <w:rsid w:val="00965D7A"/>
    <w:rsid w:val="009803C5"/>
    <w:rsid w:val="009B77A1"/>
    <w:rsid w:val="009F4C69"/>
    <w:rsid w:val="00A001F1"/>
    <w:rsid w:val="00A078C9"/>
    <w:rsid w:val="00A23828"/>
    <w:rsid w:val="00A34AEE"/>
    <w:rsid w:val="00AB6CAE"/>
    <w:rsid w:val="00AD2531"/>
    <w:rsid w:val="00AF39BF"/>
    <w:rsid w:val="00B216DD"/>
    <w:rsid w:val="00B63739"/>
    <w:rsid w:val="00B7282B"/>
    <w:rsid w:val="00B73009"/>
    <w:rsid w:val="00BA1798"/>
    <w:rsid w:val="00BC08D2"/>
    <w:rsid w:val="00BD1CA4"/>
    <w:rsid w:val="00BD5028"/>
    <w:rsid w:val="00BD6659"/>
    <w:rsid w:val="00BE14F6"/>
    <w:rsid w:val="00BE560B"/>
    <w:rsid w:val="00C07837"/>
    <w:rsid w:val="00C23AA6"/>
    <w:rsid w:val="00C33F47"/>
    <w:rsid w:val="00C719D9"/>
    <w:rsid w:val="00C94484"/>
    <w:rsid w:val="00CC541F"/>
    <w:rsid w:val="00CC6403"/>
    <w:rsid w:val="00CF1D33"/>
    <w:rsid w:val="00D15A99"/>
    <w:rsid w:val="00D41761"/>
    <w:rsid w:val="00D707BF"/>
    <w:rsid w:val="00D708EC"/>
    <w:rsid w:val="00D71506"/>
    <w:rsid w:val="00D74601"/>
    <w:rsid w:val="00DE2143"/>
    <w:rsid w:val="00DF63CE"/>
    <w:rsid w:val="00E342EA"/>
    <w:rsid w:val="00EA2CEE"/>
    <w:rsid w:val="00EB2184"/>
    <w:rsid w:val="00ED3C57"/>
    <w:rsid w:val="00EE0A0B"/>
    <w:rsid w:val="00F15EBE"/>
    <w:rsid w:val="00F30A9D"/>
    <w:rsid w:val="00F72E61"/>
    <w:rsid w:val="00FD1ED5"/>
    <w:rsid w:val="00FD5608"/>
    <w:rsid w:val="00FD690E"/>
    <w:rsid w:val="00FE77CB"/>
    <w:rsid w:val="05400DF5"/>
    <w:rsid w:val="065A0203"/>
    <w:rsid w:val="0A5120EF"/>
    <w:rsid w:val="0B867103"/>
    <w:rsid w:val="0F842DD5"/>
    <w:rsid w:val="10BA4D6A"/>
    <w:rsid w:val="131A41CA"/>
    <w:rsid w:val="188B67E3"/>
    <w:rsid w:val="20234F0A"/>
    <w:rsid w:val="26911B68"/>
    <w:rsid w:val="31163623"/>
    <w:rsid w:val="386B6491"/>
    <w:rsid w:val="3A45767D"/>
    <w:rsid w:val="3A912076"/>
    <w:rsid w:val="3D663947"/>
    <w:rsid w:val="3D6814DF"/>
    <w:rsid w:val="40364AE3"/>
    <w:rsid w:val="40E70072"/>
    <w:rsid w:val="4B0A3338"/>
    <w:rsid w:val="50DB614B"/>
    <w:rsid w:val="536F547E"/>
    <w:rsid w:val="553B267B"/>
    <w:rsid w:val="559A0A58"/>
    <w:rsid w:val="57C75B8C"/>
    <w:rsid w:val="5A016BDD"/>
    <w:rsid w:val="5C05170D"/>
    <w:rsid w:val="5E56373F"/>
    <w:rsid w:val="5F205EAF"/>
    <w:rsid w:val="5FB92A67"/>
    <w:rsid w:val="670638CE"/>
    <w:rsid w:val="719C7184"/>
    <w:rsid w:val="725E3688"/>
    <w:rsid w:val="73595473"/>
    <w:rsid w:val="74A27D4E"/>
    <w:rsid w:val="767C2998"/>
    <w:rsid w:val="7A593959"/>
    <w:rsid w:val="7A647BE3"/>
    <w:rsid w:val="7ACE10FE"/>
    <w:rsid w:val="7F1821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7282B"/>
    <w:pPr>
      <w:widowControl w:val="0"/>
    </w:pPr>
    <w:rPr>
      <w:rFonts w:ascii="Calibri" w:eastAsia="宋体"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7282B"/>
    <w:rPr>
      <w:b/>
      <w:bCs/>
    </w:rPr>
  </w:style>
  <w:style w:type="paragraph" w:styleId="a4">
    <w:name w:val="annotation text"/>
    <w:basedOn w:val="a"/>
    <w:link w:val="Char0"/>
    <w:uiPriority w:val="99"/>
    <w:unhideWhenUsed/>
    <w:qFormat/>
    <w:rsid w:val="00B7282B"/>
  </w:style>
  <w:style w:type="paragraph" w:styleId="a5">
    <w:name w:val="Body Text"/>
    <w:basedOn w:val="a"/>
    <w:link w:val="Char1"/>
    <w:qFormat/>
    <w:rsid w:val="00B7282B"/>
    <w:pPr>
      <w:spacing w:before="135"/>
      <w:ind w:left="120"/>
    </w:pPr>
    <w:rPr>
      <w:rFonts w:ascii="宋体" w:hAnsi="宋体"/>
      <w:sz w:val="24"/>
      <w:szCs w:val="24"/>
    </w:rPr>
  </w:style>
  <w:style w:type="paragraph" w:styleId="a6">
    <w:name w:val="Balloon Text"/>
    <w:basedOn w:val="a"/>
    <w:link w:val="Char2"/>
    <w:uiPriority w:val="99"/>
    <w:unhideWhenUsed/>
    <w:qFormat/>
    <w:rsid w:val="00B7282B"/>
    <w:rPr>
      <w:sz w:val="18"/>
      <w:szCs w:val="18"/>
    </w:rPr>
  </w:style>
  <w:style w:type="paragraph" w:styleId="a7">
    <w:name w:val="footer"/>
    <w:basedOn w:val="a"/>
    <w:link w:val="Char3"/>
    <w:uiPriority w:val="99"/>
    <w:unhideWhenUsed/>
    <w:qFormat/>
    <w:rsid w:val="00B7282B"/>
    <w:pPr>
      <w:tabs>
        <w:tab w:val="center" w:pos="4153"/>
        <w:tab w:val="right" w:pos="8306"/>
      </w:tabs>
      <w:snapToGrid w:val="0"/>
    </w:pPr>
    <w:rPr>
      <w:rFonts w:asciiTheme="minorHAnsi" w:eastAsiaTheme="minorEastAsia" w:hAnsiTheme="minorHAnsi" w:cstheme="minorBidi"/>
      <w:kern w:val="2"/>
      <w:sz w:val="18"/>
      <w:szCs w:val="18"/>
      <w:lang w:eastAsia="zh-CN"/>
    </w:rPr>
  </w:style>
  <w:style w:type="paragraph" w:styleId="a8">
    <w:name w:val="header"/>
    <w:basedOn w:val="a"/>
    <w:link w:val="Char4"/>
    <w:uiPriority w:val="99"/>
    <w:unhideWhenUsed/>
    <w:qFormat/>
    <w:rsid w:val="00B7282B"/>
    <w:pPr>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styleId="a9">
    <w:name w:val="FollowedHyperlink"/>
    <w:basedOn w:val="a0"/>
    <w:uiPriority w:val="99"/>
    <w:unhideWhenUsed/>
    <w:qFormat/>
    <w:rsid w:val="00B7282B"/>
    <w:rPr>
      <w:color w:val="800080" w:themeColor="followedHyperlink"/>
      <w:u w:val="single"/>
    </w:rPr>
  </w:style>
  <w:style w:type="character" w:styleId="aa">
    <w:name w:val="Hyperlink"/>
    <w:basedOn w:val="a0"/>
    <w:uiPriority w:val="99"/>
    <w:unhideWhenUsed/>
    <w:qFormat/>
    <w:rsid w:val="00B7282B"/>
    <w:rPr>
      <w:color w:val="0000FF" w:themeColor="hyperlink"/>
      <w:u w:val="single"/>
    </w:rPr>
  </w:style>
  <w:style w:type="character" w:styleId="ab">
    <w:name w:val="annotation reference"/>
    <w:basedOn w:val="a0"/>
    <w:uiPriority w:val="99"/>
    <w:unhideWhenUsed/>
    <w:qFormat/>
    <w:rsid w:val="00B7282B"/>
    <w:rPr>
      <w:sz w:val="21"/>
      <w:szCs w:val="21"/>
    </w:rPr>
  </w:style>
  <w:style w:type="character" w:customStyle="1" w:styleId="Char4">
    <w:name w:val="页眉 Char"/>
    <w:basedOn w:val="a0"/>
    <w:link w:val="a8"/>
    <w:uiPriority w:val="99"/>
    <w:qFormat/>
    <w:rsid w:val="00B7282B"/>
    <w:rPr>
      <w:sz w:val="18"/>
      <w:szCs w:val="18"/>
    </w:rPr>
  </w:style>
  <w:style w:type="character" w:customStyle="1" w:styleId="Char3">
    <w:name w:val="页脚 Char"/>
    <w:basedOn w:val="a0"/>
    <w:link w:val="a7"/>
    <w:uiPriority w:val="99"/>
    <w:qFormat/>
    <w:rsid w:val="00B7282B"/>
    <w:rPr>
      <w:sz w:val="18"/>
      <w:szCs w:val="18"/>
    </w:rPr>
  </w:style>
  <w:style w:type="character" w:customStyle="1" w:styleId="Char1">
    <w:name w:val="正文文本 Char"/>
    <w:basedOn w:val="a0"/>
    <w:link w:val="a5"/>
    <w:qFormat/>
    <w:rsid w:val="00B7282B"/>
    <w:rPr>
      <w:rFonts w:ascii="宋体" w:eastAsia="宋体" w:hAnsi="宋体" w:cs="Times New Roman"/>
      <w:kern w:val="0"/>
      <w:sz w:val="24"/>
      <w:szCs w:val="24"/>
    </w:rPr>
  </w:style>
  <w:style w:type="paragraph" w:customStyle="1" w:styleId="11">
    <w:name w:val="标题 11"/>
    <w:basedOn w:val="a"/>
    <w:uiPriority w:val="1"/>
    <w:qFormat/>
    <w:rsid w:val="00B7282B"/>
    <w:pPr>
      <w:ind w:left="602"/>
      <w:outlineLvl w:val="1"/>
    </w:pPr>
    <w:rPr>
      <w:rFonts w:ascii="宋体" w:hAnsi="宋体"/>
      <w:b/>
      <w:bCs/>
      <w:sz w:val="24"/>
      <w:szCs w:val="24"/>
    </w:rPr>
  </w:style>
  <w:style w:type="character" w:customStyle="1" w:styleId="Char0">
    <w:name w:val="批注文字 Char"/>
    <w:basedOn w:val="a0"/>
    <w:link w:val="a4"/>
    <w:uiPriority w:val="99"/>
    <w:semiHidden/>
    <w:qFormat/>
    <w:rsid w:val="00B7282B"/>
    <w:rPr>
      <w:rFonts w:ascii="Calibri" w:eastAsia="宋体" w:hAnsi="Calibri" w:cs="Times New Roman"/>
      <w:kern w:val="0"/>
      <w:sz w:val="22"/>
      <w:lang w:eastAsia="en-US"/>
    </w:rPr>
  </w:style>
  <w:style w:type="character" w:customStyle="1" w:styleId="Char">
    <w:name w:val="批注主题 Char"/>
    <w:basedOn w:val="Char0"/>
    <w:link w:val="a3"/>
    <w:uiPriority w:val="99"/>
    <w:semiHidden/>
    <w:qFormat/>
    <w:rsid w:val="00B7282B"/>
    <w:rPr>
      <w:rFonts w:ascii="Calibri" w:eastAsia="宋体" w:hAnsi="Calibri" w:cs="Times New Roman"/>
      <w:b/>
      <w:bCs/>
      <w:kern w:val="0"/>
      <w:sz w:val="22"/>
      <w:lang w:eastAsia="en-US"/>
    </w:rPr>
  </w:style>
  <w:style w:type="character" w:customStyle="1" w:styleId="Char2">
    <w:name w:val="批注框文本 Char"/>
    <w:basedOn w:val="a0"/>
    <w:link w:val="a6"/>
    <w:uiPriority w:val="99"/>
    <w:semiHidden/>
    <w:qFormat/>
    <w:rsid w:val="00B7282B"/>
    <w:rPr>
      <w:rFonts w:ascii="Calibri" w:eastAsia="宋体" w:hAnsi="Calibri" w:cs="Times New Roman"/>
      <w:kern w:val="0"/>
      <w:sz w:val="18"/>
      <w:szCs w:val="18"/>
      <w:lang w:eastAsia="en-US"/>
    </w:rPr>
  </w:style>
  <w:style w:type="character" w:customStyle="1" w:styleId="UnresolvedMention">
    <w:name w:val="Unresolved Mention"/>
    <w:basedOn w:val="a0"/>
    <w:uiPriority w:val="99"/>
    <w:unhideWhenUsed/>
    <w:qFormat/>
    <w:rsid w:val="00B7282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de5656ed-408c-49ee-9911-98a8b0d2328d</errorID>
      <errorWord>基金基金</errorWord>
      <group>L1_Word</group>
      <groupName>字词问题</groupName>
      <ability>L2_Typo</ability>
      <abilityName>字词错误</abilityName>
      <candidateList>
        <item>基金</item>
      </candidateList>
      <explain/>
      <paraID>53B2F041</paraID>
      <start>1</start>
      <end>5</end>
      <status>unmodified</status>
      <modifiedWord/>
      <trackRevisions>false</trackRevisions>
    </reviewItem>
    <reviewItem>
      <errorID>8d609d89-9a70-4915-b151-f8e8da116f99</errorID>
      <errorWord>2025年11月30日日</errorWord>
      <group>L1_Knowledge</group>
      <groupName>知识性问题</groupName>
      <ability>L2_Time</ability>
      <abilityName>日期时间</abilityName>
      <candidateList/>
      <explain>汉字重复。</explain>
      <paraID>53B2F041</paraID>
      <start>55</start>
      <end>67</end>
      <status>unmodified</status>
      <modifiedWord/>
      <trackRevisions>false</trackRevisions>
    </reviewItem>
    <reviewItem>
      <errorID>5128a8db-5501-4f50-b242-ee4b663d9bc3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5D3F7F58</paraID>
      <start>0</start>
      <end>2</end>
      <status>unmodified</status>
      <modifiedWord/>
      <trackRevisions>false</trackRevisions>
    </reviewItem>
    <reviewItem>
      <errorID>c1127228-ab0b-4f6e-98d9-01fb8a15a4f4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63DF59A2</paraID>
      <start>0</start>
      <end>2</end>
      <status>unmodified</status>
      <modifiedWord/>
      <trackRevisions>false</trackRevisions>
    </reviewItem>
    <reviewItem>
      <errorID>da1509d1-d5ac-41b3-9243-53248b8de324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67A7009C</paraID>
      <start>0</start>
      <end>2</end>
      <status>unmodified</status>
      <modifiedWord/>
      <trackRevisions>false</trackRevisions>
    </reviewItem>
    <reviewItem>
      <errorID>af87c382-adc5-4149-9a85-69290cb36318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52C46133</paraID>
      <start>0</start>
      <end>2</end>
      <status>unmodified</status>
      <modifiedWord/>
      <trackRevisions>false</trackRevisions>
    </reviewItem>
    <reviewItem>
      <errorID>799dc18a-b7e4-4ebd-a8ba-9424d68bccad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1E544128</paraID>
      <start>4</start>
      <end>6</end>
      <status>unmodified</status>
      <modifiedWord/>
      <trackRevisions>false</trackRevisions>
    </reviewItem>
    <reviewItem>
      <errorID>8c03d858-86fb-4cbd-a4b9-afa8e1c6624d</errorID>
      <errorWord>孳生</errorWord>
      <group>L1_Word</group>
      <groupName>字词问题</groupName>
      <ability>L2_Alias</ability>
      <abilityName>也作/曾用词</abilityName>
      <candidateList>
        <item>滋生</item>
      </candidateList>
      <explain>词汇[孳生]为不规范表述或旧称，其规范书面表述为[滋生]。</explain>
      <paraID>211FC426</paraID>
      <start>71</start>
      <end>73</end>
      <status>unmodified</status>
      <modifiedWord/>
      <trackRevisions>false</trackRevisions>
    </reviewItem>
    <reviewItem>
      <errorID>7a16a501-6206-4e47-93df-b66c7e61b653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421ACACF</paraID>
      <start>0</start>
      <end>2</end>
      <status>unmodified</status>
      <modifiedWord/>
      <trackRevisions>false</trackRevisions>
    </reviewItem>
    <reviewItem>
      <errorID>bffb8082-612f-4623-ab1a-d6f0a161ef9e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245EFD5D</paraID>
      <start>0</start>
      <end>2</end>
      <status>unmodified</status>
      <modifiedWord/>
      <trackRevisions>false</trackRevisions>
    </reviewItem>
    <reviewItem>
      <errorID>193a97d8-5dfd-457e-8336-1185c042d96f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699EBF7</paraID>
      <start>0</start>
      <end>2</end>
      <status>unmodified</status>
      <modifiedWord/>
      <trackRevisions>false</trackRevisions>
    </reviewItem>
    <reviewItem>
      <errorID>bffec2f6-52e5-409a-b28e-f615befbad66</errorID>
      <errorWord>可以登陆</errorWord>
      <group>L1_Word</group>
      <groupName>字词问题</groupName>
      <ability>L2_Typo</ability>
      <abilityName>字词错误</abilityName>
      <candidateList>
        <item>可以登录</item>
      </candidateList>
      <explain/>
      <paraID> 699EBF7</paraID>
      <start>5</start>
      <end>9</end>
      <status>unmodified</status>
      <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6BE56FB-5099-4443-A0E4-A6B7A7EED4A8}">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361</Words>
  <Characters>2064</Characters>
  <Application>Microsoft Office Word</Application>
  <DocSecurity>4</DocSecurity>
  <Lines>17</Lines>
  <Paragraphs>4</Paragraphs>
  <ScaleCrop>false</ScaleCrop>
  <Company>CNSTOCK</Company>
  <LinksUpToDate>false</LinksUpToDate>
  <CharactersWithSpaces>2421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庞淼</dc:creator>
  <cp:lastModifiedBy>ZHONGM</cp:lastModifiedBy>
  <cp:revision>2</cp:revision>
  <dcterms:created xsi:type="dcterms:W3CDTF">2025-11-30T16:01:00Z</dcterms:created>
  <dcterms:modified xsi:type="dcterms:W3CDTF">2025-11-30T16:01:00Z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2052-10.8.0.5603</vt:lpwstr>
  </property>
  <property fmtid="{D5CDD505-2E9C-101B-9397-08002B2CF9AE}" pid="3" name="KSOTemplateDocerSaveRecord">
    <vt:lpwstr>eyJoZGlkIjoiNTRiY2E4NGI4YjE5MTQ2NzY5MTkzMTM5ZTE5MWRjZWIiLCJ1c2VySWQiOiIyMDU1MTg4MjkifQ==</vt:lpwstr>
  </property>
  <property fmtid="{D5CDD505-2E9C-101B-9397-08002B2CF9AE}" pid="4" name="ICV">
    <vt:lpwstr>13171BD168DD4D589C697767303D87EB_12</vt:lpwstr>
  </property>
</Properties>
</file>