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11" w:rsidRPr="0022343C" w:rsidRDefault="00527A11">
      <w:pPr>
        <w:jc w:val="center"/>
        <w:rPr>
          <w:rFonts w:ascii="宋体" w:hAnsi="宋体"/>
          <w:b/>
          <w:color w:val="000000"/>
          <w:szCs w:val="24"/>
        </w:rPr>
      </w:pPr>
      <w:bookmarkStart w:id="0" w:name="FM_KS_1"/>
      <w:bookmarkEnd w:id="0"/>
    </w:p>
    <w:p w:rsidR="00527A11" w:rsidRPr="0022343C" w:rsidRDefault="00527A11">
      <w:pPr>
        <w:jc w:val="center"/>
        <w:rPr>
          <w:rFonts w:ascii="宋体" w:hAnsi="宋体" w:hint="eastAsia"/>
          <w:b/>
          <w:color w:val="000000"/>
          <w:szCs w:val="24"/>
        </w:rPr>
      </w:pPr>
    </w:p>
    <w:p w:rsidR="00527A11" w:rsidRPr="0022343C" w:rsidRDefault="00527A11">
      <w:pPr>
        <w:jc w:val="center"/>
        <w:rPr>
          <w:rFonts w:ascii="宋体" w:hAnsi="宋体" w:hint="eastAsia"/>
          <w:b/>
          <w:color w:val="000000"/>
          <w:szCs w:val="24"/>
        </w:rPr>
      </w:pPr>
      <w:r w:rsidRPr="0022343C">
        <w:rPr>
          <w:rFonts w:ascii="宋体" w:hAnsi="宋体" w:hint="eastAsia"/>
          <w:b/>
          <w:color w:val="000000"/>
          <w:szCs w:val="24"/>
        </w:rPr>
        <w:t>中信保诚稳利债券型证券投资基金</w:t>
      </w:r>
      <w:r w:rsidRPr="0022343C">
        <w:rPr>
          <w:rFonts w:ascii="宋体" w:hAnsi="宋体" w:hint="eastAsia"/>
          <w:b/>
          <w:color w:val="000000"/>
          <w:szCs w:val="24"/>
        </w:rPr>
        <w:br/>
        <w:t>分红公告</w:t>
      </w:r>
    </w:p>
    <w:p w:rsidR="00527A11" w:rsidRPr="0022343C" w:rsidRDefault="00527A11">
      <w:pPr>
        <w:jc w:val="center"/>
        <w:rPr>
          <w:rFonts w:ascii="宋体" w:hAnsi="宋体" w:hint="eastAsia"/>
          <w:b/>
          <w:color w:val="000000"/>
          <w:szCs w:val="24"/>
        </w:rPr>
      </w:pPr>
    </w:p>
    <w:p w:rsidR="00527A11" w:rsidRPr="0022343C" w:rsidRDefault="00527A11">
      <w:pPr>
        <w:jc w:val="center"/>
        <w:rPr>
          <w:rFonts w:ascii="宋体" w:hAnsi="宋体" w:hint="eastAsia"/>
          <w:b/>
          <w:color w:val="000000"/>
          <w:szCs w:val="24"/>
        </w:rPr>
      </w:pPr>
    </w:p>
    <w:p w:rsidR="00527A11" w:rsidRPr="0022343C" w:rsidRDefault="00527A11">
      <w:pPr>
        <w:adjustRightInd w:val="0"/>
        <w:snapToGrid w:val="0"/>
        <w:spacing w:line="460" w:lineRule="exact"/>
        <w:jc w:val="center"/>
        <w:rPr>
          <w:rFonts w:ascii="宋体" w:hAnsi="宋体" w:hint="eastAsia"/>
          <w:b/>
          <w:color w:val="000000"/>
          <w:szCs w:val="24"/>
        </w:rPr>
      </w:pPr>
      <w:r w:rsidRPr="0022343C">
        <w:rPr>
          <w:rFonts w:ascii="宋体" w:hAnsi="宋体" w:hint="eastAsia"/>
          <w:b/>
          <w:color w:val="000000"/>
          <w:szCs w:val="24"/>
        </w:rPr>
        <w:t>公告送出日期：2025年11月29日</w:t>
      </w:r>
      <w:bookmarkStart w:id="1" w:name="FM_JS_1"/>
      <w:bookmarkEnd w:id="1"/>
    </w:p>
    <w:p w:rsidR="00527A11" w:rsidRDefault="00527A11">
      <w:pPr>
        <w:rPr>
          <w:rFonts w:hint="eastAsia"/>
        </w:rPr>
      </w:pPr>
    </w:p>
    <w:p w:rsidR="00527A11" w:rsidRDefault="00527A11">
      <w:pPr>
        <w:jc w:val="center"/>
      </w:pPr>
    </w:p>
    <w:p w:rsidR="00527A11" w:rsidRDefault="00527A11">
      <w:pPr>
        <w:pStyle w:val="10"/>
        <w:numPr>
          <w:ilvl w:val="0"/>
          <w:numId w:val="10"/>
        </w:numPr>
        <w:spacing w:before="0" w:after="0"/>
        <w:jc w:val="left"/>
      </w:pPr>
      <w:bookmarkStart w:id="2" w:name="ZJ_1_KS"/>
      <w:bookmarkEnd w:id="2"/>
      <w:r>
        <w:rPr>
          <w:rFonts w:hint="eastAsia"/>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2334"/>
        <w:gridCol w:w="2079"/>
        <w:gridCol w:w="2158"/>
        <w:gridCol w:w="1941"/>
      </w:tblGrid>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基金名称</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中信保诚稳利债券型证券投资基金</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基金简称</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中信保诚稳利</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基金主代码</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003121</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基金合同生效日</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2016年08月04日</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基金管理人名称</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中信保诚基金管理有限公司</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基金托管人名称</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中信银行股份有限公司</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公告依据</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《中华人民共和国证券投资基金法》《公开募集证券投资基金运作管理办法》《中信保诚稳利债券型证券投资基金基金合同》和《中信保诚稳利债券型证券投资基金招募说明书》</w:t>
            </w:r>
          </w:p>
        </w:tc>
      </w:tr>
      <w:tr w:rsidR="00527A11" w:rsidRPr="0022343C">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收益分配基准日</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2025年11月25日</w:t>
            </w:r>
          </w:p>
        </w:tc>
      </w:tr>
      <w:tr w:rsidR="00527A11" w:rsidRPr="0022343C">
        <w:trPr>
          <w:trHeight w:val="291"/>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color w:val="000000"/>
                <w:szCs w:val="21"/>
              </w:rPr>
              <w:t>有关年度分红次数的说明</w:t>
            </w:r>
          </w:p>
        </w:tc>
        <w:tc>
          <w:tcPr>
            <w:tcW w:w="6178" w:type="dxa"/>
            <w:gridSpan w:val="3"/>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2025年第3次分红</w:t>
            </w:r>
          </w:p>
        </w:tc>
      </w:tr>
      <w:tr w:rsidR="00527A11" w:rsidRPr="0022343C">
        <w:trPr>
          <w:trHeight w:val="71"/>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bookmarkStart w:id="3" w:name="FJH_3_KS_1"/>
            <w:bookmarkEnd w:id="3"/>
            <w:r>
              <w:rPr>
                <w:rFonts w:ascii="宋体" w:hAnsi="宋体" w:hint="eastAsia"/>
                <w:szCs w:val="21"/>
              </w:rPr>
              <w:t>下属分级基金的基金简称</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中信保诚稳利A</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中信保诚稳利C</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中信保诚稳利D</w:t>
            </w:r>
          </w:p>
        </w:tc>
      </w:tr>
      <w:tr w:rsidR="00527A11" w:rsidRPr="0022343C">
        <w:trPr>
          <w:trHeight w:val="68"/>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下属分级基金的交易代码</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003121</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003130</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left"/>
              <w:rPr>
                <w:rFonts w:ascii="宋体" w:hAnsi="宋体" w:hint="eastAsia"/>
                <w:szCs w:val="21"/>
              </w:rPr>
            </w:pPr>
            <w:r>
              <w:rPr>
                <w:rFonts w:ascii="宋体" w:hAnsi="宋体" w:hint="eastAsia"/>
                <w:szCs w:val="21"/>
              </w:rPr>
              <w:t>023690</w:t>
            </w:r>
          </w:p>
        </w:tc>
      </w:tr>
      <w:tr w:rsidR="00527A11" w:rsidRPr="0022343C">
        <w:trPr>
          <w:trHeight w:val="68"/>
        </w:trPr>
        <w:tc>
          <w:tcPr>
            <w:tcW w:w="1343" w:type="dxa"/>
            <w:vMerge w:val="restart"/>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截止基准日下属分级基金的相关指标</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基准日下属分级基金份额净值（单位:人民币元）</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1.0775</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1.0800</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1.0778</w:t>
            </w:r>
          </w:p>
        </w:tc>
      </w:tr>
      <w:tr w:rsidR="00527A11" w:rsidRPr="0022343C">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7A11" w:rsidRDefault="00527A11">
            <w:pPr>
              <w:widowControl/>
              <w:spacing w:line="240" w:lineRule="auto"/>
              <w:jc w:val="left"/>
              <w:rPr>
                <w:rFonts w:ascii="宋体" w:hAnsi="宋体"/>
                <w:sz w:val="21"/>
                <w:szCs w:val="21"/>
              </w:rPr>
            </w:pP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基准日下属分级基金可供分配利润(单位:人民币元）</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105,274,442.67</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8,194.30</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66.17</w:t>
            </w:r>
          </w:p>
        </w:tc>
      </w:tr>
      <w:tr w:rsidR="00527A11" w:rsidRPr="0022343C">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27A11" w:rsidRDefault="00527A11">
            <w:pPr>
              <w:widowControl/>
              <w:spacing w:line="240" w:lineRule="auto"/>
              <w:jc w:val="left"/>
              <w:rPr>
                <w:rFonts w:ascii="宋体" w:hAnsi="宋体"/>
                <w:sz w:val="21"/>
                <w:szCs w:val="21"/>
              </w:rPr>
            </w:pP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截止基准日按照基金合同约定的分红比例计算的应分配金额（单位:人民币元）</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w:t>
            </w:r>
          </w:p>
        </w:tc>
      </w:tr>
      <w:tr w:rsidR="00527A11" w:rsidRPr="0022343C">
        <w:trPr>
          <w:trHeight w:val="68"/>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bookmarkStart w:id="4" w:name="YSH_XN_9139_FJXH123_KS_1"/>
            <w:bookmarkEnd w:id="4"/>
            <w:r>
              <w:rPr>
                <w:rFonts w:ascii="宋体" w:hAnsi="宋体" w:hint="eastAsia"/>
                <w:szCs w:val="21"/>
              </w:rPr>
              <w:t>本次下属分级基金分红方案（单位：</w:t>
            </w:r>
            <w:r>
              <w:rPr>
                <w:rFonts w:ascii="宋体" w:hAnsi="宋体" w:hint="eastAsia"/>
                <w:color w:val="000000"/>
                <w:szCs w:val="21"/>
              </w:rPr>
              <w:t>元/10份基金份额</w:t>
            </w:r>
            <w:r>
              <w:rPr>
                <w:rFonts w:ascii="宋体" w:hAnsi="宋体" w:hint="eastAsia"/>
                <w:szCs w:val="21"/>
              </w:rPr>
              <w:t>）</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0.035</w:t>
            </w:r>
          </w:p>
        </w:tc>
        <w:tc>
          <w:tcPr>
            <w:tcW w:w="2158"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0.035</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jc w:val="right"/>
              <w:rPr>
                <w:rFonts w:ascii="宋体" w:hAnsi="宋体" w:hint="eastAsia"/>
                <w:szCs w:val="21"/>
              </w:rPr>
            </w:pPr>
            <w:r>
              <w:rPr>
                <w:rFonts w:ascii="宋体" w:hAnsi="宋体" w:hint="eastAsia"/>
                <w:szCs w:val="21"/>
              </w:rPr>
              <w:t>0.035</w:t>
            </w:r>
            <w:bookmarkStart w:id="5" w:name="FJH_3_JS_1"/>
            <w:bookmarkStart w:id="6" w:name="YSH_XN_9139_FJXH123_JS_1"/>
            <w:bookmarkEnd w:id="5"/>
            <w:bookmarkEnd w:id="6"/>
          </w:p>
        </w:tc>
      </w:tr>
    </w:tbl>
    <w:p w:rsidR="00527A11" w:rsidRDefault="00527A11">
      <w:pPr>
        <w:spacing w:line="360" w:lineRule="auto"/>
        <w:jc w:val="left"/>
        <w:rPr>
          <w:rFonts w:ascii="宋体" w:hAnsi="宋体" w:hint="eastAsia"/>
          <w:sz w:val="21"/>
          <w:szCs w:val="21"/>
        </w:rPr>
      </w:pPr>
      <w:bookmarkStart w:id="7" w:name="WB_1_WB1"/>
      <w:bookmarkEnd w:id="7"/>
      <w:r>
        <w:rPr>
          <w:rFonts w:ascii="宋体" w:hAnsi="宋体" w:hint="eastAsia"/>
          <w:sz w:val="21"/>
          <w:szCs w:val="21"/>
        </w:rPr>
        <w:t>注：根据中信保诚稳利债券型证券投资基金（以下简称“本基金”）基金合同约定，本基金每次收益分配</w:t>
      </w:r>
      <w:r>
        <w:rPr>
          <w:rFonts w:ascii="宋体" w:hAnsi="宋体" w:hint="eastAsia"/>
          <w:sz w:val="21"/>
          <w:szCs w:val="21"/>
        </w:rPr>
        <w:lastRenderedPageBreak/>
        <w:t>比例详见届时基金管理人发布的公告。</w:t>
      </w:r>
      <w:bookmarkStart w:id="8" w:name="ZJ_1_JS"/>
      <w:bookmarkEnd w:id="8"/>
    </w:p>
    <w:p w:rsidR="00527A11" w:rsidRPr="0022343C" w:rsidRDefault="00527A11">
      <w:pPr>
        <w:pStyle w:val="10"/>
        <w:numPr>
          <w:ilvl w:val="0"/>
          <w:numId w:val="10"/>
        </w:numPr>
        <w:spacing w:beforeLines="100" w:after="0"/>
        <w:jc w:val="left"/>
        <w:rPr>
          <w:rFonts w:hint="eastAsia"/>
        </w:rPr>
      </w:pPr>
      <w:bookmarkStart w:id="9" w:name="ZJ_2_KS"/>
      <w:bookmarkEnd w:id="9"/>
      <w:r>
        <w:rPr>
          <w:rFonts w:hint="eastAsia"/>
        </w:rPr>
        <w:t>与分红相关的其他信息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479"/>
      </w:tblGrid>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b/>
                <w:color w:val="000000"/>
                <w:sz w:val="21"/>
                <w:szCs w:val="21"/>
              </w:rPr>
            </w:pPr>
            <w:r>
              <w:rPr>
                <w:rFonts w:ascii="宋体" w:hAnsi="宋体" w:hint="eastAsia"/>
                <w:color w:val="000000"/>
                <w:sz w:val="21"/>
                <w:szCs w:val="21"/>
              </w:rPr>
              <w:t>权益登记日</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2025年12月01日</w:t>
            </w:r>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color w:val="000000"/>
                <w:sz w:val="21"/>
                <w:szCs w:val="21"/>
              </w:rPr>
            </w:pPr>
            <w:r>
              <w:rPr>
                <w:rFonts w:ascii="宋体" w:hAnsi="宋体" w:hint="eastAsia"/>
                <w:color w:val="000000"/>
                <w:sz w:val="21"/>
                <w:szCs w:val="21"/>
              </w:rPr>
              <w:t>除息日</w:t>
            </w:r>
          </w:p>
        </w:tc>
        <w:tc>
          <w:tcPr>
            <w:tcW w:w="3740"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bookmarkStart w:id="10" w:name="YSL_XN_9085_2"/>
            <w:bookmarkEnd w:id="10"/>
            <w:r>
              <w:rPr>
                <w:rFonts w:ascii="宋体" w:hAnsi="宋体" w:hint="eastAsia"/>
                <w:szCs w:val="21"/>
              </w:rPr>
              <w:t>2025年12月01日</w:t>
            </w:r>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color w:val="000000"/>
                <w:sz w:val="21"/>
                <w:szCs w:val="21"/>
              </w:rPr>
            </w:pPr>
            <w:r>
              <w:rPr>
                <w:rFonts w:ascii="宋体" w:hAnsi="宋体" w:hint="eastAsia"/>
                <w:color w:val="000000"/>
                <w:sz w:val="21"/>
                <w:szCs w:val="21"/>
              </w:rPr>
              <w:t>现金红利发放日</w:t>
            </w:r>
          </w:p>
        </w:tc>
        <w:tc>
          <w:tcPr>
            <w:tcW w:w="3740"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bookmarkStart w:id="11" w:name="YSL_XN_9087_2"/>
            <w:bookmarkEnd w:id="11"/>
            <w:r>
              <w:rPr>
                <w:rFonts w:ascii="宋体" w:hAnsi="宋体" w:hint="eastAsia"/>
                <w:szCs w:val="21"/>
              </w:rPr>
              <w:t>2025年12月02日</w:t>
            </w:r>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b/>
                <w:color w:val="000000"/>
                <w:sz w:val="21"/>
                <w:szCs w:val="21"/>
              </w:rPr>
            </w:pPr>
            <w:bookmarkStart w:id="12" w:name="YSH_2761_KS_2"/>
            <w:bookmarkEnd w:id="12"/>
            <w:r>
              <w:rPr>
                <w:rFonts w:ascii="宋体" w:hAnsi="宋体" w:hint="eastAsia"/>
                <w:color w:val="000000"/>
                <w:sz w:val="21"/>
                <w:szCs w:val="21"/>
              </w:rPr>
              <w:t>分红对象</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权益登记日登记在册的本基金全体份额持有人</w:t>
            </w:r>
            <w:bookmarkStart w:id="13" w:name="YSH_2761_JS_2"/>
            <w:bookmarkEnd w:id="13"/>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b/>
                <w:color w:val="000000"/>
                <w:sz w:val="21"/>
                <w:szCs w:val="21"/>
              </w:rPr>
            </w:pPr>
            <w:bookmarkStart w:id="14" w:name="YSH_2762_KS_2"/>
            <w:bookmarkEnd w:id="14"/>
            <w:r>
              <w:rPr>
                <w:rFonts w:ascii="宋体" w:hAnsi="宋体" w:hint="eastAsia"/>
                <w:color w:val="000000"/>
                <w:sz w:val="21"/>
                <w:szCs w:val="21"/>
              </w:rPr>
              <w:t>红利再投资相关事项的说明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选择红利再投资的投资者其现金红利转换为基金份额的基金份额净值确定日为2025年12月1日。</w:t>
            </w:r>
            <w:bookmarkStart w:id="15" w:name="YSH_2762_JS_2"/>
            <w:bookmarkEnd w:id="15"/>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b/>
                <w:color w:val="000000"/>
                <w:sz w:val="21"/>
                <w:szCs w:val="21"/>
              </w:rPr>
            </w:pPr>
            <w:bookmarkStart w:id="16" w:name="YSH_2764_KS_2"/>
            <w:bookmarkEnd w:id="16"/>
            <w:r>
              <w:rPr>
                <w:rFonts w:ascii="宋体" w:hAnsi="宋体" w:hint="eastAsia"/>
                <w:color w:val="000000"/>
                <w:sz w:val="21"/>
                <w:szCs w:val="21"/>
              </w:rPr>
              <w:t>税收相关事项的说明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根据财政部、国家税务总局的相关规定，基金向投资者分配的基金收益，暂免征收所得税。</w:t>
            </w:r>
            <w:bookmarkStart w:id="17" w:name="YSH_2764_JS_2"/>
            <w:bookmarkEnd w:id="17"/>
          </w:p>
        </w:tc>
      </w:tr>
      <w:tr w:rsidR="00527A11" w:rsidRPr="0022343C">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7"/>
              <w:ind w:firstLineChars="0" w:firstLine="0"/>
              <w:rPr>
                <w:rFonts w:ascii="宋体" w:hAnsi="宋体" w:hint="eastAsia"/>
                <w:b/>
                <w:color w:val="000000"/>
                <w:sz w:val="21"/>
                <w:szCs w:val="21"/>
              </w:rPr>
            </w:pPr>
            <w:bookmarkStart w:id="18" w:name="YSH_2765_KS_2"/>
            <w:bookmarkEnd w:id="18"/>
            <w:r>
              <w:rPr>
                <w:rFonts w:ascii="宋体" w:hAnsi="宋体" w:hint="eastAsia"/>
                <w:color w:val="000000"/>
                <w:sz w:val="21"/>
                <w:szCs w:val="21"/>
              </w:rPr>
              <w:t>费用相关事项的说明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527A11" w:rsidRDefault="00527A11">
            <w:pPr>
              <w:pStyle w:val="af5"/>
              <w:rPr>
                <w:rFonts w:ascii="宋体" w:hAnsi="宋体" w:hint="eastAsia"/>
                <w:szCs w:val="21"/>
              </w:rPr>
            </w:pPr>
            <w:r>
              <w:rPr>
                <w:rFonts w:ascii="宋体" w:hAnsi="宋体" w:hint="eastAsia"/>
                <w:szCs w:val="21"/>
              </w:rPr>
              <w:t>分红时所发生的银行转账或其他手续费用由投资人自行承担。</w:t>
            </w:r>
            <w:bookmarkStart w:id="19" w:name="YSH_2765_JS_2"/>
            <w:bookmarkEnd w:id="19"/>
          </w:p>
        </w:tc>
      </w:tr>
    </w:tbl>
    <w:p w:rsidR="00527A11" w:rsidRPr="0022343C" w:rsidRDefault="00527A11">
      <w:pPr>
        <w:pStyle w:val="10"/>
        <w:numPr>
          <w:ilvl w:val="0"/>
          <w:numId w:val="10"/>
        </w:numPr>
        <w:spacing w:beforeLines="100" w:after="0"/>
        <w:jc w:val="left"/>
        <w:rPr>
          <w:rFonts w:hint="eastAsia"/>
        </w:rPr>
      </w:pPr>
      <w:bookmarkStart w:id="20" w:name="ZJ_3_KS"/>
      <w:bookmarkEnd w:id="20"/>
      <w:r>
        <w:rPr>
          <w:rFonts w:hint="eastAsia"/>
        </w:rPr>
        <w:t>其他需要提示的事项</w:t>
      </w:r>
    </w:p>
    <w:p w:rsidR="00527A11" w:rsidRDefault="00527A11">
      <w:pPr>
        <w:spacing w:line="360" w:lineRule="auto"/>
        <w:jc w:val="left"/>
        <w:rPr>
          <w:rFonts w:ascii="宋体" w:hAnsi="宋体" w:hint="eastAsia"/>
          <w:sz w:val="21"/>
          <w:szCs w:val="21"/>
        </w:rPr>
      </w:pPr>
      <w:bookmarkStart w:id="21" w:name="WB_3_WB1"/>
      <w:bookmarkEnd w:id="21"/>
      <w:r>
        <w:rPr>
          <w:rFonts w:ascii="宋体" w:hAnsi="宋体" w:hint="eastAsia"/>
          <w:sz w:val="21"/>
          <w:szCs w:val="21"/>
        </w:rPr>
        <w:t xml:space="preserve"> (1)权益登记日申请申购的基金份额不享有本次分红权益，权益登记日申请赎回的基金份额享有本次分红权益。 </w:t>
      </w:r>
      <w:r>
        <w:rPr>
          <w:rFonts w:ascii="宋体" w:hAnsi="宋体" w:hint="eastAsia"/>
          <w:sz w:val="21"/>
          <w:szCs w:val="21"/>
        </w:rPr>
        <w:br/>
        <w:t> (2)本基金默认的分红方式为现金红利方式。本次分红权益登记日前未在相应的销售网点进行分红方式选择的投资人适用于现金红利分红方式。</w:t>
      </w:r>
      <w:r>
        <w:rPr>
          <w:rFonts w:ascii="宋体" w:hAnsi="宋体" w:hint="eastAsia"/>
          <w:sz w:val="21"/>
          <w:szCs w:val="21"/>
        </w:rPr>
        <w:br/>
        <w:t> (3)咨询办法:</w:t>
      </w:r>
      <w:r>
        <w:rPr>
          <w:rFonts w:ascii="宋体" w:hAnsi="宋体" w:hint="eastAsia"/>
          <w:sz w:val="21"/>
          <w:szCs w:val="21"/>
        </w:rPr>
        <w:br/>
        <w:t> 本基金管理人网站:www.citicprufunds.com.cn</w:t>
      </w:r>
      <w:r>
        <w:rPr>
          <w:rFonts w:ascii="宋体" w:hAnsi="宋体" w:hint="eastAsia"/>
          <w:sz w:val="21"/>
          <w:szCs w:val="21"/>
        </w:rPr>
        <w:br/>
        <w:t> 本基金管理人客户服务电话:400-666-0066</w:t>
      </w:r>
      <w:r>
        <w:rPr>
          <w:rFonts w:ascii="宋体" w:hAnsi="宋体" w:hint="eastAsia"/>
          <w:sz w:val="21"/>
          <w:szCs w:val="21"/>
        </w:rPr>
        <w:br/>
        <w:t> </w:t>
      </w:r>
      <w:r>
        <w:rPr>
          <w:rFonts w:ascii="宋体" w:hAnsi="宋体" w:hint="eastAsia"/>
          <w:sz w:val="21"/>
          <w:szCs w:val="21"/>
        </w:rPr>
        <w:br/>
        <w:t> 特此公告。</w:t>
      </w:r>
      <w:r>
        <w:rPr>
          <w:rFonts w:ascii="宋体" w:hAnsi="宋体" w:hint="eastAsia"/>
          <w:sz w:val="21"/>
          <w:szCs w:val="21"/>
        </w:rPr>
        <w:br/>
      </w:r>
      <w:r>
        <w:rPr>
          <w:rFonts w:ascii="宋体" w:hAnsi="宋体" w:hint="eastAsia"/>
          <w:sz w:val="21"/>
          <w:szCs w:val="21"/>
        </w:rPr>
        <w:br/>
      </w:r>
      <w:r>
        <w:rPr>
          <w:rFonts w:ascii="宋体" w:hAnsi="宋体" w:hint="eastAsia"/>
          <w:sz w:val="21"/>
          <w:szCs w:val="21"/>
        </w:rPr>
        <w:br/>
      </w:r>
      <w:r>
        <w:rPr>
          <w:rFonts w:ascii="宋体" w:hAnsi="宋体" w:hint="eastAsia"/>
          <w:sz w:val="21"/>
          <w:szCs w:val="21"/>
        </w:rPr>
        <w:br/>
        <w:t>                         中信保诚基金管理有限公司</w:t>
      </w:r>
      <w:r>
        <w:rPr>
          <w:rFonts w:ascii="宋体" w:hAnsi="宋体" w:hint="eastAsia"/>
          <w:sz w:val="21"/>
          <w:szCs w:val="21"/>
        </w:rPr>
        <w:br/>
        <w:t>                         2025年11月29日</w:t>
      </w:r>
      <w:bookmarkStart w:id="22" w:name="ZJ_3_JS"/>
      <w:bookmarkEnd w:id="22"/>
    </w:p>
    <w:sectPr w:rsidR="00527A11">
      <w:headerReference w:type="default" r:id="rId8"/>
      <w:footerReference w:type="even" r:id="rId9"/>
      <w:footerReference w:type="default" r:id="rId10"/>
      <w:pgSz w:w="11907" w:h="16840"/>
      <w:pgMar w:top="1440" w:right="1134" w:bottom="1440" w:left="1134" w:header="851" w:footer="1701" w:gutter="0"/>
      <w:cols w:space="425"/>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11" w:rsidRDefault="00527A11">
      <w:r>
        <w:separator/>
      </w:r>
    </w:p>
  </w:endnote>
  <w:endnote w:type="continuationSeparator" w:id="0">
    <w:p w:rsidR="00527A11" w:rsidRDefault="00527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黑体简体">
    <w:altName w:val="黑体"/>
    <w:charset w:val="86"/>
    <w:family w:val="auto"/>
    <w:pitch w:val="default"/>
    <w:sig w:usb0="00000000" w:usb1="00000000" w:usb2="00000010" w:usb3="00000000" w:csb0="00040000"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11" w:rsidRDefault="00527A11">
    <w:pPr>
      <w:pStyle w:val="ab"/>
      <w:framePr w:wrap="around" w:vAnchor="text" w:hAnchor="margin" w:xAlign="outside" w:y="1"/>
      <w:rPr>
        <w:rStyle w:val="aff2"/>
        <w:rFonts w:hint="eastAsia"/>
      </w:rPr>
    </w:pPr>
    <w:r>
      <w:fldChar w:fldCharType="begin"/>
    </w:r>
    <w:r>
      <w:rPr>
        <w:rStyle w:val="aff2"/>
      </w:rPr>
      <w:instrText xml:space="preserve">PAGE  </w:instrText>
    </w:r>
    <w:r>
      <w:fldChar w:fldCharType="separate"/>
    </w:r>
    <w:r>
      <w:rPr>
        <w:rStyle w:val="aff2"/>
      </w:rPr>
      <w:t>4</w:t>
    </w:r>
    <w:r>
      <w:fldChar w:fldCharType="end"/>
    </w:r>
  </w:p>
  <w:p w:rsidR="00527A11" w:rsidRDefault="00527A11">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11" w:rsidRDefault="00527A11">
    <w:pPr>
      <w:pStyle w:val="ab"/>
      <w:jc w:val="center"/>
    </w:pPr>
    <w:fldSimple w:instr="PAGE   \* MERGEFORMAT">
      <w:r w:rsidR="009F5D05" w:rsidRPr="009F5D05">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11" w:rsidRDefault="00527A11">
      <w:r>
        <w:separator/>
      </w:r>
    </w:p>
  </w:footnote>
  <w:footnote w:type="continuationSeparator" w:id="0">
    <w:p w:rsidR="00527A11" w:rsidRDefault="00527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11" w:rsidRDefault="00527A11">
    <w:pPr>
      <w:pStyle w:val="aa"/>
      <w:pBdr>
        <w:bottom w:val="single" w:sz="6" w:space="0" w:color="auto"/>
      </w:pBdr>
      <w:jc w:val="right"/>
      <w:rPr>
        <w:rFonts w:ascii="宋体" w:hAnsi="宋体"/>
      </w:rPr>
    </w:pPr>
    <w:r>
      <w:rPr>
        <w:rFonts w:ascii="宋体" w:hAnsi="宋体" w:hint="eastAsia"/>
      </w:rPr>
      <w:t>中信保诚稳利债券型证券投资基金分红公告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japaneseCounting"/>
      <w:pStyle w:val="a"/>
      <w:lvlText w:val="%1、"/>
      <w:lvlJc w:val="left"/>
      <w:pPr>
        <w:tabs>
          <w:tab w:val="num" w:pos="1320"/>
        </w:tabs>
        <w:ind w:left="1320" w:hanging="660"/>
      </w:pPr>
    </w:lvl>
  </w:abstractNum>
  <w:abstractNum w:abstractNumId="1">
    <w:nsid w:val="00000009"/>
    <w:multiLevelType w:val="multilevel"/>
    <w:tmpl w:val="00000009"/>
    <w:lvl w:ilvl="0">
      <w:start w:val="1"/>
      <w:numFmt w:val="chineseCountingThousand"/>
      <w:pStyle w:val="ParaChar"/>
      <w:lvlText w:val="第%1条"/>
      <w:lvlJc w:val="left"/>
      <w:pPr>
        <w:tabs>
          <w:tab w:val="num" w:pos="1440"/>
        </w:tabs>
        <w:ind w:left="0" w:firstLine="0"/>
      </w:pPr>
      <w:rPr>
        <w:b w:val="0"/>
        <w:i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EE11859"/>
    <w:multiLevelType w:val="multilevel"/>
    <w:tmpl w:val="8D3CA188"/>
    <w:lvl w:ilvl="0">
      <w:start w:val="1"/>
      <w:numFmt w:val="decimal"/>
      <w:lvlText w:val="&amp;%1"/>
      <w:lvlJc w:val="left"/>
      <w:pPr>
        <w:ind w:left="425" w:hanging="425"/>
      </w:pPr>
    </w:lvl>
    <w:lvl w:ilvl="1">
      <w:start w:val="1"/>
      <w:numFmt w:val="decimal"/>
      <w:lvlText w:val="%1.%2"/>
      <w:lvlJc w:val="left"/>
      <w:pPr>
        <w:ind w:left="992" w:hanging="992"/>
      </w:pPr>
    </w:lvl>
    <w:lvl w:ilvl="2">
      <w:start w:val="1"/>
      <w:numFmt w:val="decimal"/>
      <w:lvlText w:val="%1.%2.%3"/>
      <w:lvlJc w:val="left"/>
      <w:pPr>
        <w:ind w:left="1418" w:hanging="1418"/>
      </w:pPr>
    </w:lvl>
    <w:lvl w:ilvl="3">
      <w:start w:val="1"/>
      <w:numFmt w:val="decimal"/>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3">
    <w:nsid w:val="3294033C"/>
    <w:multiLevelType w:val="multilevel"/>
    <w:tmpl w:val="9D147ABE"/>
    <w:lvl w:ilvl="0">
      <w:start w:val="1"/>
      <w:numFmt w:val="chineseCountingThousand"/>
      <w:pStyle w:val="CharCharCharCharCharCharCharCharChar"/>
      <w:suff w:val="space"/>
      <w:lvlText w:val="%1、"/>
      <w:lvlJc w:val="left"/>
      <w:pPr>
        <w:ind w:left="0" w:firstLine="0"/>
      </w:pPr>
    </w:lvl>
    <w:lvl w:ilvl="1">
      <w:start w:val="1"/>
      <w:numFmt w:val="chineseCountingThousand"/>
      <w:suff w:val="nothing"/>
      <w:lvlText w:val="%2、"/>
      <w:lvlJc w:val="left"/>
      <w:pPr>
        <w:ind w:left="0" w:firstLine="0"/>
      </w:pPr>
    </w:lvl>
    <w:lvl w:ilvl="2">
      <w:start w:val="1"/>
      <w:numFmt w:val="decimal"/>
      <w:suff w:val="space"/>
      <w:lvlText w:val="%3."/>
      <w:lvlJc w:val="left"/>
      <w:pPr>
        <w:ind w:left="0"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4">
    <w:nsid w:val="530522D8"/>
    <w:multiLevelType w:val="multilevel"/>
    <w:tmpl w:val="7640DBBE"/>
    <w:styleLink w:val="1"/>
    <w:lvl w:ilvl="0">
      <w:start w:val="1"/>
      <w:numFmt w:val="decimal"/>
      <w:lvlText w:val="§%1"/>
      <w:lvlJc w:val="center"/>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suff w:val="nothing"/>
      <w:lvlText w:val="%1.%2 "/>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suff w:val="nothing"/>
      <w:lvlText w:val="%1.%2.%3 "/>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suff w:val="nothing"/>
      <w:lvlText w:val="%1.%2.%3.%4"/>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5785453B"/>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6F58658A"/>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73222364"/>
    <w:multiLevelType w:val="hybridMultilevel"/>
    <w:tmpl w:val="BABC467A"/>
    <w:lvl w:ilvl="0" w:tplc="B0180DDC">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26"/>
  <w:drawingGridVerticalSpacing w:val="16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343C"/>
    <w:rsid w:val="0022343C"/>
    <w:rsid w:val="00527A11"/>
    <w:rsid w:val="009F5D05"/>
    <w:rsid w:val="00B220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Hyperlink" w:uiPriority="0"/>
    <w:lsdException w:name="Strong" w:semiHidden="0" w:uiPriority="0" w:unhideWhenUsed="0"/>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240" w:lineRule="atLeast"/>
      <w:jc w:val="both"/>
    </w:pPr>
    <w:rPr>
      <w:rFonts w:ascii="Times New Roman" w:eastAsia="宋体" w:hAnsi="Times New Roman"/>
      <w:kern w:val="2"/>
      <w:sz w:val="24"/>
    </w:rPr>
  </w:style>
  <w:style w:type="paragraph" w:styleId="10">
    <w:name w:val="heading 1"/>
    <w:basedOn w:val="a0"/>
    <w:next w:val="a0"/>
    <w:link w:val="1Char"/>
    <w:uiPriority w:val="9"/>
    <w:qFormat/>
    <w:pPr>
      <w:widowControl/>
      <w:spacing w:before="340" w:after="330" w:line="240" w:lineRule="auto"/>
      <w:contextualSpacing/>
      <w:jc w:val="center"/>
      <w:outlineLvl w:val="0"/>
    </w:pPr>
    <w:rPr>
      <w:rFonts w:ascii="宋体" w:hAnsi="等线 Light"/>
      <w:b/>
      <w:bCs/>
      <w:kern w:val="0"/>
      <w:sz w:val="21"/>
      <w:szCs w:val="28"/>
      <w:lang w:eastAsia="en-US" w:bidi="en-US"/>
    </w:rPr>
  </w:style>
  <w:style w:type="paragraph" w:styleId="20">
    <w:name w:val="heading 2"/>
    <w:basedOn w:val="a0"/>
    <w:next w:val="a0"/>
    <w:link w:val="2Char"/>
    <w:semiHidden/>
    <w:unhideWhenUsed/>
    <w:qFormat/>
    <w:pPr>
      <w:widowControl/>
      <w:spacing w:line="240" w:lineRule="auto"/>
      <w:jc w:val="left"/>
      <w:outlineLvl w:val="1"/>
    </w:pPr>
    <w:rPr>
      <w:rFonts w:ascii="Arial" w:hAnsi="Arial"/>
      <w:b/>
      <w:sz w:val="21"/>
      <w:szCs w:val="22"/>
    </w:rPr>
  </w:style>
  <w:style w:type="paragraph" w:styleId="30">
    <w:name w:val="heading 3"/>
    <w:basedOn w:val="a0"/>
    <w:next w:val="a0"/>
    <w:link w:val="3Char"/>
    <w:uiPriority w:val="9"/>
    <w:semiHidden/>
    <w:unhideWhenUsed/>
    <w:qFormat/>
    <w:pPr>
      <w:widowControl/>
      <w:spacing w:line="240" w:lineRule="auto"/>
      <w:jc w:val="left"/>
      <w:outlineLvl w:val="2"/>
    </w:pPr>
    <w:rPr>
      <w:rFonts w:ascii="宋体" w:hAnsi="宋体"/>
      <w:b/>
      <w:bCs/>
      <w:kern w:val="0"/>
      <w:sz w:val="21"/>
      <w:szCs w:val="22"/>
      <w:lang w:eastAsia="en-US" w:bidi="en-US"/>
    </w:rPr>
  </w:style>
  <w:style w:type="paragraph" w:styleId="4">
    <w:name w:val="heading 4"/>
    <w:basedOn w:val="a0"/>
    <w:next w:val="a0"/>
    <w:link w:val="4Char"/>
    <w:uiPriority w:val="9"/>
    <w:semiHidden/>
    <w:unhideWhenUsed/>
    <w:qFormat/>
    <w:pPr>
      <w:widowControl/>
      <w:spacing w:line="240" w:lineRule="auto"/>
      <w:jc w:val="left"/>
      <w:outlineLvl w:val="3"/>
    </w:pPr>
    <w:rPr>
      <w:rFonts w:ascii="宋体" w:hAnsi="等线 Light"/>
      <w:b/>
      <w:bCs/>
      <w:iCs/>
      <w:kern w:val="0"/>
      <w:sz w:val="21"/>
      <w:szCs w:val="22"/>
      <w:lang w:eastAsia="en-US" w:bidi="en-US"/>
    </w:rPr>
  </w:style>
  <w:style w:type="paragraph" w:styleId="5">
    <w:name w:val="heading 5"/>
    <w:basedOn w:val="a0"/>
    <w:next w:val="a0"/>
    <w:link w:val="5Char"/>
    <w:semiHidden/>
    <w:unhideWhenUsed/>
    <w:pPr>
      <w:keepNext/>
      <w:keepLines/>
      <w:numPr>
        <w:ilvl w:val="4"/>
        <w:numId w:val="2"/>
      </w:numPr>
      <w:spacing w:before="280" w:after="290" w:line="372" w:lineRule="auto"/>
      <w:ind w:firstLineChars="200" w:firstLine="200"/>
      <w:outlineLvl w:val="4"/>
    </w:pPr>
    <w:rPr>
      <w:b/>
      <w:sz w:val="28"/>
    </w:rPr>
  </w:style>
  <w:style w:type="paragraph" w:styleId="6">
    <w:name w:val="heading 6"/>
    <w:basedOn w:val="a0"/>
    <w:next w:val="a0"/>
    <w:link w:val="6Char"/>
    <w:semiHidden/>
    <w:unhideWhenUsed/>
    <w:pPr>
      <w:keepNext/>
      <w:keepLines/>
      <w:numPr>
        <w:ilvl w:val="5"/>
        <w:numId w:val="2"/>
      </w:numPr>
      <w:spacing w:before="240" w:after="64" w:line="316" w:lineRule="auto"/>
      <w:ind w:firstLineChars="200" w:firstLine="200"/>
      <w:outlineLvl w:val="5"/>
    </w:pPr>
    <w:rPr>
      <w:rFonts w:ascii="Arial" w:eastAsia="黑体" w:hAnsi="Arial"/>
      <w:b/>
    </w:rPr>
  </w:style>
  <w:style w:type="paragraph" w:styleId="7">
    <w:name w:val="heading 7"/>
    <w:basedOn w:val="a0"/>
    <w:next w:val="a0"/>
    <w:link w:val="7Char"/>
    <w:semiHidden/>
    <w:unhideWhenUsed/>
    <w:pPr>
      <w:keepNext/>
      <w:keepLines/>
      <w:numPr>
        <w:ilvl w:val="6"/>
        <w:numId w:val="2"/>
      </w:numPr>
      <w:spacing w:before="240" w:after="64" w:line="316" w:lineRule="auto"/>
      <w:ind w:firstLineChars="200" w:firstLine="200"/>
      <w:outlineLvl w:val="6"/>
    </w:pPr>
    <w:rPr>
      <w:b/>
    </w:rPr>
  </w:style>
  <w:style w:type="paragraph" w:styleId="8">
    <w:name w:val="heading 8"/>
    <w:basedOn w:val="a0"/>
    <w:next w:val="a0"/>
    <w:link w:val="8Char"/>
    <w:semiHidden/>
    <w:unhideWhenUsed/>
    <w:pPr>
      <w:keepNext/>
      <w:keepLines/>
      <w:numPr>
        <w:ilvl w:val="7"/>
        <w:numId w:val="2"/>
      </w:numPr>
      <w:spacing w:before="240" w:after="64" w:line="316" w:lineRule="auto"/>
      <w:ind w:firstLineChars="200" w:firstLine="200"/>
      <w:outlineLvl w:val="7"/>
    </w:pPr>
    <w:rPr>
      <w:rFonts w:ascii="Arial" w:eastAsia="黑体" w:hAnsi="Arial"/>
    </w:rPr>
  </w:style>
  <w:style w:type="paragraph" w:styleId="9">
    <w:name w:val="heading 9"/>
    <w:basedOn w:val="a0"/>
    <w:next w:val="a0"/>
    <w:link w:val="9Char"/>
    <w:semiHidden/>
    <w:unhideWhenUsed/>
    <w:pPr>
      <w:keepNext/>
      <w:keepLines/>
      <w:numPr>
        <w:ilvl w:val="8"/>
        <w:numId w:val="2"/>
      </w:numPr>
      <w:spacing w:before="240" w:after="64" w:line="316" w:lineRule="auto"/>
      <w:ind w:firstLineChars="200" w:firstLine="2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unhideWhenUsed/>
    <w:rPr>
      <w:color w:val="0000FF"/>
      <w:u w:val="single"/>
    </w:rPr>
  </w:style>
  <w:style w:type="character" w:styleId="a5">
    <w:name w:val="访问过的超链接"/>
    <w:uiPriority w:val="99"/>
    <w:semiHidden/>
    <w:unhideWhenUsed/>
    <w:rPr>
      <w:color w:val="954F72"/>
      <w:u w:val="single"/>
    </w:rPr>
  </w:style>
  <w:style w:type="character" w:customStyle="1" w:styleId="1Char">
    <w:name w:val="标题 1 Char"/>
    <w:link w:val="10"/>
    <w:uiPriority w:val="9"/>
    <w:locked/>
    <w:rPr>
      <w:rFonts w:ascii="宋体" w:eastAsia="宋体" w:hAnsi="等线 Light" w:cs="Times New Roman" w:hint="eastAsia"/>
      <w:b/>
      <w:bCs/>
      <w:kern w:val="0"/>
      <w:szCs w:val="28"/>
      <w:lang w:eastAsia="en-US" w:bidi="en-US"/>
    </w:rPr>
  </w:style>
  <w:style w:type="character" w:customStyle="1" w:styleId="2Char">
    <w:name w:val="标题 2 Char"/>
    <w:link w:val="20"/>
    <w:semiHidden/>
    <w:locked/>
    <w:rPr>
      <w:rFonts w:ascii="Arial" w:eastAsia="宋体" w:hAnsi="Arial" w:cs="Arial" w:hint="default"/>
      <w:b/>
      <w:bCs w:val="0"/>
    </w:rPr>
  </w:style>
  <w:style w:type="character" w:customStyle="1" w:styleId="3Char">
    <w:name w:val="标题 3 Char"/>
    <w:link w:val="30"/>
    <w:uiPriority w:val="9"/>
    <w:semiHidden/>
    <w:locked/>
    <w:rPr>
      <w:rFonts w:ascii="宋体" w:eastAsia="宋体" w:hAnsi="宋体" w:cs="Times New Roman" w:hint="eastAsia"/>
      <w:b/>
      <w:bCs/>
      <w:kern w:val="0"/>
      <w:lang w:eastAsia="en-US" w:bidi="en-US"/>
    </w:rPr>
  </w:style>
  <w:style w:type="character" w:customStyle="1" w:styleId="4Char">
    <w:name w:val="标题 4 Char"/>
    <w:link w:val="4"/>
    <w:uiPriority w:val="9"/>
    <w:semiHidden/>
    <w:locked/>
    <w:rPr>
      <w:rFonts w:ascii="宋体" w:eastAsia="宋体" w:hAnsi="等线 Light" w:cs="Times New Roman" w:hint="eastAsia"/>
      <w:b/>
      <w:bCs/>
      <w:iCs/>
      <w:kern w:val="0"/>
      <w:lang w:eastAsia="en-US" w:bidi="en-US"/>
    </w:rPr>
  </w:style>
  <w:style w:type="character" w:customStyle="1" w:styleId="5Char">
    <w:name w:val="标题 5 Char"/>
    <w:link w:val="5"/>
    <w:semiHidden/>
    <w:locked/>
    <w:rPr>
      <w:rFonts w:ascii="Times New Roman" w:eastAsia="宋体" w:hAnsi="Times New Roman" w:cs="Times New Roman" w:hint="default"/>
      <w:b/>
      <w:bCs w:val="0"/>
      <w:sz w:val="28"/>
      <w:szCs w:val="20"/>
    </w:rPr>
  </w:style>
  <w:style w:type="character" w:customStyle="1" w:styleId="6Char">
    <w:name w:val="标题 6 Char"/>
    <w:link w:val="6"/>
    <w:semiHidden/>
    <w:locked/>
    <w:rPr>
      <w:rFonts w:ascii="Arial" w:eastAsia="黑体" w:hAnsi="Arial" w:cs="Times New Roman" w:hint="default"/>
      <w:b/>
      <w:bCs w:val="0"/>
      <w:sz w:val="24"/>
      <w:szCs w:val="20"/>
    </w:rPr>
  </w:style>
  <w:style w:type="character" w:styleId="a6">
    <w:name w:val="Strong"/>
    <w:rPr>
      <w:b/>
      <w:bCs w:val="0"/>
    </w:rPr>
  </w:style>
  <w:style w:type="paragraph" w:styleId="a7">
    <w:name w:val="Normal (Web)"/>
    <w:basedOn w:val="a0"/>
    <w:semiHidden/>
    <w:unhideWhenUsed/>
    <w:pPr>
      <w:widowControl/>
      <w:spacing w:before="100" w:beforeAutospacing="1" w:after="100" w:afterAutospacing="1"/>
    </w:pPr>
    <w:rPr>
      <w:rFonts w:ascii="宋体" w:hAnsi="宋体"/>
      <w:kern w:val="0"/>
    </w:rPr>
  </w:style>
  <w:style w:type="character" w:customStyle="1" w:styleId="7Char">
    <w:name w:val="标题 7 Char"/>
    <w:link w:val="7"/>
    <w:semiHidden/>
    <w:locked/>
    <w:rPr>
      <w:rFonts w:ascii="Times New Roman" w:eastAsia="宋体" w:hAnsi="Times New Roman" w:cs="Times New Roman" w:hint="default"/>
      <w:b/>
      <w:bCs w:val="0"/>
      <w:sz w:val="24"/>
      <w:szCs w:val="20"/>
    </w:rPr>
  </w:style>
  <w:style w:type="character" w:customStyle="1" w:styleId="8Char">
    <w:name w:val="标题 8 Char"/>
    <w:link w:val="8"/>
    <w:semiHidden/>
    <w:locked/>
    <w:rPr>
      <w:rFonts w:ascii="Arial" w:eastAsia="黑体" w:hAnsi="Arial" w:cs="Times New Roman" w:hint="default"/>
      <w:sz w:val="24"/>
      <w:szCs w:val="20"/>
    </w:rPr>
  </w:style>
  <w:style w:type="character" w:customStyle="1" w:styleId="9Char">
    <w:name w:val="标题 9 Char"/>
    <w:link w:val="9"/>
    <w:semiHidden/>
    <w:locked/>
    <w:rPr>
      <w:rFonts w:ascii="Arial" w:eastAsia="黑体" w:hAnsi="Arial" w:cs="Times New Roman" w:hint="default"/>
      <w:sz w:val="24"/>
      <w:szCs w:val="20"/>
    </w:rPr>
  </w:style>
  <w:style w:type="paragraph" w:styleId="a8">
    <w:name w:val="footnote text"/>
    <w:basedOn w:val="a0"/>
    <w:semiHidden/>
    <w:unhideWhenUsed/>
    <w:pPr>
      <w:snapToGrid w:val="0"/>
    </w:pPr>
    <w:rPr>
      <w:rFonts w:ascii="等线" w:eastAsia="等线" w:hAnsi="等线"/>
      <w:sz w:val="18"/>
      <w:szCs w:val="22"/>
    </w:rPr>
  </w:style>
  <w:style w:type="character" w:customStyle="1" w:styleId="Char">
    <w:name w:val="脚注文本 Char"/>
    <w:semiHidden/>
    <w:rPr>
      <w:kern w:val="2"/>
      <w:sz w:val="18"/>
    </w:rPr>
  </w:style>
  <w:style w:type="paragraph" w:styleId="a9">
    <w:name w:val="annotation text"/>
    <w:basedOn w:val="a0"/>
    <w:link w:val="Char0"/>
    <w:semiHidden/>
    <w:unhideWhenUsed/>
    <w:pPr>
      <w:jc w:val="left"/>
    </w:pPr>
  </w:style>
  <w:style w:type="character" w:customStyle="1" w:styleId="Char0">
    <w:name w:val="批注文字 Char"/>
    <w:link w:val="a9"/>
    <w:semiHidden/>
    <w:locked/>
    <w:rPr>
      <w:rFonts w:ascii="Times New Roman" w:eastAsia="方正仿宋简体" w:hAnsi="Times New Roman" w:cs="Times New Roman" w:hint="default"/>
      <w:sz w:val="32"/>
      <w:szCs w:val="20"/>
    </w:rPr>
  </w:style>
  <w:style w:type="paragraph" w:styleId="aa">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uiPriority w:val="99"/>
    <w:locked/>
    <w:rPr>
      <w:sz w:val="18"/>
      <w:szCs w:val="18"/>
    </w:rPr>
  </w:style>
  <w:style w:type="paragraph" w:styleId="ab">
    <w:name w:val="footer"/>
    <w:basedOn w:val="a0"/>
    <w:link w:val="Char2"/>
    <w:uiPriority w:val="99"/>
    <w:unhideWhenUsed/>
    <w:pPr>
      <w:tabs>
        <w:tab w:val="center" w:pos="4153"/>
        <w:tab w:val="right" w:pos="8306"/>
      </w:tabs>
      <w:snapToGrid w:val="0"/>
      <w:jc w:val="left"/>
    </w:pPr>
    <w:rPr>
      <w:sz w:val="18"/>
      <w:szCs w:val="18"/>
    </w:rPr>
  </w:style>
  <w:style w:type="character" w:customStyle="1" w:styleId="Char2">
    <w:name w:val="页脚 Char"/>
    <w:link w:val="ab"/>
    <w:uiPriority w:val="99"/>
    <w:locked/>
    <w:rPr>
      <w:sz w:val="18"/>
      <w:szCs w:val="18"/>
    </w:rPr>
  </w:style>
  <w:style w:type="paragraph" w:styleId="ac">
    <w:name w:val="endnote text"/>
    <w:basedOn w:val="a0"/>
    <w:semiHidden/>
    <w:unhideWhenUsed/>
    <w:pPr>
      <w:snapToGrid w:val="0"/>
      <w:jc w:val="left"/>
    </w:pPr>
    <w:rPr>
      <w:rFonts w:ascii="等线" w:hAnsi="等线"/>
      <w:szCs w:val="22"/>
    </w:rPr>
  </w:style>
  <w:style w:type="character" w:customStyle="1" w:styleId="Char3">
    <w:name w:val="尾注文本 Char"/>
    <w:semiHidden/>
    <w:rPr>
      <w:rFonts w:ascii="方正仿宋简体" w:eastAsia="方正仿宋简体" w:hint="eastAsia"/>
      <w:kern w:val="2"/>
      <w:sz w:val="32"/>
    </w:rPr>
  </w:style>
  <w:style w:type="paragraph" w:styleId="ad">
    <w:name w:val="Title"/>
    <w:basedOn w:val="a0"/>
    <w:next w:val="a0"/>
    <w:link w:val="Char4"/>
    <w:uiPriority w:val="10"/>
    <w:qFormat/>
    <w:pPr>
      <w:widowControl/>
      <w:pBdr>
        <w:bottom w:val="single" w:sz="4" w:space="1" w:color="auto"/>
      </w:pBdr>
      <w:spacing w:after="200" w:line="240" w:lineRule="auto"/>
      <w:contextualSpacing/>
      <w:jc w:val="left"/>
    </w:pPr>
    <w:rPr>
      <w:rFonts w:ascii="等线 Light" w:eastAsia="等线 Light" w:hAnsi="等线 Light"/>
      <w:spacing w:val="5"/>
      <w:kern w:val="0"/>
      <w:sz w:val="52"/>
      <w:szCs w:val="52"/>
      <w:lang w:eastAsia="en-US" w:bidi="en-US"/>
    </w:rPr>
  </w:style>
  <w:style w:type="character" w:customStyle="1" w:styleId="Char4">
    <w:name w:val="标题 Char"/>
    <w:link w:val="ad"/>
    <w:uiPriority w:val="10"/>
    <w:locked/>
    <w:rPr>
      <w:rFonts w:ascii="等线 Light" w:eastAsia="等线 Light" w:hAnsi="等线 Light" w:cs="Times New Roman" w:hint="eastAsia"/>
      <w:spacing w:val="5"/>
      <w:kern w:val="0"/>
      <w:sz w:val="52"/>
      <w:szCs w:val="52"/>
      <w:lang w:eastAsia="en-US" w:bidi="en-US"/>
    </w:rPr>
  </w:style>
  <w:style w:type="paragraph" w:styleId="ae">
    <w:name w:val="Body Text"/>
    <w:basedOn w:val="a0"/>
    <w:semiHidden/>
    <w:unhideWhenUsed/>
    <w:pPr>
      <w:spacing w:after="120"/>
    </w:pPr>
    <w:rPr>
      <w:rFonts w:ascii="等线" w:hAnsi="等线"/>
      <w:szCs w:val="22"/>
    </w:rPr>
  </w:style>
  <w:style w:type="character" w:customStyle="1" w:styleId="Char5">
    <w:name w:val="正文文本 Char"/>
    <w:semiHidden/>
    <w:rPr>
      <w:rFonts w:ascii="方正仿宋简体" w:eastAsia="方正仿宋简体" w:hint="eastAsia"/>
      <w:kern w:val="2"/>
      <w:sz w:val="32"/>
      <w:lang w:val="en-US" w:eastAsia="zh-CN"/>
    </w:rPr>
  </w:style>
  <w:style w:type="paragraph" w:styleId="af">
    <w:name w:val="Body Text Indent"/>
    <w:basedOn w:val="a0"/>
    <w:link w:val="Char6"/>
    <w:semiHidden/>
    <w:unhideWhenUsed/>
    <w:pPr>
      <w:spacing w:after="120"/>
      <w:ind w:leftChars="200" w:left="420"/>
    </w:pPr>
  </w:style>
  <w:style w:type="character" w:customStyle="1" w:styleId="Char6">
    <w:name w:val="正文文本缩进 Char"/>
    <w:link w:val="af"/>
    <w:semiHidden/>
    <w:locked/>
    <w:rPr>
      <w:rFonts w:ascii="Times New Roman" w:eastAsia="方正仿宋简体" w:hAnsi="Times New Roman" w:cs="Times New Roman" w:hint="default"/>
      <w:sz w:val="32"/>
      <w:szCs w:val="20"/>
    </w:rPr>
  </w:style>
  <w:style w:type="paragraph" w:styleId="af0">
    <w:name w:val="Date"/>
    <w:basedOn w:val="a0"/>
    <w:next w:val="a0"/>
    <w:semiHidden/>
    <w:unhideWhenUsed/>
    <w:rPr>
      <w:rFonts w:ascii="宋体" w:eastAsia="等线" w:hAnsi="等线"/>
      <w:szCs w:val="22"/>
    </w:rPr>
  </w:style>
  <w:style w:type="character" w:customStyle="1" w:styleId="Char7">
    <w:name w:val="日期 Char"/>
    <w:semiHidden/>
    <w:rPr>
      <w:rFonts w:ascii="宋体" w:eastAsia="宋体" w:hAnsi="宋体" w:hint="eastAsia"/>
      <w:kern w:val="2"/>
      <w:sz w:val="32"/>
    </w:rPr>
  </w:style>
  <w:style w:type="paragraph" w:styleId="21">
    <w:name w:val="Body Text 2"/>
    <w:basedOn w:val="a0"/>
    <w:link w:val="2Char0"/>
    <w:semiHidden/>
    <w:unhideWhenUsed/>
    <w:pPr>
      <w:spacing w:line="360" w:lineRule="auto"/>
      <w:ind w:firstLine="720"/>
    </w:pPr>
    <w:rPr>
      <w:rFonts w:ascii="仿宋_GB2312" w:eastAsia="仿宋_GB2312"/>
      <w:sz w:val="28"/>
    </w:rPr>
  </w:style>
  <w:style w:type="character" w:customStyle="1" w:styleId="2Char0">
    <w:name w:val="正文文本 2 Char"/>
    <w:link w:val="21"/>
    <w:semiHidden/>
    <w:locked/>
    <w:rPr>
      <w:rFonts w:ascii="仿宋_GB2312" w:eastAsia="仿宋_GB2312" w:hAnsi="Times New Roman" w:cs="Times New Roman" w:hint="eastAsia"/>
      <w:sz w:val="28"/>
      <w:szCs w:val="20"/>
    </w:rPr>
  </w:style>
  <w:style w:type="paragraph" w:styleId="af1">
    <w:name w:val="Document Map"/>
    <w:basedOn w:val="a0"/>
    <w:uiPriority w:val="99"/>
    <w:semiHidden/>
    <w:unhideWhenUsed/>
    <w:rPr>
      <w:rFonts w:ascii="宋体" w:eastAsia="等线" w:hAnsi="等线"/>
      <w:sz w:val="18"/>
      <w:szCs w:val="18"/>
    </w:rPr>
  </w:style>
  <w:style w:type="character" w:customStyle="1" w:styleId="Char8">
    <w:name w:val="文档结构图 Char"/>
    <w:uiPriority w:val="99"/>
    <w:semiHidden/>
    <w:rPr>
      <w:rFonts w:ascii="宋体" w:eastAsia="宋体" w:hAnsi="宋体" w:hint="eastAsia"/>
      <w:kern w:val="2"/>
      <w:sz w:val="18"/>
      <w:szCs w:val="18"/>
    </w:rPr>
  </w:style>
  <w:style w:type="paragraph" w:styleId="af2">
    <w:name w:val="Plain Text"/>
    <w:basedOn w:val="a0"/>
    <w:link w:val="Char9"/>
    <w:semiHidden/>
    <w:unhideWhenUsed/>
    <w:rPr>
      <w:rFonts w:ascii="宋体" w:hAnsi="Courier New"/>
      <w:sz w:val="21"/>
    </w:rPr>
  </w:style>
  <w:style w:type="character" w:customStyle="1" w:styleId="Char9">
    <w:name w:val="纯文本 Char"/>
    <w:link w:val="af2"/>
    <w:semiHidden/>
    <w:locked/>
    <w:rPr>
      <w:rFonts w:ascii="宋体" w:eastAsia="宋体" w:hAnsi="Courier New" w:cs="Times New Roman" w:hint="eastAsia"/>
      <w:szCs w:val="20"/>
    </w:rPr>
  </w:style>
  <w:style w:type="paragraph" w:styleId="af3">
    <w:name w:val="annotation subject"/>
    <w:basedOn w:val="a9"/>
    <w:next w:val="a9"/>
    <w:link w:val="Chara"/>
    <w:semiHidden/>
    <w:unhideWhenUsed/>
    <w:pPr>
      <w:jc w:val="both"/>
    </w:pPr>
    <w:rPr>
      <w:b/>
    </w:rPr>
  </w:style>
  <w:style w:type="character" w:customStyle="1" w:styleId="Chara">
    <w:name w:val="批注主题 Char"/>
    <w:link w:val="af3"/>
    <w:semiHidden/>
    <w:locked/>
    <w:rPr>
      <w:rFonts w:ascii="Times New Roman" w:eastAsia="方正仿宋简体" w:hAnsi="Times New Roman" w:cs="Times New Roman" w:hint="default"/>
      <w:b/>
      <w:bCs w:val="0"/>
      <w:sz w:val="32"/>
      <w:szCs w:val="20"/>
    </w:rPr>
  </w:style>
  <w:style w:type="paragraph" w:styleId="af4">
    <w:name w:val="Balloon Text"/>
    <w:basedOn w:val="a0"/>
    <w:link w:val="Charb"/>
    <w:semiHidden/>
    <w:unhideWhenUsed/>
    <w:rPr>
      <w:sz w:val="18"/>
    </w:rPr>
  </w:style>
  <w:style w:type="character" w:customStyle="1" w:styleId="Charb">
    <w:name w:val="批注框文本 Char"/>
    <w:link w:val="af4"/>
    <w:semiHidden/>
    <w:locked/>
    <w:rPr>
      <w:rFonts w:ascii="Times New Roman" w:eastAsia="方正仿宋简体" w:hAnsi="Times New Roman" w:cs="Times New Roman" w:hint="default"/>
      <w:sz w:val="18"/>
      <w:szCs w:val="20"/>
    </w:rPr>
  </w:style>
  <w:style w:type="paragraph" w:styleId="af5">
    <w:name w:val="No Spacing"/>
    <w:uiPriority w:val="1"/>
    <w:qFormat/>
    <w:pPr>
      <w:widowControl w:val="0"/>
      <w:jc w:val="both"/>
    </w:pPr>
    <w:rPr>
      <w:rFonts w:ascii="Calibri" w:eastAsia="宋体" w:hAnsi="Calibri"/>
      <w:kern w:val="2"/>
      <w:sz w:val="21"/>
      <w:szCs w:val="22"/>
    </w:rPr>
  </w:style>
  <w:style w:type="paragraph" w:styleId="af6">
    <w:name w:val="Revision"/>
    <w:semiHidden/>
    <w:rPr>
      <w:rFonts w:ascii="Times New Roman" w:eastAsia="方正仿宋简体" w:hAnsi="Times New Roman"/>
      <w:kern w:val="2"/>
      <w:sz w:val="32"/>
    </w:rPr>
  </w:style>
  <w:style w:type="paragraph" w:styleId="af7">
    <w:name w:val="List Paragraph"/>
    <w:basedOn w:val="a0"/>
    <w:uiPriority w:val="34"/>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pPr>
      <w:widowControl/>
      <w:spacing w:after="160" w:line="240" w:lineRule="exact"/>
    </w:pPr>
    <w:rPr>
      <w:rFonts w:ascii="Verdana" w:eastAsia="Times New Roman" w:hAnsi="Verdana"/>
      <w:kern w:val="0"/>
      <w:sz w:val="20"/>
      <w:lang w:eastAsia="en-US"/>
    </w:rPr>
  </w:style>
  <w:style w:type="paragraph" w:customStyle="1" w:styleId="af8">
    <w:name w:val="附录款(一)"/>
    <w:basedOn w:val="a0"/>
    <w:pPr>
      <w:spacing w:line="360" w:lineRule="auto"/>
    </w:pPr>
  </w:style>
  <w:style w:type="paragraph" w:customStyle="1" w:styleId="xl31">
    <w:name w:val="xl31"/>
    <w:basedOn w:val="a0"/>
    <w:pPr>
      <w:widowControl/>
      <w:spacing w:before="100" w:beforeAutospacing="1" w:after="100" w:afterAutospacing="1"/>
    </w:pPr>
    <w:rPr>
      <w:rFonts w:ascii="宋体" w:hAnsi="宋体"/>
      <w:kern w:val="0"/>
    </w:rPr>
  </w:style>
  <w:style w:type="paragraph" w:customStyle="1" w:styleId="CharCharCharCharCharCharCharCharChar">
    <w:name w:val="Char Char Char Char Char Char Char Char Char"/>
    <w:basedOn w:val="a0"/>
    <w:pPr>
      <w:numPr>
        <w:numId w:val="4"/>
      </w:numPr>
      <w:tabs>
        <w:tab w:val="left" w:pos="1320"/>
      </w:tabs>
    </w:pPr>
  </w:style>
  <w:style w:type="paragraph" w:customStyle="1" w:styleId="a">
    <w:name w:val="正文条"/>
    <w:basedOn w:val="a0"/>
    <w:pPr>
      <w:numPr>
        <w:numId w:val="6"/>
      </w:numPr>
      <w:tabs>
        <w:tab w:val="left" w:pos="1440"/>
      </w:tabs>
      <w:spacing w:line="360" w:lineRule="auto"/>
    </w:pPr>
  </w:style>
  <w:style w:type="paragraph" w:customStyle="1" w:styleId="Default">
    <w:name w:val="Default"/>
    <w:pPr>
      <w:widowControl w:val="0"/>
      <w:autoSpaceDE w:val="0"/>
      <w:autoSpaceDN w:val="0"/>
      <w:adjustRightInd w:val="0"/>
    </w:pPr>
    <w:rPr>
      <w:rFonts w:ascii="仿宋" w:eastAsia="宋体" w:hAnsi="仿宋"/>
      <w:color w:val="000000"/>
      <w:sz w:val="24"/>
    </w:rPr>
  </w:style>
  <w:style w:type="paragraph" w:customStyle="1" w:styleId="xl33">
    <w:name w:val="xl33"/>
    <w:basedOn w:val="a0"/>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rPr>
  </w:style>
  <w:style w:type="paragraph" w:customStyle="1" w:styleId="Char1CharCharCharChar">
    <w:name w:val="Char1 Char Char Char Char"/>
    <w:basedOn w:val="a0"/>
    <w:pPr>
      <w:widowControl/>
      <w:spacing w:after="160" w:line="240" w:lineRule="exact"/>
    </w:pPr>
    <w:rPr>
      <w:rFonts w:ascii="Verdana" w:hAnsi="Verdana"/>
      <w:kern w:val="0"/>
      <w:sz w:val="20"/>
      <w:lang w:eastAsia="en-US"/>
    </w:rPr>
  </w:style>
  <w:style w:type="paragraph" w:customStyle="1" w:styleId="CharCharCharCharCharChar1CharCharChar">
    <w:name w:val="Char Char Char Char Char Char1 Char Char Char"/>
    <w:basedOn w:val="a0"/>
    <w:pPr>
      <w:autoSpaceDE w:val="0"/>
      <w:autoSpaceDN w:val="0"/>
      <w:adjustRightInd w:val="0"/>
    </w:pPr>
    <w:rPr>
      <w:rFonts w:ascii="宋体"/>
      <w:kern w:val="0"/>
      <w:sz w:val="34"/>
    </w:rPr>
  </w:style>
  <w:style w:type="paragraph" w:customStyle="1" w:styleId="2111111">
    <w:name w:val="样式 样式 样式 标题 2 + 段前: 1 行 段后: 1 行1 + 段前: 1 行 段后: 1 行 + 段前: 1 行 段后..."/>
    <w:basedOn w:val="a0"/>
    <w:pPr>
      <w:keepNext/>
      <w:keepLines/>
      <w:spacing w:beforeLines="100"/>
      <w:ind w:left="992" w:hanging="992"/>
      <w:outlineLvl w:val="1"/>
    </w:pPr>
    <w:rPr>
      <w:rFonts w:ascii="Arial" w:hAnsi="Arial"/>
      <w:b/>
      <w:sz w:val="28"/>
    </w:rPr>
  </w:style>
  <w:style w:type="paragraph" w:customStyle="1" w:styleId="Charc">
    <w:name w:val="Char"/>
    <w:basedOn w:val="a0"/>
    <w:pPr>
      <w:tabs>
        <w:tab w:val="left" w:pos="360"/>
      </w:tabs>
      <w:spacing w:line="560" w:lineRule="exact"/>
    </w:pPr>
    <w:rPr>
      <w:rFonts w:ascii="方正黑体简体" w:eastAsia="方正黑体简体"/>
      <w:sz w:val="30"/>
    </w:rPr>
  </w:style>
  <w:style w:type="paragraph" w:customStyle="1" w:styleId="115">
    <w:name w:val="样式 标题 1 + 段前: 1.5 行"/>
    <w:basedOn w:val="a0"/>
    <w:pPr>
      <w:ind w:left="425" w:hanging="425"/>
    </w:pPr>
  </w:style>
  <w:style w:type="paragraph" w:customStyle="1" w:styleId="FormLabel">
    <w:name w:val="Form Label"/>
    <w:basedOn w:val="a0"/>
    <w:pPr>
      <w:widowControl/>
      <w:spacing w:line="280" w:lineRule="exact"/>
    </w:pPr>
    <w:rPr>
      <w:kern w:val="0"/>
      <w:sz w:val="18"/>
      <w:lang w:val="en-GB" w:eastAsia="en-US"/>
    </w:rPr>
  </w:style>
  <w:style w:type="paragraph" w:customStyle="1" w:styleId="ParaChar">
    <w:name w:val="默认段落字体 Para Char"/>
    <w:basedOn w:val="a0"/>
    <w:pPr>
      <w:numPr>
        <w:numId w:val="8"/>
      </w:numPr>
      <w:tabs>
        <w:tab w:val="left" w:pos="2013"/>
      </w:tabs>
      <w:spacing w:before="312" w:after="312" w:line="360" w:lineRule="auto"/>
    </w:pPr>
  </w:style>
  <w:style w:type="character" w:customStyle="1" w:styleId="4Char0">
    <w:name w:val="样式4 Char"/>
    <w:basedOn w:val="1Char"/>
    <w:link w:val="40"/>
    <w:locked/>
  </w:style>
  <w:style w:type="paragraph" w:customStyle="1" w:styleId="40">
    <w:name w:val="样式4"/>
    <w:basedOn w:val="10"/>
    <w:link w:val="4Char0"/>
    <w:qFormat/>
  </w:style>
  <w:style w:type="character" w:styleId="af9">
    <w:name w:val="footnote reference"/>
    <w:semiHidden/>
    <w:unhideWhenUsed/>
    <w:rPr>
      <w:vertAlign w:val="superscript"/>
    </w:rPr>
  </w:style>
  <w:style w:type="character" w:styleId="afa">
    <w:name w:val="annotation reference"/>
    <w:semiHidden/>
    <w:unhideWhenUsed/>
    <w:rPr>
      <w:sz w:val="21"/>
    </w:rPr>
  </w:style>
  <w:style w:type="character" w:styleId="afb">
    <w:name w:val="endnote reference"/>
    <w:semiHidden/>
    <w:unhideWhenUsed/>
    <w:rPr>
      <w:vertAlign w:val="superscript"/>
    </w:rPr>
  </w:style>
  <w:style w:type="character" w:customStyle="1" w:styleId="2Char1">
    <w:name w:val="标题 2 Char1"/>
    <w:rPr>
      <w:rFonts w:ascii="等线 Light" w:eastAsia="宋体" w:hAnsi="等线 Light" w:cs="Times New Roman" w:hint="eastAsia"/>
      <w:b/>
      <w:bCs/>
      <w:sz w:val="24"/>
      <w:szCs w:val="32"/>
    </w:rPr>
  </w:style>
  <w:style w:type="character" w:customStyle="1" w:styleId="Char10">
    <w:name w:val="脚注文本 Char1"/>
    <w:link w:val="a8"/>
    <w:locked/>
    <w:rPr>
      <w:sz w:val="18"/>
    </w:rPr>
  </w:style>
  <w:style w:type="character" w:customStyle="1" w:styleId="Char11">
    <w:name w:val="文档结构图 Char1"/>
    <w:link w:val="af1"/>
    <w:uiPriority w:val="99"/>
    <w:locked/>
    <w:rPr>
      <w:rFonts w:ascii="宋体" w:eastAsia="宋体" w:hAnsi="宋体" w:hint="eastAsia"/>
      <w:sz w:val="18"/>
      <w:szCs w:val="18"/>
    </w:rPr>
  </w:style>
  <w:style w:type="character" w:customStyle="1" w:styleId="Char12">
    <w:name w:val="正文文本 Char1"/>
    <w:link w:val="ae"/>
    <w:locked/>
    <w:rPr>
      <w:rFonts w:ascii="方正仿宋简体" w:eastAsia="方正仿宋简体" w:hint="eastAsia"/>
      <w:sz w:val="32"/>
    </w:rPr>
  </w:style>
  <w:style w:type="character" w:customStyle="1" w:styleId="Char13">
    <w:name w:val="尾注文本 Char1"/>
    <w:link w:val="ac"/>
    <w:locked/>
    <w:rPr>
      <w:rFonts w:ascii="方正仿宋简体" w:eastAsia="方正仿宋简体" w:hint="eastAsia"/>
      <w:sz w:val="32"/>
    </w:rPr>
  </w:style>
  <w:style w:type="character" w:customStyle="1" w:styleId="Char14">
    <w:name w:val="日期 Char1"/>
    <w:link w:val="af0"/>
    <w:locked/>
    <w:rPr>
      <w:rFonts w:ascii="宋体" w:eastAsia="宋体" w:hAnsi="宋体" w:hint="eastAsia"/>
      <w:sz w:val="32"/>
    </w:rPr>
  </w:style>
  <w:style w:type="character" w:customStyle="1" w:styleId="afc">
    <w:name w:val="脚注文本 字符"/>
    <w:uiPriority w:val="99"/>
    <w:semiHidden/>
    <w:rPr>
      <w:rFonts w:ascii="Times New Roman" w:eastAsia="方正仿宋简体" w:hAnsi="Times New Roman" w:cs="Times New Roman" w:hint="default"/>
      <w:sz w:val="18"/>
      <w:szCs w:val="18"/>
    </w:rPr>
  </w:style>
  <w:style w:type="character" w:customStyle="1" w:styleId="afd">
    <w:name w:val="日期 字符"/>
    <w:uiPriority w:val="99"/>
    <w:semiHidden/>
    <w:rPr>
      <w:rFonts w:ascii="Times New Roman" w:eastAsia="方正仿宋简体" w:hAnsi="Times New Roman" w:cs="Times New Roman" w:hint="default"/>
      <w:sz w:val="32"/>
      <w:szCs w:val="20"/>
    </w:rPr>
  </w:style>
  <w:style w:type="character" w:customStyle="1" w:styleId="afe">
    <w:name w:val="正文文本 字符"/>
    <w:uiPriority w:val="99"/>
    <w:semiHidden/>
    <w:rPr>
      <w:rFonts w:ascii="Times New Roman" w:eastAsia="方正仿宋简体" w:hAnsi="Times New Roman" w:cs="Times New Roman" w:hint="default"/>
      <w:sz w:val="32"/>
      <w:szCs w:val="20"/>
    </w:rPr>
  </w:style>
  <w:style w:type="character" w:customStyle="1" w:styleId="aff">
    <w:name w:val="文档结构图 字符"/>
    <w:uiPriority w:val="99"/>
    <w:semiHidden/>
    <w:rPr>
      <w:rFonts w:ascii="Microsoft YaHei UI" w:eastAsia="Microsoft YaHei UI" w:hAnsi="Times New Roman" w:cs="Times New Roman" w:hint="eastAsia"/>
      <w:sz w:val="18"/>
      <w:szCs w:val="18"/>
    </w:rPr>
  </w:style>
  <w:style w:type="character" w:customStyle="1" w:styleId="aff0">
    <w:name w:val="尾注文本 字符"/>
    <w:uiPriority w:val="99"/>
    <w:semiHidden/>
    <w:rPr>
      <w:rFonts w:ascii="Times New Roman" w:eastAsia="方正仿宋简体" w:hAnsi="Times New Roman" w:cs="Times New Roman" w:hint="default"/>
      <w:sz w:val="32"/>
      <w:szCs w:val="20"/>
    </w:rPr>
  </w:style>
  <w:style w:type="table" w:styleId="aff1">
    <w:name w:val="Table Grid"/>
    <w:basedOn w:val="a2"/>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pPr>
      <w:numPr>
        <w:numId w:val="11"/>
      </w:numPr>
    </w:pPr>
  </w:style>
  <w:style w:type="numbering" w:customStyle="1" w:styleId="3">
    <w:name w:val="样式3"/>
    <w:uiPriority w:val="99"/>
    <w:pPr>
      <w:numPr>
        <w:numId w:val="12"/>
      </w:numPr>
    </w:pPr>
  </w:style>
  <w:style w:type="numbering" w:customStyle="1" w:styleId="2">
    <w:name w:val="样式2"/>
    <w:uiPriority w:val="99"/>
    <w:pPr>
      <w:numPr>
        <w:numId w:val="13"/>
      </w:numPr>
    </w:pPr>
  </w:style>
  <w:style w:type="character" w:styleId="aff2">
    <w:name w:val="page number"/>
    <w:uiPriority w:val="99"/>
    <w:semiHidden/>
    <w:unhideWhenUsed/>
  </w:style>
</w:styles>
</file>

<file path=word/webSettings.xml><?xml version="1.0" encoding="utf-8"?>
<w:webSettings xmlns:r="http://schemas.openxmlformats.org/officeDocument/2006/relationships" xmlns:w="http://schemas.openxmlformats.org/wordprocessingml/2006/main">
  <w:encoding w:val="unicode"/>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4C8D5-54EE-4900-8C87-554CD6FB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4</DocSecurity>
  <Lines>8</Lines>
  <Paragraphs>2</Paragraphs>
  <ScaleCrop>false</ScaleCrop>
  <Company>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2025-11-28T16:01:00Z</dcterms:created>
  <dcterms:modified xsi:type="dcterms:W3CDTF">2025-11-28T16:01:00Z</dcterms:modified>
</cp:coreProperties>
</file>