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7A" w:rsidRDefault="00476F7A">
      <w:pPr>
        <w:adjustRightInd w:val="0"/>
        <w:snapToGrid w:val="0"/>
        <w:spacing w:line="360" w:lineRule="auto"/>
        <w:jc w:val="center"/>
        <w:rPr>
          <w:rFonts w:ascii="宋体" w:hAnsi="宋体"/>
          <w:bCs/>
          <w:sz w:val="28"/>
          <w:szCs w:val="28"/>
        </w:rPr>
      </w:pPr>
      <w:bookmarkStart w:id="0" w:name="_GoBack"/>
      <w:bookmarkEnd w:id="0"/>
    </w:p>
    <w:p w:rsidR="00476F7A" w:rsidRDefault="00476F7A">
      <w:pPr>
        <w:adjustRightInd w:val="0"/>
        <w:snapToGrid w:val="0"/>
        <w:spacing w:line="360" w:lineRule="auto"/>
        <w:jc w:val="center"/>
        <w:rPr>
          <w:rFonts w:ascii="宋体" w:hAnsi="宋体"/>
          <w:b/>
          <w:sz w:val="28"/>
          <w:szCs w:val="28"/>
        </w:rPr>
      </w:pPr>
    </w:p>
    <w:p w:rsidR="00476F7A" w:rsidRDefault="00476F7A">
      <w:pPr>
        <w:adjustRightInd w:val="0"/>
        <w:snapToGrid w:val="0"/>
        <w:spacing w:line="360" w:lineRule="auto"/>
        <w:jc w:val="center"/>
        <w:rPr>
          <w:rFonts w:ascii="宋体" w:hAnsi="宋体"/>
          <w:b/>
          <w:sz w:val="28"/>
          <w:szCs w:val="28"/>
        </w:rPr>
      </w:pPr>
    </w:p>
    <w:p w:rsidR="00476F7A" w:rsidRDefault="00E84586">
      <w:pPr>
        <w:adjustRightInd w:val="0"/>
        <w:snapToGrid w:val="0"/>
        <w:spacing w:line="360" w:lineRule="auto"/>
        <w:jc w:val="center"/>
        <w:rPr>
          <w:rFonts w:ascii="宋体" w:hAnsi="宋体"/>
          <w:b/>
          <w:color w:val="000000"/>
          <w:sz w:val="40"/>
          <w:szCs w:val="40"/>
        </w:rPr>
      </w:pPr>
      <w:r>
        <w:rPr>
          <w:rFonts w:ascii="宋体" w:hAnsi="宋体" w:hint="eastAsia"/>
          <w:b/>
          <w:color w:val="000000"/>
          <w:sz w:val="40"/>
          <w:szCs w:val="40"/>
        </w:rPr>
        <w:t>路博迈港股通科技股票型证券投资基金</w:t>
      </w:r>
    </w:p>
    <w:p w:rsidR="00476F7A" w:rsidRDefault="00E84586">
      <w:pPr>
        <w:adjustRightInd w:val="0"/>
        <w:snapToGrid w:val="0"/>
        <w:spacing w:line="360" w:lineRule="auto"/>
        <w:jc w:val="center"/>
        <w:rPr>
          <w:rFonts w:ascii="宋体" w:hAnsi="宋体"/>
          <w:b/>
          <w:color w:val="000000"/>
          <w:sz w:val="40"/>
          <w:szCs w:val="40"/>
        </w:rPr>
      </w:pPr>
      <w:r>
        <w:rPr>
          <w:rFonts w:ascii="宋体" w:hAnsi="宋体" w:hint="eastAsia"/>
          <w:b/>
          <w:color w:val="000000"/>
          <w:sz w:val="40"/>
          <w:szCs w:val="40"/>
        </w:rPr>
        <w:t>基金</w:t>
      </w:r>
      <w:r>
        <w:rPr>
          <w:rFonts w:ascii="宋体" w:hAnsi="宋体"/>
          <w:b/>
          <w:color w:val="000000"/>
          <w:sz w:val="40"/>
          <w:szCs w:val="40"/>
        </w:rPr>
        <w:t>份额发售公告</w:t>
      </w:r>
    </w:p>
    <w:p w:rsidR="00476F7A" w:rsidRDefault="00476F7A">
      <w:pPr>
        <w:adjustRightInd w:val="0"/>
        <w:snapToGrid w:val="0"/>
        <w:spacing w:line="360" w:lineRule="auto"/>
        <w:jc w:val="center"/>
        <w:rPr>
          <w:rFonts w:ascii="宋体" w:hAnsi="宋体"/>
          <w:sz w:val="28"/>
          <w:szCs w:val="28"/>
        </w:rPr>
      </w:pPr>
    </w:p>
    <w:p w:rsidR="00476F7A" w:rsidRDefault="00476F7A">
      <w:pPr>
        <w:adjustRightInd w:val="0"/>
        <w:snapToGrid w:val="0"/>
        <w:spacing w:line="360" w:lineRule="auto"/>
        <w:jc w:val="center"/>
        <w:rPr>
          <w:rFonts w:ascii="宋体" w:hAnsi="宋体"/>
          <w:sz w:val="28"/>
          <w:szCs w:val="28"/>
        </w:rPr>
      </w:pPr>
    </w:p>
    <w:p w:rsidR="00476F7A" w:rsidRDefault="00476F7A">
      <w:pPr>
        <w:adjustRightInd w:val="0"/>
        <w:snapToGrid w:val="0"/>
        <w:spacing w:line="360" w:lineRule="auto"/>
        <w:jc w:val="center"/>
        <w:rPr>
          <w:rFonts w:ascii="宋体" w:hAnsi="宋体"/>
          <w:sz w:val="28"/>
          <w:szCs w:val="28"/>
        </w:rPr>
      </w:pPr>
    </w:p>
    <w:p w:rsidR="00476F7A" w:rsidRDefault="00476F7A">
      <w:pPr>
        <w:adjustRightInd w:val="0"/>
        <w:snapToGrid w:val="0"/>
        <w:spacing w:line="360" w:lineRule="auto"/>
        <w:jc w:val="center"/>
        <w:rPr>
          <w:rFonts w:ascii="宋体" w:hAnsi="宋体"/>
          <w:sz w:val="28"/>
          <w:szCs w:val="28"/>
        </w:rPr>
      </w:pPr>
    </w:p>
    <w:p w:rsidR="00476F7A" w:rsidRDefault="00476F7A">
      <w:pPr>
        <w:adjustRightInd w:val="0"/>
        <w:snapToGrid w:val="0"/>
        <w:spacing w:line="360" w:lineRule="auto"/>
        <w:jc w:val="center"/>
        <w:rPr>
          <w:rFonts w:ascii="宋体" w:hAnsi="宋体"/>
          <w:sz w:val="28"/>
          <w:szCs w:val="28"/>
        </w:rPr>
      </w:pPr>
    </w:p>
    <w:p w:rsidR="00476F7A" w:rsidRDefault="00476F7A">
      <w:pPr>
        <w:adjustRightInd w:val="0"/>
        <w:snapToGrid w:val="0"/>
        <w:spacing w:line="360" w:lineRule="auto"/>
        <w:jc w:val="center"/>
        <w:rPr>
          <w:rFonts w:ascii="宋体" w:hAnsi="宋体"/>
          <w:sz w:val="28"/>
          <w:szCs w:val="28"/>
        </w:rPr>
      </w:pPr>
    </w:p>
    <w:p w:rsidR="00476F7A" w:rsidRDefault="00476F7A">
      <w:pPr>
        <w:adjustRightInd w:val="0"/>
        <w:snapToGrid w:val="0"/>
        <w:spacing w:line="360" w:lineRule="auto"/>
        <w:jc w:val="center"/>
        <w:rPr>
          <w:rFonts w:ascii="宋体" w:hAnsi="宋体"/>
          <w:sz w:val="28"/>
          <w:szCs w:val="28"/>
        </w:rPr>
      </w:pPr>
    </w:p>
    <w:p w:rsidR="00476F7A" w:rsidRDefault="00476F7A">
      <w:pPr>
        <w:adjustRightInd w:val="0"/>
        <w:snapToGrid w:val="0"/>
        <w:spacing w:line="360" w:lineRule="auto"/>
        <w:jc w:val="center"/>
        <w:rPr>
          <w:rFonts w:ascii="宋体" w:hAnsi="宋体"/>
          <w:sz w:val="28"/>
          <w:szCs w:val="28"/>
        </w:rPr>
      </w:pPr>
    </w:p>
    <w:p w:rsidR="00476F7A" w:rsidRDefault="00E84586">
      <w:pPr>
        <w:adjustRightInd w:val="0"/>
        <w:snapToGrid w:val="0"/>
        <w:spacing w:line="360" w:lineRule="auto"/>
        <w:jc w:val="center"/>
        <w:rPr>
          <w:rFonts w:ascii="宋体" w:hAnsi="宋体"/>
          <w:b/>
          <w:color w:val="000000"/>
          <w:sz w:val="32"/>
          <w:szCs w:val="32"/>
        </w:rPr>
      </w:pPr>
      <w:r>
        <w:rPr>
          <w:rFonts w:ascii="宋体" w:hAnsi="宋体" w:hint="eastAsia"/>
          <w:b/>
          <w:color w:val="000000"/>
          <w:sz w:val="32"/>
          <w:szCs w:val="32"/>
        </w:rPr>
        <w:t>基金管理人：路博迈基金管理（中国）有限公司</w:t>
      </w:r>
    </w:p>
    <w:p w:rsidR="00476F7A" w:rsidRDefault="00E84586">
      <w:pPr>
        <w:adjustRightInd w:val="0"/>
        <w:snapToGrid w:val="0"/>
        <w:spacing w:line="360" w:lineRule="auto"/>
        <w:jc w:val="center"/>
        <w:rPr>
          <w:rFonts w:ascii="宋体" w:hAnsi="宋体"/>
          <w:b/>
          <w:color w:val="000000"/>
          <w:sz w:val="28"/>
          <w:szCs w:val="28"/>
        </w:rPr>
      </w:pPr>
      <w:r>
        <w:rPr>
          <w:rFonts w:ascii="宋体" w:hAnsi="宋体" w:hint="eastAsia"/>
          <w:b/>
          <w:color w:val="000000"/>
          <w:sz w:val="32"/>
          <w:szCs w:val="32"/>
        </w:rPr>
        <w:t>基金托管人：中国工商银行股份有限公司</w:t>
      </w:r>
    </w:p>
    <w:p w:rsidR="00476F7A" w:rsidRDefault="00476F7A">
      <w:pPr>
        <w:adjustRightInd w:val="0"/>
        <w:snapToGrid w:val="0"/>
        <w:spacing w:line="360" w:lineRule="auto"/>
        <w:jc w:val="center"/>
        <w:rPr>
          <w:rFonts w:ascii="宋体" w:hAnsi="宋体"/>
          <w:bCs/>
          <w:sz w:val="24"/>
          <w:szCs w:val="22"/>
        </w:rPr>
      </w:pPr>
    </w:p>
    <w:p w:rsidR="00476F7A" w:rsidRDefault="00476F7A">
      <w:pPr>
        <w:adjustRightInd w:val="0"/>
        <w:snapToGrid w:val="0"/>
        <w:spacing w:line="360" w:lineRule="auto"/>
        <w:jc w:val="center"/>
        <w:rPr>
          <w:rFonts w:ascii="宋体" w:hAnsi="宋体"/>
          <w:bCs/>
          <w:sz w:val="24"/>
          <w:szCs w:val="22"/>
        </w:rPr>
      </w:pPr>
    </w:p>
    <w:p w:rsidR="00476F7A" w:rsidRDefault="00E84586">
      <w:pPr>
        <w:adjustRightInd w:val="0"/>
        <w:snapToGrid w:val="0"/>
        <w:spacing w:line="360" w:lineRule="auto"/>
        <w:jc w:val="center"/>
        <w:rPr>
          <w:rFonts w:ascii="宋体" w:hAnsi="宋体"/>
          <w:b/>
          <w:color w:val="000000"/>
          <w:sz w:val="32"/>
          <w:szCs w:val="32"/>
        </w:rPr>
      </w:pPr>
      <w:r>
        <w:rPr>
          <w:rFonts w:ascii="宋体" w:hAnsi="宋体" w:hint="eastAsia"/>
          <w:b/>
          <w:sz w:val="32"/>
          <w:szCs w:val="32"/>
        </w:rPr>
        <w:t>二〇二五</w:t>
      </w:r>
      <w:r>
        <w:rPr>
          <w:rFonts w:ascii="宋体" w:hAnsi="宋体" w:hint="eastAsia"/>
          <w:b/>
          <w:bCs/>
          <w:sz w:val="32"/>
          <w:szCs w:val="32"/>
        </w:rPr>
        <w:t>年</w:t>
      </w:r>
      <w:r>
        <w:rPr>
          <w:rFonts w:ascii="宋体" w:hAnsi="宋体" w:hint="eastAsia"/>
          <w:b/>
          <w:sz w:val="32"/>
          <w:szCs w:val="32"/>
        </w:rPr>
        <w:t>十一</w:t>
      </w:r>
      <w:r>
        <w:rPr>
          <w:rFonts w:ascii="宋体" w:hAnsi="宋体" w:hint="eastAsia"/>
          <w:b/>
          <w:bCs/>
          <w:sz w:val="32"/>
          <w:szCs w:val="32"/>
        </w:rPr>
        <w:t>月</w:t>
      </w:r>
    </w:p>
    <w:p w:rsidR="00476F7A" w:rsidRDefault="00476F7A">
      <w:pPr>
        <w:jc w:val="center"/>
        <w:rPr>
          <w:rFonts w:ascii="宋体" w:hAnsi="宋体"/>
          <w:b/>
          <w:color w:val="000000"/>
          <w:sz w:val="30"/>
          <w:szCs w:val="30"/>
        </w:rPr>
      </w:pPr>
    </w:p>
    <w:p w:rsidR="00476F7A" w:rsidRDefault="00476F7A">
      <w:pPr>
        <w:pStyle w:val="080325"/>
        <w:spacing w:line="360" w:lineRule="auto"/>
        <w:rPr>
          <w:rFonts w:ascii="宋体" w:eastAsia="宋体"/>
          <w:b/>
          <w:color w:val="000000"/>
          <w:szCs w:val="24"/>
        </w:rPr>
        <w:sectPr w:rsidR="00476F7A">
          <w:headerReference w:type="default" r:id="rId8"/>
          <w:footerReference w:type="default" r:id="rId9"/>
          <w:footerReference w:type="first" r:id="rId10"/>
          <w:pgSz w:w="11906" w:h="16838"/>
          <w:pgMar w:top="1440" w:right="1800" w:bottom="1440" w:left="1800" w:header="851" w:footer="992" w:gutter="0"/>
          <w:pgNumType w:start="0"/>
          <w:cols w:space="720"/>
          <w:titlePg/>
          <w:docGrid w:type="lines" w:linePitch="312"/>
        </w:sectPr>
      </w:pPr>
    </w:p>
    <w:p w:rsidR="00476F7A" w:rsidRDefault="00E84586">
      <w:pPr>
        <w:widowControl/>
        <w:spacing w:line="312" w:lineRule="auto"/>
        <w:jc w:val="center"/>
        <w:rPr>
          <w:rFonts w:ascii="宋体" w:hAnsi="宋体" w:cs="Arial"/>
          <w:b/>
          <w:sz w:val="23"/>
          <w:szCs w:val="23"/>
        </w:rPr>
      </w:pPr>
      <w:r>
        <w:rPr>
          <w:rFonts w:ascii="宋体" w:hAnsi="宋体" w:cs="Arial"/>
          <w:b/>
          <w:sz w:val="23"/>
          <w:szCs w:val="23"/>
        </w:rPr>
        <w:lastRenderedPageBreak/>
        <w:t>重要提示</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w:t>
      </w:r>
      <w:r>
        <w:rPr>
          <w:rFonts w:ascii="宋体" w:hAnsi="宋体" w:cs="Arial" w:hint="eastAsia"/>
          <w:sz w:val="23"/>
          <w:szCs w:val="23"/>
        </w:rPr>
        <w:t>路博迈港股通科技股票型证券投资基金（以下简称“本基金”）已于2025年</w:t>
      </w:r>
      <w:r>
        <w:rPr>
          <w:rFonts w:ascii="宋体" w:hAnsi="宋体" w:cs="Arial"/>
          <w:sz w:val="23"/>
          <w:szCs w:val="23"/>
        </w:rPr>
        <w:t>11</w:t>
      </w:r>
      <w:r>
        <w:rPr>
          <w:rFonts w:ascii="宋体" w:hAnsi="宋体" w:cs="Arial" w:hint="eastAsia"/>
          <w:sz w:val="23"/>
          <w:szCs w:val="23"/>
        </w:rPr>
        <w:t>月</w:t>
      </w:r>
      <w:r>
        <w:rPr>
          <w:rFonts w:ascii="宋体" w:hAnsi="宋体" w:cs="Arial"/>
          <w:sz w:val="23"/>
          <w:szCs w:val="23"/>
        </w:rPr>
        <w:t>17</w:t>
      </w:r>
      <w:r>
        <w:rPr>
          <w:rFonts w:ascii="宋体" w:hAnsi="宋体" w:cs="Arial" w:hint="eastAsia"/>
          <w:sz w:val="23"/>
          <w:szCs w:val="23"/>
        </w:rPr>
        <w:t>日获得中国证监会准予注册的批复（证监许可〔2025〕</w:t>
      </w:r>
      <w:r>
        <w:rPr>
          <w:rFonts w:ascii="宋体" w:hAnsi="宋体" w:cs="Arial"/>
          <w:sz w:val="23"/>
          <w:szCs w:val="23"/>
        </w:rPr>
        <w:t>2535</w:t>
      </w:r>
      <w:r>
        <w:rPr>
          <w:rFonts w:ascii="宋体" w:hAnsi="宋体" w:cs="Arial" w:hint="eastAsia"/>
          <w:sz w:val="23"/>
          <w:szCs w:val="23"/>
        </w:rPr>
        <w:t>号《关于准予路博迈港股通科技股票型证券投资基金注册的批复》）。中国证监会对本基金募集的注册并不表明其对本基金的投资价值和市场前景做出实质性判断或保证，也不表明投资于本基金没有风险。</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2、</w:t>
      </w:r>
      <w:r>
        <w:rPr>
          <w:rFonts w:ascii="宋体" w:hAnsi="宋体" w:cs="Arial" w:hint="eastAsia"/>
          <w:sz w:val="23"/>
          <w:szCs w:val="23"/>
        </w:rPr>
        <w:t>本基金为股票型基金，其预期风险与收益理论上高于混合型基金、债券型基金与货币市场基金。本基金投资港股通标的股票，需承担港股通机制下因投资环境、投资标的、市场制度以及交易规则等差异带来的特有风险。</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3、本基金的基金管理人为路博迈基金管理（中国）有限公司（以下简称“本公司”、“基金管理人”或“本基金管理人”），基金托管人为</w:t>
      </w:r>
      <w:r>
        <w:rPr>
          <w:rFonts w:ascii="宋体" w:hAnsi="宋体" w:cs="Arial" w:hint="eastAsia"/>
          <w:sz w:val="23"/>
          <w:szCs w:val="23"/>
        </w:rPr>
        <w:t>中国工商银行股份有限公司。同时，国泰海通证券股份有限公司作为基金服务机构，为本基金提供份额登记、估值核算等基金服务</w:t>
      </w:r>
      <w:r>
        <w:rPr>
          <w:rFonts w:ascii="宋体" w:hAnsi="宋体" w:cs="Arial"/>
          <w:sz w:val="23"/>
          <w:szCs w:val="23"/>
        </w:rPr>
        <w:t>。</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4、本基金的募集对象为</w:t>
      </w:r>
      <w:r>
        <w:rPr>
          <w:rFonts w:ascii="宋体" w:hAnsi="宋体" w:cs="Arial" w:hint="eastAsia"/>
          <w:sz w:val="23"/>
          <w:szCs w:val="23"/>
        </w:rPr>
        <w:t>符合法律法规规定的可投资于证券投资基金的个人投资者、机构投资者、合格境外投资者以及法律法规或中国证监会允许购买证券投资基金的其他投资人。</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基金管理人有权对可购买本基金的投资者资质予以规定并不时调整，具体见《路博迈基金管理（中国）有限公司开放式基金业务规则》（以下简称“《业务规则》”），以及基金管理人届时发布的相关公告。</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本基金仅接受符合相关资质条件的基金投资者持有本基金基金份额。基金管理人为履行法律法规以及公司内部控制制度的要求，有权拒绝属于非中国税收居民的投资者（或其代理人或授权签字人或控制人，下同）的认购/申购或以任何方式持有本基金基金份额的行为。</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本基金目前仅为根据中华人民共和国法律注册的公募基金产品。由于并非所有美国纳税人都适合购买非美国注册的产品，除下文所述的特定情形外，本基金将不直接或间接地向美国纳税人（或其代理人或授权签字人或控制人，下同）销售或由美国纳税人持有。本条所称的“美国纳税人”包括但不限于：出生地为美国的人士、美国国籍人士、美国护照持有人士、美国永久居民、满足实际居住测试（</w:t>
      </w:r>
      <w:r>
        <w:rPr>
          <w:rFonts w:ascii="宋体" w:hAnsi="宋体" w:cs="Arial"/>
          <w:sz w:val="23"/>
          <w:szCs w:val="23"/>
        </w:rPr>
        <w:t>Substantial Presence Test</w:t>
      </w:r>
      <w:r>
        <w:rPr>
          <w:rFonts w:ascii="宋体" w:hAnsi="宋体" w:cs="Arial" w:hint="eastAsia"/>
          <w:sz w:val="23"/>
          <w:szCs w:val="23"/>
        </w:rPr>
        <w:t>）或选择作为美国纳税人进行纳税的人士以及拥有由美国政府签发身</w:t>
      </w:r>
      <w:r>
        <w:rPr>
          <w:rFonts w:ascii="宋体" w:hAnsi="宋体" w:cs="Arial" w:hint="eastAsia"/>
          <w:sz w:val="23"/>
          <w:szCs w:val="23"/>
        </w:rPr>
        <w:lastRenderedPageBreak/>
        <w:t>份证明文件的其他人士、美国境内设立的（或者根据美国法律或者美国境内任何法域的法律设立的）实体或组织（含其海外分支机构）、由美国纳税人直接或者间接持有或受益的账户、美国境内的任何其他人士（包括但不限于当前居住地址、邮寄地址或代收邮件地址在美国境内、预留和使用归属地为美国的电话号码）等。</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基金投资者属于联合国、中国有权机关或其他司法管辖区有权机关制裁名单内的企业或个人或位于被联合国、中国有权机关或者其他司法管辖区有权机关制裁的国家和地区，基金管理人或销售机构将不接受该基金投资者对基金份额的认购或申购申请。</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本基金有权拒绝非中国税收居民、美国纳税人、受限于《非居民金融账户涉税信息尽职调查管理办法》或相关法律法规及其他有关规定的任何报告或扣缴义务、不再符合或遵守《非居民金融账户涉税信息尽职调查管理办法》或相关法律法规或其他有关规定、违反反洗钱、制裁及打击恐怖融资、反贪污贿赂及其他金融犯罪等法律法规要求或不符合基金管理人规定的其他投资者资质条件的投资者（以下合称“非适格投资者”）的认购/申购申请或以任何方式持有本基金基金份额的行为。为此，基金管理人、销售机构或其授权的第三方有权拒绝非适格投资者的认购、申购（含定期定额投资）、转换转入申请，且有权拒绝任何非适格投资者开立基金账户或采取强制赎回、注销基金账户等其他相应控制措施，并要求赔偿因此而遭受（或可能遭受）的损失。</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投资者应当按照相关法律法规及基金管理人的要求，及时向基金管理人、销售机构或其授权的第三方真实、及时、准确、完整地提供有效的税收居民声明文件及证明文件，前述信息资料发生变更的，投资者应在30天内告知基金管理人、销售机构或其授权的第三方，并提供变更后的有效的税收居民声明文件及证明文件。属于上述“美国纳税人”的投资者，不得通过任何方式投资于本基金。基金投资者及基金份额持有人通过其认购/申购，或者其他任何获取本基金基金份额的行为承诺其完全知悉上述要求，并声明其并非美国纳税人。投资者如果在持有本基金期间成为美国纳税人，必须立即赎回其持有的全部基金份额。若基金管理人知悉基金份额持有人违反上述限制，则基金管理人有权通知该基金份额持有人，要求其赎回持有的全部基金份额。</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基金管理人、销售机构或其授权的第三方将根据投资者提供的信息资料（含其更新），合理判断投资者是否构成或可能构成非适格投资者。如经认定投资者可能为非适格投资者，则基金管理人、销售机构或其授权的第三方有权拒绝投资者开立基金账户的申请，并有权拒绝投资者的认购、申购（含定期定额投资）、转换转入申请或采取强制赎回等其他相应控制措施。如因投资者提供的税收居民声明文件及证明文件不完整、真实性或准确性存疑等原因，基金管理人、销售机构或其授权的第三方无法依据现有信息资料充分认定，则有权基于审慎性原则，认定投资者可能构成非适格投资者，从而拒绝其开立基金账户及认购、申购（含定期定额投资）、转换转入申请或采取强制赎回等其他相应控制措施。</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如基金管理人在基金投资者开立基金账户后发现基金投资者构成或可能构成非适格投资者，或者基金投资者在获得基金份额后构成或可能构成非适格投资者，基金管理人或销售机构或其授权的第三方有权根据基金合同的约定采取相关措施，包括但不限于:(a)不接受该基金份额持有人对基金份额进一步的申购申请;(b)对基金份额持有人持有的基金份额进行强制赎回;(c)注销已经开立的基金账户。因基金投资者构成非适格投资者但未向基金管理人或销售机构或其授权的第三方如实披露而损害基金管理人(或其授权的第三方)、本基金或本基金的其他基金份额持有人，本基金及基金管理人(或其授权的第三方)保留采取任何措施及/或就全部损失进行追偿的权利，包括但不限于拒绝接受投资人或基金份额持有人的认购/申购申请、向基金份额持有人提起诉讼/仲裁、对基金份额持有人持有的基金份额进行强制赎回，并且基金份额持有人不可以就本基金或以本基金名义为遵守任何适用法律法规、财政或税收要求（无论是否为法定的）而采取相关措施或进行相关追偿过程中产生的任何形式的损害或责任向本基金及基金管理人（或其授权的第三方）提出任何要求或追偿。</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420"/>
        <w:rPr>
          <w:rFonts w:ascii="宋体" w:hAnsi="宋体" w:cs="Arial"/>
          <w:sz w:val="23"/>
          <w:szCs w:val="23"/>
        </w:rPr>
      </w:pPr>
      <w:r>
        <w:rPr>
          <w:rFonts w:ascii="宋体" w:hAnsi="宋体" w:cs="Arial" w:hint="eastAsia"/>
          <w:sz w:val="23"/>
          <w:szCs w:val="23"/>
        </w:rPr>
        <w:t>基金管理人认可的境外机构（包括但不限于该等机构管理的资产管理产品、账户等）作为合格境外投资者，或通过内地与境外市场的互联互通机制投资本基金或其他经基金管理人合理判断投资本基金对基金管理人或本基金的运作不构成合规风险的投资者，不受上述规定的限制。</w:t>
      </w:r>
    </w:p>
    <w:p w:rsidR="00476F7A" w:rsidRDefault="00476F7A">
      <w:pPr>
        <w:adjustRightInd w:val="0"/>
        <w:snapToGrid w:val="0"/>
        <w:spacing w:line="312" w:lineRule="auto"/>
        <w:ind w:firstLine="42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出于反洗钱、制裁、反恐怖融资、非居民金融账户涉税信息尽职调查与信息报送等相关的合规要求，基金管理人有权对可购买本基金的投资者资质予以规定并不时调整，具体见基金管理人不时于其网站（</w:t>
      </w:r>
      <w:r>
        <w:rPr>
          <w:rFonts w:ascii="宋体" w:hAnsi="宋体" w:cs="Arial"/>
          <w:sz w:val="23"/>
          <w:szCs w:val="23"/>
        </w:rPr>
        <w:t>www.nbchina.com</w:t>
      </w:r>
      <w:r>
        <w:rPr>
          <w:rFonts w:ascii="宋体" w:hAnsi="宋体" w:cs="Arial" w:hint="eastAsia"/>
          <w:sz w:val="23"/>
          <w:szCs w:val="23"/>
        </w:rPr>
        <w:t>）披露的相关业务规则及公示信息，以及基金管理人届时发布的相关公告。</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5、</w:t>
      </w:r>
      <w:bookmarkStart w:id="1" w:name="_Hlk126578427"/>
      <w:r>
        <w:rPr>
          <w:rFonts w:ascii="宋体" w:hAnsi="宋体" w:cs="Arial"/>
          <w:sz w:val="23"/>
          <w:szCs w:val="23"/>
        </w:rPr>
        <w:t>本基金自2025</w:t>
      </w:r>
      <w:r>
        <w:rPr>
          <w:rFonts w:ascii="宋体" w:hAnsi="宋体" w:cs="Arial" w:hint="eastAsia"/>
          <w:sz w:val="23"/>
          <w:szCs w:val="23"/>
        </w:rPr>
        <w:t>年</w:t>
      </w:r>
      <w:r>
        <w:rPr>
          <w:rFonts w:ascii="宋体" w:hAnsi="宋体" w:cs="Arial"/>
          <w:sz w:val="23"/>
          <w:szCs w:val="23"/>
        </w:rPr>
        <w:t>12</w:t>
      </w:r>
      <w:r>
        <w:rPr>
          <w:rFonts w:ascii="宋体" w:hAnsi="宋体" w:cs="Arial" w:hint="eastAsia"/>
          <w:sz w:val="23"/>
          <w:szCs w:val="23"/>
        </w:rPr>
        <w:t>月</w:t>
      </w:r>
      <w:r>
        <w:rPr>
          <w:rFonts w:ascii="宋体" w:hAnsi="宋体" w:cs="Arial"/>
          <w:sz w:val="23"/>
          <w:szCs w:val="23"/>
        </w:rPr>
        <w:t>8</w:t>
      </w:r>
      <w:r>
        <w:rPr>
          <w:rFonts w:ascii="宋体" w:hAnsi="宋体" w:cs="Arial" w:hint="eastAsia"/>
          <w:sz w:val="23"/>
          <w:szCs w:val="23"/>
        </w:rPr>
        <w:t>日起至</w:t>
      </w:r>
      <w:r>
        <w:rPr>
          <w:rFonts w:ascii="宋体" w:hAnsi="宋体" w:cs="Arial"/>
          <w:sz w:val="23"/>
          <w:szCs w:val="23"/>
        </w:rPr>
        <w:t>2026</w:t>
      </w:r>
      <w:r>
        <w:rPr>
          <w:rFonts w:ascii="宋体" w:hAnsi="宋体" w:cs="Arial" w:hint="eastAsia"/>
          <w:sz w:val="23"/>
          <w:szCs w:val="23"/>
        </w:rPr>
        <w:t>年</w:t>
      </w:r>
      <w:r>
        <w:rPr>
          <w:rFonts w:ascii="宋体" w:hAnsi="宋体" w:cs="Arial"/>
          <w:sz w:val="23"/>
          <w:szCs w:val="23"/>
        </w:rPr>
        <w:t>3</w:t>
      </w:r>
      <w:r>
        <w:rPr>
          <w:rFonts w:ascii="宋体" w:hAnsi="宋体" w:cs="Arial" w:hint="eastAsia"/>
          <w:sz w:val="23"/>
          <w:szCs w:val="23"/>
        </w:rPr>
        <w:t>月</w:t>
      </w:r>
      <w:r>
        <w:rPr>
          <w:rFonts w:ascii="宋体" w:hAnsi="宋体" w:cs="Arial"/>
          <w:sz w:val="23"/>
          <w:szCs w:val="23"/>
        </w:rPr>
        <w:t>6</w:t>
      </w:r>
      <w:r>
        <w:rPr>
          <w:rFonts w:ascii="宋体" w:hAnsi="宋体" w:cs="Arial" w:hint="eastAsia"/>
          <w:sz w:val="23"/>
          <w:szCs w:val="23"/>
        </w:rPr>
        <w:t>日</w:t>
      </w:r>
      <w:r>
        <w:rPr>
          <w:rFonts w:ascii="宋体" w:hAnsi="宋体" w:cs="Arial"/>
          <w:sz w:val="23"/>
          <w:szCs w:val="23"/>
        </w:rPr>
        <w:t>通过基金管理人的直销中心及其他基金销售机构的销售网点公开发售。</w:t>
      </w:r>
      <w:bookmarkEnd w:id="1"/>
      <w:r>
        <w:rPr>
          <w:rFonts w:ascii="宋体" w:hAnsi="宋体" w:cs="Arial"/>
          <w:sz w:val="23"/>
          <w:szCs w:val="23"/>
        </w:rPr>
        <w:t>销售机构具体名单详见本公告“</w:t>
      </w:r>
      <w:r>
        <w:rPr>
          <w:rFonts w:ascii="宋体" w:hAnsi="宋体" w:cs="Arial" w:hint="eastAsia"/>
          <w:sz w:val="23"/>
          <w:szCs w:val="23"/>
        </w:rPr>
        <w:t>六、本次认购当事人及中介机构</w:t>
      </w:r>
      <w:r>
        <w:rPr>
          <w:rFonts w:ascii="宋体" w:hAnsi="宋体" w:cs="Arial"/>
          <w:sz w:val="23"/>
          <w:szCs w:val="23"/>
        </w:rPr>
        <w:t>”之“（</w:t>
      </w:r>
      <w:r>
        <w:rPr>
          <w:rFonts w:ascii="宋体" w:hAnsi="宋体" w:cs="Arial" w:hint="eastAsia"/>
          <w:sz w:val="23"/>
          <w:szCs w:val="23"/>
        </w:rPr>
        <w:t>三</w:t>
      </w:r>
      <w:r>
        <w:rPr>
          <w:rFonts w:ascii="宋体" w:hAnsi="宋体" w:cs="Arial"/>
          <w:sz w:val="23"/>
          <w:szCs w:val="23"/>
        </w:rPr>
        <w:t>）销售机构”及基金管理人网站</w:t>
      </w:r>
      <w:r>
        <w:rPr>
          <w:rFonts w:ascii="宋体" w:hAnsi="宋体" w:cs="Arial" w:hint="eastAsia"/>
          <w:sz w:val="23"/>
          <w:szCs w:val="23"/>
        </w:rPr>
        <w:t>（www.nbchina.com）的公示名单</w:t>
      </w:r>
      <w:r>
        <w:rPr>
          <w:rFonts w:ascii="宋体" w:hAnsi="宋体" w:cs="Arial"/>
          <w:sz w:val="23"/>
          <w:szCs w:val="23"/>
        </w:rPr>
        <w:t>。各销售机构认购业务的办理网点、办理日期和时间等事项参照各销售机构的具体规定。直销中心办理业务时以其相关规则为准。</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基金管理人可根据募集情况，在符合相关法律法规的情况下，在募集期限内调整本基金的发售时间，但最长不超过法定募集期限并及时公告。如遇突发事件，以上基金募集期的安排也可以适当调整。</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6、投资人认购本基金应首先办理开户手续，开立本公司基金账户。本基金发售期内，本基金直销机构和其他销售机构的销售网点同时为投资人办理开立基金账户的手续。投资人的开户和认购申请可同时办理。</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如经认定投资者可能为</w:t>
      </w:r>
      <w:r>
        <w:rPr>
          <w:rFonts w:ascii="宋体" w:hAnsi="宋体" w:hint="eastAsia"/>
          <w:kern w:val="0"/>
          <w:sz w:val="23"/>
          <w:szCs w:val="23"/>
        </w:rPr>
        <w:t>非适格投资者</w:t>
      </w:r>
      <w:r>
        <w:rPr>
          <w:rFonts w:ascii="宋体" w:hAnsi="宋体" w:cs="Arial"/>
          <w:sz w:val="23"/>
          <w:szCs w:val="23"/>
        </w:rPr>
        <w:t>，则基金管理人、销售机构或其授权的第三方有权拒绝投资者开立基金账户的申请。因投资者提供的税收居民声明文件及证明文件不完整、真实性或准确性存疑等原因，基金管理人、销售机构或其授权的第三方无法依据现有信息资料充分认定，则有权基于审慎性原则，认定投资者可能构成</w:t>
      </w:r>
      <w:r>
        <w:rPr>
          <w:rFonts w:ascii="宋体" w:hAnsi="宋体" w:hint="eastAsia"/>
          <w:kern w:val="0"/>
          <w:sz w:val="23"/>
          <w:szCs w:val="23"/>
        </w:rPr>
        <w:t>非适格投资者</w:t>
      </w:r>
      <w:r>
        <w:rPr>
          <w:rFonts w:ascii="宋体" w:hAnsi="宋体" w:cs="Arial"/>
          <w:sz w:val="23"/>
          <w:szCs w:val="23"/>
        </w:rPr>
        <w:t>，从而拒绝其开立基金账户。</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7、投资人不得非法利用他人账户或资金进行认购，也不得违规融资或帮助他人违规进行认购。投资人应保证用于认购的资金来源合法，投资人应有权自行支配，不存在任何法律上、合约上的瑕疵或其他障碍。</w:t>
      </w:r>
    </w:p>
    <w:p w:rsidR="00476F7A" w:rsidRDefault="00476F7A">
      <w:pPr>
        <w:adjustRightInd w:val="0"/>
        <w:snapToGrid w:val="0"/>
        <w:spacing w:line="312" w:lineRule="auto"/>
        <w:rPr>
          <w:rFonts w:ascii="宋体" w:hAnsi="宋体" w:cs="Arial"/>
          <w:color w:val="000000"/>
          <w:kern w:val="0"/>
          <w:sz w:val="23"/>
          <w:szCs w:val="23"/>
        </w:rPr>
      </w:pPr>
    </w:p>
    <w:p w:rsidR="00476F7A" w:rsidRDefault="00E84586">
      <w:pPr>
        <w:adjustRightInd w:val="0"/>
        <w:snapToGrid w:val="0"/>
        <w:spacing w:line="312" w:lineRule="auto"/>
        <w:ind w:firstLineChars="200" w:firstLine="460"/>
        <w:rPr>
          <w:rFonts w:ascii="宋体" w:hAnsi="宋体" w:cs="Arial"/>
          <w:sz w:val="23"/>
          <w:szCs w:val="23"/>
        </w:rPr>
      </w:pPr>
      <w:bookmarkStart w:id="2" w:name="_Hlk62659153"/>
      <w:r>
        <w:rPr>
          <w:rFonts w:ascii="宋体" w:hAnsi="宋体" w:cs="Arial"/>
          <w:sz w:val="23"/>
          <w:szCs w:val="23"/>
        </w:rPr>
        <w:t>8、认购原则</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kern w:val="0"/>
          <w:sz w:val="23"/>
          <w:szCs w:val="23"/>
        </w:rPr>
        <w:t>（1）基金认购采用“金额认购、份额确认”的方式；</w:t>
      </w: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kern w:val="0"/>
          <w:sz w:val="23"/>
          <w:szCs w:val="23"/>
        </w:rPr>
        <w:t>（2）投资者认购时，需按销售机构规定的方式全额缴款；</w:t>
      </w: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kern w:val="0"/>
          <w:sz w:val="23"/>
          <w:szCs w:val="23"/>
        </w:rPr>
        <w:t>（3）投资者的认购申请一经受理不得撤销；</w:t>
      </w:r>
    </w:p>
    <w:p w:rsidR="00476F7A" w:rsidRDefault="00E84586">
      <w:pPr>
        <w:pStyle w:val="20"/>
        <w:adjustRightInd w:val="0"/>
        <w:snapToGrid w:val="0"/>
        <w:spacing w:line="312" w:lineRule="auto"/>
        <w:ind w:firstLine="460"/>
        <w:rPr>
          <w:rFonts w:cs="Arial"/>
          <w:sz w:val="23"/>
          <w:szCs w:val="23"/>
        </w:rPr>
      </w:pPr>
      <w:r>
        <w:rPr>
          <w:rFonts w:cs="Arial"/>
          <w:sz w:val="23"/>
          <w:szCs w:val="23"/>
        </w:rPr>
        <w:t>（4）投资者在募集期内可多次认购，认购期间单个投资者的累计认购金额没有限制，但招募说明书、</w:t>
      </w:r>
      <w:r>
        <w:rPr>
          <w:rFonts w:cs="Arial" w:hint="eastAsia"/>
          <w:sz w:val="23"/>
          <w:szCs w:val="23"/>
        </w:rPr>
        <w:t>本</w:t>
      </w:r>
      <w:r>
        <w:rPr>
          <w:rFonts w:cs="Arial"/>
          <w:sz w:val="23"/>
          <w:szCs w:val="23"/>
        </w:rPr>
        <w:t>基金份额发售公告、其他相关公告另有规定的除外。</w:t>
      </w:r>
    </w:p>
    <w:p w:rsidR="00476F7A" w:rsidRDefault="00476F7A">
      <w:pPr>
        <w:pStyle w:val="20"/>
        <w:adjustRightInd w:val="0"/>
        <w:snapToGrid w:val="0"/>
        <w:spacing w:line="312" w:lineRule="auto"/>
        <w:ind w:firstLineChars="0" w:firstLine="0"/>
        <w:rPr>
          <w:rFonts w:cs="Arial"/>
          <w:sz w:val="23"/>
          <w:szCs w:val="23"/>
        </w:rPr>
      </w:pPr>
    </w:p>
    <w:p w:rsidR="00476F7A" w:rsidRDefault="00E84586">
      <w:pPr>
        <w:adjustRightInd w:val="0"/>
        <w:snapToGrid w:val="0"/>
        <w:spacing w:line="312" w:lineRule="auto"/>
        <w:ind w:firstLineChars="200" w:firstLine="460"/>
        <w:rPr>
          <w:rFonts w:ascii="宋体" w:hAnsi="宋体" w:cs="Arial"/>
          <w:color w:val="000000"/>
          <w:kern w:val="0"/>
          <w:sz w:val="23"/>
          <w:szCs w:val="23"/>
        </w:rPr>
      </w:pPr>
      <w:r>
        <w:rPr>
          <w:rFonts w:ascii="宋体" w:hAnsi="宋体" w:cs="Arial"/>
          <w:color w:val="000000"/>
          <w:kern w:val="0"/>
          <w:sz w:val="23"/>
          <w:szCs w:val="23"/>
        </w:rPr>
        <w:t>9、认购限额</w:t>
      </w:r>
    </w:p>
    <w:p w:rsidR="00476F7A" w:rsidRDefault="00476F7A">
      <w:pPr>
        <w:adjustRightInd w:val="0"/>
        <w:snapToGrid w:val="0"/>
        <w:spacing w:line="312" w:lineRule="auto"/>
        <w:ind w:firstLineChars="200" w:firstLine="460"/>
        <w:rPr>
          <w:rFonts w:ascii="宋体" w:hAnsi="宋体" w:cs="Arial"/>
          <w:color w:val="000000"/>
          <w:kern w:val="0"/>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在基金募集期内，投资者</w:t>
      </w:r>
      <w:r>
        <w:rPr>
          <w:rFonts w:cs="Arial" w:hint="eastAsia"/>
          <w:sz w:val="23"/>
          <w:szCs w:val="23"/>
        </w:rPr>
        <w:t>通过基金管理人指定的销售机构认购本基金份额时，</w:t>
      </w:r>
      <w:r>
        <w:rPr>
          <w:rFonts w:cs="Arial"/>
          <w:sz w:val="23"/>
          <w:szCs w:val="23"/>
        </w:rPr>
        <w:t>可多次认购基金份额，</w:t>
      </w:r>
      <w:r>
        <w:rPr>
          <w:rFonts w:cs="Arial" w:hint="eastAsia"/>
          <w:sz w:val="23"/>
          <w:szCs w:val="23"/>
        </w:rPr>
        <w:t>单个账户首次认购</w:t>
      </w:r>
      <w:r>
        <w:rPr>
          <w:rFonts w:cs="Arial"/>
          <w:sz w:val="23"/>
          <w:szCs w:val="23"/>
        </w:rPr>
        <w:t>的最低金额为人民币10元（含认购费）</w:t>
      </w:r>
      <w:r>
        <w:rPr>
          <w:rFonts w:cs="Arial" w:hint="eastAsia"/>
          <w:sz w:val="23"/>
          <w:szCs w:val="23"/>
        </w:rPr>
        <w:t>，追加认购不设最低金额限制</w:t>
      </w:r>
      <w:r>
        <w:rPr>
          <w:rFonts w:cs="Arial"/>
          <w:sz w:val="23"/>
          <w:szCs w:val="23"/>
        </w:rPr>
        <w:t>。</w:t>
      </w:r>
      <w:r>
        <w:rPr>
          <w:rFonts w:cs="Arial" w:hint="eastAsia"/>
          <w:sz w:val="23"/>
          <w:szCs w:val="23"/>
        </w:rPr>
        <w:t>投资者通过基金管理人的</w:t>
      </w:r>
      <w:r>
        <w:rPr>
          <w:rFonts w:cs="Arial"/>
          <w:sz w:val="23"/>
          <w:szCs w:val="23"/>
        </w:rPr>
        <w:t>直销中心认购</w:t>
      </w:r>
      <w:r>
        <w:rPr>
          <w:rFonts w:cs="Arial" w:hint="eastAsia"/>
          <w:sz w:val="23"/>
          <w:szCs w:val="23"/>
        </w:rPr>
        <w:t>本基金份额时，单个账户首次认购</w:t>
      </w:r>
      <w:r>
        <w:rPr>
          <w:rFonts w:cs="Arial"/>
          <w:sz w:val="23"/>
          <w:szCs w:val="23"/>
        </w:rPr>
        <w:t>的最低金额为人民币50,000元（含认购费），</w:t>
      </w:r>
      <w:r>
        <w:rPr>
          <w:rFonts w:cs="Arial" w:hint="eastAsia"/>
          <w:sz w:val="23"/>
          <w:szCs w:val="23"/>
        </w:rPr>
        <w:t>追加认购的最低金额为单笔人民币1,000元（含认购费）</w:t>
      </w:r>
      <w:r>
        <w:rPr>
          <w:rFonts w:cs="Arial"/>
          <w:sz w:val="23"/>
          <w:szCs w:val="23"/>
        </w:rPr>
        <w:t>。</w:t>
      </w:r>
      <w:r>
        <w:rPr>
          <w:rFonts w:cs="Arial" w:hint="eastAsia"/>
          <w:sz w:val="23"/>
          <w:szCs w:val="23"/>
        </w:rPr>
        <w:t>在符合法律法规规定的前提下，各销售机构对最低认购限额及交易级差有其他规定的，需要同时遵循该销售机构的相关规定。募集期间不设置投资者单个账户最高认购金额限制，但招募说明书、本基金份额发售公告、其他相关公告另有规定的除外。</w:t>
      </w:r>
    </w:p>
    <w:p w:rsidR="00476F7A" w:rsidRDefault="00476F7A">
      <w:pPr>
        <w:pStyle w:val="20"/>
        <w:adjustRightInd w:val="0"/>
        <w:snapToGrid w:val="0"/>
        <w:spacing w:line="312" w:lineRule="auto"/>
        <w:ind w:firstLineChars="0" w:firstLine="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如本基金单个投资人累计认购的基金份额数达到或者超过基金总份额的</w:t>
      </w:r>
      <w:r>
        <w:rPr>
          <w:rFonts w:hint="eastAsia"/>
          <w:bCs/>
          <w:sz w:val="23"/>
          <w:szCs w:val="23"/>
        </w:rPr>
        <w:t>5</w:t>
      </w:r>
      <w:r>
        <w:rPr>
          <w:bCs/>
          <w:sz w:val="23"/>
          <w:szCs w:val="23"/>
        </w:rPr>
        <w:t>0</w:t>
      </w:r>
      <w:r>
        <w:rPr>
          <w:rFonts w:cs="Arial"/>
          <w:bCs/>
          <w:sz w:val="23"/>
          <w:szCs w:val="23"/>
        </w:rPr>
        <w:t>%，</w:t>
      </w:r>
      <w:r>
        <w:rPr>
          <w:rFonts w:cs="Arial"/>
          <w:sz w:val="23"/>
          <w:szCs w:val="23"/>
        </w:rPr>
        <w:t>基金管理人可以采取比例确认等方式对该投资人的认购申请进行限制。基金管理人接受某笔或者某些认购申请有可能导致投资者变相规避前述</w:t>
      </w:r>
      <w:r>
        <w:rPr>
          <w:rFonts w:hint="eastAsia"/>
          <w:bCs/>
          <w:sz w:val="23"/>
          <w:szCs w:val="23"/>
        </w:rPr>
        <w:t>5</w:t>
      </w:r>
      <w:r>
        <w:rPr>
          <w:bCs/>
          <w:sz w:val="23"/>
          <w:szCs w:val="23"/>
        </w:rPr>
        <w:t>0</w:t>
      </w:r>
      <w:r>
        <w:rPr>
          <w:rFonts w:cs="Arial"/>
          <w:bCs/>
          <w:sz w:val="23"/>
          <w:szCs w:val="23"/>
        </w:rPr>
        <w:t>%</w:t>
      </w:r>
      <w:r>
        <w:rPr>
          <w:rFonts w:cs="Arial"/>
          <w:sz w:val="23"/>
          <w:szCs w:val="23"/>
        </w:rPr>
        <w:t>比例要求的，基金管理人有权拒绝该等全部或者部分认购申请。投资人认购的基金份额数以基金合同生效后登记机构的确认为准。</w:t>
      </w:r>
    </w:p>
    <w:p w:rsidR="00476F7A" w:rsidRDefault="00476F7A">
      <w:pPr>
        <w:pStyle w:val="20"/>
        <w:adjustRightInd w:val="0"/>
        <w:snapToGrid w:val="0"/>
        <w:spacing w:line="312" w:lineRule="auto"/>
        <w:ind w:firstLineChars="0" w:firstLine="0"/>
        <w:rPr>
          <w:rFonts w:cs="Arial"/>
          <w:sz w:val="23"/>
          <w:szCs w:val="23"/>
        </w:rPr>
      </w:pPr>
    </w:p>
    <w:bookmarkEnd w:id="2"/>
    <w:p w:rsidR="00476F7A" w:rsidRDefault="00E84586">
      <w:pPr>
        <w:pStyle w:val="20"/>
        <w:adjustRightInd w:val="0"/>
        <w:snapToGrid w:val="0"/>
        <w:spacing w:line="312" w:lineRule="auto"/>
        <w:ind w:firstLine="460"/>
        <w:rPr>
          <w:rFonts w:cs="Arial"/>
          <w:sz w:val="23"/>
          <w:szCs w:val="23"/>
        </w:rPr>
      </w:pPr>
      <w:r>
        <w:rPr>
          <w:rFonts w:cs="Arial" w:hint="eastAsia"/>
          <w:sz w:val="23"/>
          <w:szCs w:val="23"/>
        </w:rPr>
        <w:t>基金管理人可以对募集期间的本基金募集规模设置上限。本基金在募集期内最终确认的有效认购总金额不超过</w:t>
      </w:r>
      <w:r>
        <w:rPr>
          <w:rFonts w:cs="Arial"/>
          <w:sz w:val="23"/>
          <w:szCs w:val="23"/>
        </w:rPr>
        <w:t>50</w:t>
      </w:r>
      <w:r>
        <w:rPr>
          <w:rFonts w:cs="Arial" w:hint="eastAsia"/>
          <w:sz w:val="23"/>
          <w:szCs w:val="23"/>
        </w:rPr>
        <w:t>亿元人民币（不包括募集期利息）。本基金募集过程中募集规模达到</w:t>
      </w:r>
      <w:r>
        <w:rPr>
          <w:rFonts w:cs="Arial"/>
          <w:sz w:val="23"/>
          <w:szCs w:val="23"/>
        </w:rPr>
        <w:t>50</w:t>
      </w:r>
      <w:r>
        <w:rPr>
          <w:rFonts w:cs="Arial" w:hint="eastAsia"/>
          <w:sz w:val="23"/>
          <w:szCs w:val="23"/>
        </w:rPr>
        <w:t>亿元的，将提前结束募集，采用末日比例确认的方式实现募集规模的有效控制。在募集期内任何一日，若累计募集金额达到或超过</w:t>
      </w:r>
      <w:r>
        <w:rPr>
          <w:rFonts w:cs="Arial"/>
          <w:sz w:val="23"/>
          <w:szCs w:val="23"/>
        </w:rPr>
        <w:t>50</w:t>
      </w:r>
      <w:r>
        <w:rPr>
          <w:rFonts w:cs="Arial" w:hint="eastAsia"/>
          <w:sz w:val="23"/>
          <w:szCs w:val="23"/>
        </w:rPr>
        <w:t>亿元（不包括募集期利息），本公司将及时刊登公告提前结束本次募集，并自次日起不再接受认购申请，对当日的认购申请采取按比例确认。</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Chars="0"/>
        <w:rPr>
          <w:rFonts w:cs="Arial"/>
          <w:sz w:val="23"/>
          <w:szCs w:val="23"/>
        </w:rPr>
      </w:pPr>
      <w:r>
        <w:rPr>
          <w:rFonts w:cs="Arial" w:hint="eastAsia"/>
          <w:sz w:val="23"/>
          <w:szCs w:val="23"/>
        </w:rPr>
        <w:t>当发生比例确认时，本公司将及时公告比例确认情况与结果。未确认部分的认购款项将在募集期结束后退还给投资者，由此产生的损失由投资者自行承担。当发生部分确认时，投资者认购申请确认金额不受认购最低限额的限制。最终认购申请确认结果以本基金登记机构的计算并确认的结果为准。</w:t>
      </w:r>
    </w:p>
    <w:p w:rsidR="00476F7A" w:rsidRDefault="00E84586">
      <w:pPr>
        <w:adjustRightInd w:val="0"/>
        <w:snapToGrid w:val="0"/>
        <w:spacing w:before="240" w:line="312" w:lineRule="auto"/>
        <w:ind w:firstLineChars="200" w:firstLine="460"/>
        <w:rPr>
          <w:rFonts w:ascii="宋体" w:hAnsi="宋体" w:cs="Arial"/>
          <w:bCs/>
          <w:kern w:val="0"/>
          <w:sz w:val="23"/>
          <w:szCs w:val="23"/>
        </w:rPr>
      </w:pPr>
      <w:r>
        <w:rPr>
          <w:rFonts w:ascii="宋体" w:hAnsi="宋体" w:cs="Arial"/>
          <w:bCs/>
          <w:kern w:val="0"/>
          <w:sz w:val="23"/>
          <w:szCs w:val="23"/>
        </w:rPr>
        <w:t>10、认购的确认</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销售机构对认购申请的受理并不代表该申请一定成功，而仅代表销售机构确实接收到认购申请。认购的确认以登记机构的确认结果为准。对于认购申请及认购份额的确认情况，投资人应及时查询</w:t>
      </w:r>
      <w:r>
        <w:rPr>
          <w:rFonts w:cs="Arial" w:hint="eastAsia"/>
          <w:sz w:val="23"/>
          <w:szCs w:val="23"/>
        </w:rPr>
        <w:t>并妥善行使合法权利。否则，由此产生的投资人任何损失由投资人自行承担</w:t>
      </w:r>
      <w:r>
        <w:rPr>
          <w:rFonts w:cs="Arial"/>
          <w:sz w:val="23"/>
          <w:szCs w:val="23"/>
        </w:rPr>
        <w:t>。</w:t>
      </w:r>
    </w:p>
    <w:p w:rsidR="00476F7A" w:rsidRDefault="00476F7A">
      <w:pPr>
        <w:pStyle w:val="20"/>
        <w:adjustRightInd w:val="0"/>
        <w:snapToGrid w:val="0"/>
        <w:spacing w:line="312" w:lineRule="auto"/>
        <w:ind w:firstLine="460"/>
        <w:rPr>
          <w:rFonts w:cs="Arial"/>
          <w:color w:val="000000"/>
          <w:sz w:val="23"/>
          <w:szCs w:val="23"/>
        </w:rPr>
      </w:pPr>
    </w:p>
    <w:p w:rsidR="00476F7A" w:rsidRDefault="00E84586">
      <w:pPr>
        <w:pStyle w:val="20"/>
        <w:adjustRightInd w:val="0"/>
        <w:snapToGrid w:val="0"/>
        <w:spacing w:line="312" w:lineRule="auto"/>
        <w:ind w:firstLine="460"/>
        <w:rPr>
          <w:rFonts w:cs="Arial"/>
          <w:bCs/>
          <w:sz w:val="23"/>
          <w:szCs w:val="23"/>
        </w:rPr>
      </w:pPr>
      <w:r>
        <w:rPr>
          <w:rFonts w:cs="Arial"/>
          <w:bCs/>
          <w:sz w:val="23"/>
          <w:szCs w:val="23"/>
        </w:rPr>
        <w:t>11、</w:t>
      </w:r>
      <w:r>
        <w:rPr>
          <w:rFonts w:cs="Arial" w:hint="eastAsia"/>
          <w:bCs/>
          <w:sz w:val="23"/>
          <w:szCs w:val="23"/>
        </w:rPr>
        <w:t>有效认购款项在募集期间产生的利息将折算为相应类别的基金份额归基金份额持有人所有，其中利息转份额的具体数额以登记机构的记录为准。</w:t>
      </w:r>
    </w:p>
    <w:p w:rsidR="00476F7A" w:rsidRDefault="00476F7A">
      <w:pPr>
        <w:pStyle w:val="20"/>
        <w:adjustRightInd w:val="0"/>
        <w:snapToGrid w:val="0"/>
        <w:spacing w:line="312" w:lineRule="auto"/>
        <w:ind w:firstLine="460"/>
        <w:rPr>
          <w:rFonts w:cs="Arial"/>
          <w:bCs/>
          <w:sz w:val="23"/>
          <w:szCs w:val="23"/>
        </w:rPr>
      </w:pPr>
    </w:p>
    <w:p w:rsidR="00476F7A" w:rsidRDefault="00E84586">
      <w:pPr>
        <w:pStyle w:val="20"/>
        <w:adjustRightInd w:val="0"/>
        <w:snapToGrid w:val="0"/>
        <w:spacing w:line="312" w:lineRule="auto"/>
        <w:ind w:firstLine="460"/>
        <w:rPr>
          <w:rFonts w:cs="Arial"/>
          <w:sz w:val="23"/>
          <w:szCs w:val="23"/>
        </w:rPr>
      </w:pPr>
      <w:r>
        <w:rPr>
          <w:rFonts w:cs="Arial"/>
          <w:bCs/>
          <w:sz w:val="23"/>
          <w:szCs w:val="23"/>
        </w:rPr>
        <w:t>基金管理人自基金募集期届满或基金管理人依据法律法规及招募说明书</w:t>
      </w:r>
      <w:r>
        <w:rPr>
          <w:rFonts w:cs="Arial" w:hint="eastAsia"/>
          <w:bCs/>
          <w:sz w:val="23"/>
          <w:szCs w:val="23"/>
        </w:rPr>
        <w:t>及相关公告</w:t>
      </w:r>
      <w:r>
        <w:rPr>
          <w:rFonts w:cs="Arial"/>
          <w:bCs/>
          <w:sz w:val="23"/>
          <w:szCs w:val="23"/>
        </w:rPr>
        <w:t>可以决定</w:t>
      </w:r>
      <w:r>
        <w:rPr>
          <w:rFonts w:cs="Arial"/>
          <w:sz w:val="23"/>
          <w:szCs w:val="23"/>
        </w:rPr>
        <w:t>停止基金发售，并在10日内聘请法定验资机构验资，自收到验资报告之日起10日内，向中国证监会办理基金备案手续。基金募集达到基金备案条件的，自基金管理人办理完毕基金备案手续并取得中国证监会书面确认之日起，《基金合同》生效。</w:t>
      </w:r>
    </w:p>
    <w:p w:rsidR="00476F7A" w:rsidRDefault="00476F7A">
      <w:pPr>
        <w:pStyle w:val="20"/>
        <w:adjustRightInd w:val="0"/>
        <w:snapToGrid w:val="0"/>
        <w:spacing w:line="312" w:lineRule="auto"/>
        <w:ind w:firstLine="460"/>
        <w:rPr>
          <w:rFonts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如果募集期限届满，未满足基金备案条件，基金管理人应当承担下列责任：</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（1）以其固有财产承担因募集行为而产生的债务和费用；</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（2）在基金募集期限届满后30日内返还投资者已缴纳的款项，并加计银行同期活期存款利息；</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（3）如基金募集失败，基金管理人、基金托管人及销售机构不得请求报酬。基金管理人、基金托管人和销售机构为基金募集支付之一切费用应由各方各自承担。</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ind w:firstLineChars="200" w:firstLine="460"/>
      </w:pPr>
      <w:r>
        <w:rPr>
          <w:rFonts w:ascii="宋体" w:hAnsi="宋体" w:cs="Arial"/>
          <w:sz w:val="23"/>
          <w:szCs w:val="23"/>
        </w:rPr>
        <w:t>12、本公告仅对本基金</w:t>
      </w:r>
      <w:r>
        <w:rPr>
          <w:rFonts w:ascii="宋体" w:hAnsi="宋体" w:cs="Arial" w:hint="eastAsia"/>
          <w:sz w:val="23"/>
          <w:szCs w:val="23"/>
        </w:rPr>
        <w:t>发售</w:t>
      </w:r>
      <w:r>
        <w:rPr>
          <w:rFonts w:ascii="宋体" w:hAnsi="宋体" w:cs="Arial"/>
          <w:sz w:val="23"/>
          <w:szCs w:val="23"/>
        </w:rPr>
        <w:t>的有关事项和规定予以说明。投资</w:t>
      </w:r>
      <w:r>
        <w:rPr>
          <w:rFonts w:ascii="宋体" w:hAnsi="宋体" w:cs="Arial" w:hint="eastAsia"/>
          <w:sz w:val="23"/>
          <w:szCs w:val="23"/>
        </w:rPr>
        <w:t>人</w:t>
      </w:r>
      <w:r>
        <w:rPr>
          <w:rFonts w:ascii="宋体" w:hAnsi="宋体" w:cs="Arial"/>
          <w:sz w:val="23"/>
          <w:szCs w:val="23"/>
        </w:rPr>
        <w:t>若欲了解本基金的详细情况，请</w:t>
      </w:r>
      <w:r>
        <w:rPr>
          <w:rFonts w:ascii="宋体" w:hAnsi="宋体" w:cs="Arial" w:hint="eastAsia"/>
          <w:sz w:val="23"/>
          <w:szCs w:val="23"/>
        </w:rPr>
        <w:t>详细</w:t>
      </w:r>
      <w:r>
        <w:rPr>
          <w:rFonts w:ascii="宋体" w:hAnsi="宋体" w:cs="Arial"/>
          <w:sz w:val="23"/>
          <w:szCs w:val="23"/>
        </w:rPr>
        <w:t>阅读</w:t>
      </w:r>
      <w:r>
        <w:rPr>
          <w:rFonts w:ascii="宋体" w:hAnsi="宋体" w:cs="Arial" w:hint="eastAsia"/>
          <w:sz w:val="23"/>
          <w:szCs w:val="23"/>
        </w:rPr>
        <w:t>《路博迈港股通科技股票型证券投资基金基金合同》（以下简称“《基金合同》”）、《路博迈港股通科技股票型证券投资基金招募说明书》</w:t>
      </w:r>
      <w:r>
        <w:rPr>
          <w:rFonts w:ascii="宋体" w:hAnsi="宋体"/>
          <w:bCs/>
          <w:sz w:val="23"/>
          <w:szCs w:val="23"/>
        </w:rPr>
        <w:t>（以下简称“《</w:t>
      </w:r>
      <w:r>
        <w:rPr>
          <w:rFonts w:ascii="宋体" w:hAnsi="宋体" w:hint="eastAsia"/>
          <w:bCs/>
          <w:sz w:val="23"/>
          <w:szCs w:val="23"/>
        </w:rPr>
        <w:t>招募说明书</w:t>
      </w:r>
      <w:r>
        <w:rPr>
          <w:rFonts w:ascii="宋体" w:hAnsi="宋体"/>
          <w:bCs/>
          <w:sz w:val="23"/>
          <w:szCs w:val="23"/>
        </w:rPr>
        <w:t>》”）</w:t>
      </w:r>
      <w:r>
        <w:rPr>
          <w:rFonts w:ascii="宋体" w:hAnsi="宋体" w:hint="eastAsia"/>
          <w:bCs/>
          <w:sz w:val="23"/>
          <w:szCs w:val="23"/>
        </w:rPr>
        <w:t>、</w:t>
      </w:r>
      <w:r>
        <w:rPr>
          <w:rFonts w:ascii="宋体" w:hAnsi="宋体" w:cs="Arial"/>
          <w:sz w:val="23"/>
          <w:szCs w:val="23"/>
        </w:rPr>
        <w:t>《</w:t>
      </w:r>
      <w:r>
        <w:rPr>
          <w:rFonts w:ascii="宋体" w:hAnsi="宋体" w:cs="Arial" w:hint="eastAsia"/>
          <w:sz w:val="23"/>
          <w:szCs w:val="23"/>
        </w:rPr>
        <w:t>路博迈港股通科技股票型证券投资基金</w:t>
      </w:r>
      <w:r>
        <w:rPr>
          <w:rFonts w:ascii="宋体" w:hAnsi="宋体" w:cs="Arial"/>
          <w:sz w:val="23"/>
          <w:szCs w:val="23"/>
        </w:rPr>
        <w:t>基金产品资料概要》</w:t>
      </w:r>
      <w:r>
        <w:rPr>
          <w:rFonts w:ascii="宋体" w:hAnsi="宋体" w:cs="Arial" w:hint="eastAsia"/>
          <w:sz w:val="23"/>
          <w:szCs w:val="23"/>
        </w:rPr>
        <w:t>等信息披露文件。</w:t>
      </w:r>
      <w:r>
        <w:rPr>
          <w:rFonts w:ascii="宋体" w:hAnsi="宋体"/>
          <w:bCs/>
          <w:sz w:val="23"/>
          <w:szCs w:val="23"/>
        </w:rPr>
        <w:t>《基金合同》、《</w:t>
      </w:r>
      <w:r>
        <w:rPr>
          <w:rFonts w:ascii="宋体" w:hAnsi="宋体" w:hint="eastAsia"/>
          <w:bCs/>
          <w:sz w:val="23"/>
          <w:szCs w:val="23"/>
        </w:rPr>
        <w:t>路博迈港股通科技股票型证券投资基金</w:t>
      </w:r>
      <w:r>
        <w:rPr>
          <w:rFonts w:ascii="宋体" w:hAnsi="宋体" w:cs="Arial"/>
          <w:sz w:val="23"/>
          <w:szCs w:val="23"/>
        </w:rPr>
        <w:t>托管协议》、《招募说明书》、《</w:t>
      </w:r>
      <w:r>
        <w:rPr>
          <w:rFonts w:ascii="宋体" w:hAnsi="宋体" w:cs="Arial" w:hint="eastAsia"/>
          <w:sz w:val="23"/>
          <w:szCs w:val="23"/>
        </w:rPr>
        <w:t>路博迈港股通科技股票型证券投资基金</w:t>
      </w:r>
      <w:r>
        <w:rPr>
          <w:rFonts w:ascii="宋体" w:hAnsi="宋体" w:cs="Arial"/>
          <w:sz w:val="23"/>
          <w:szCs w:val="23"/>
        </w:rPr>
        <w:t>基金产品资料概要》及本公告将同时发布在本公司网站</w:t>
      </w:r>
      <w:r>
        <w:rPr>
          <w:rFonts w:ascii="宋体" w:hAnsi="宋体" w:cs="Arial" w:hint="eastAsia"/>
          <w:sz w:val="23"/>
          <w:szCs w:val="23"/>
        </w:rPr>
        <w:t>（www.nbchina.com）</w:t>
      </w:r>
      <w:r>
        <w:rPr>
          <w:rFonts w:ascii="宋体" w:hAnsi="宋体" w:cs="Arial"/>
          <w:sz w:val="23"/>
          <w:szCs w:val="23"/>
        </w:rPr>
        <w:t>和中国证监会基金电子披露网站（http://eid.csrc.gov.cn/fund），</w:t>
      </w:r>
      <w:r>
        <w:rPr>
          <w:rFonts w:ascii="宋体" w:hAnsi="宋体" w:cs="Arial" w:hint="eastAsia"/>
          <w:sz w:val="23"/>
          <w:szCs w:val="23"/>
        </w:rPr>
        <w:t>相关提示性公告和本公告将同步刊登在《上海证券报》。</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13、销售机构具体销售城市（或网点）名单和联系方式，请参见本公告“</w:t>
      </w:r>
      <w:r>
        <w:rPr>
          <w:rFonts w:ascii="宋体" w:hAnsi="宋体" w:cs="Arial" w:hint="eastAsia"/>
          <w:sz w:val="23"/>
          <w:szCs w:val="23"/>
        </w:rPr>
        <w:t>六、本次认购当事人及中介机构</w:t>
      </w:r>
      <w:r>
        <w:rPr>
          <w:rFonts w:ascii="宋体" w:hAnsi="宋体" w:cs="Arial"/>
          <w:sz w:val="23"/>
          <w:szCs w:val="23"/>
        </w:rPr>
        <w:t>”之“（</w:t>
      </w:r>
      <w:r>
        <w:rPr>
          <w:rFonts w:ascii="宋体" w:hAnsi="宋体" w:cs="Arial" w:hint="eastAsia"/>
          <w:sz w:val="23"/>
          <w:szCs w:val="23"/>
        </w:rPr>
        <w:t>三</w:t>
      </w:r>
      <w:r>
        <w:rPr>
          <w:rFonts w:ascii="宋体" w:hAnsi="宋体" w:cs="Arial"/>
          <w:sz w:val="23"/>
          <w:szCs w:val="23"/>
        </w:rPr>
        <w:t>）销售机构”以及当地基金销售机构以各种形式发布的公告。</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在募集期间，除本公告所列的销售机构外，本基金还有可能变更、增减销售机构，如变更、增减销售机构，本公司将及时在</w:t>
      </w:r>
      <w:r>
        <w:rPr>
          <w:rFonts w:ascii="宋体" w:hAnsi="宋体" w:cs="Arial" w:hint="eastAsia"/>
          <w:sz w:val="23"/>
          <w:szCs w:val="23"/>
        </w:rPr>
        <w:t>公司</w:t>
      </w:r>
      <w:r>
        <w:rPr>
          <w:rFonts w:ascii="宋体" w:hAnsi="宋体" w:cs="Arial"/>
          <w:sz w:val="23"/>
          <w:szCs w:val="23"/>
        </w:rPr>
        <w:t>网站</w:t>
      </w:r>
      <w:r>
        <w:rPr>
          <w:rFonts w:ascii="宋体" w:hAnsi="宋体" w:cs="Arial" w:hint="eastAsia"/>
          <w:sz w:val="23"/>
          <w:szCs w:val="23"/>
        </w:rPr>
        <w:t>（www.nbchina.com）</w:t>
      </w:r>
      <w:r>
        <w:rPr>
          <w:rFonts w:ascii="宋体" w:hAnsi="宋体" w:cs="Arial"/>
          <w:sz w:val="23"/>
          <w:szCs w:val="23"/>
        </w:rPr>
        <w:t>公示，请留意近期本公司网站及各销售机构的公告，或拨打本公司及各销售机构的客户服务电话咨询。</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14、投资人可拨打本公司的客户服务电话400</w:t>
      </w:r>
      <w:r>
        <w:rPr>
          <w:rFonts w:ascii="宋体" w:hAnsi="宋体" w:cs="Arial" w:hint="eastAsia"/>
          <w:sz w:val="23"/>
          <w:szCs w:val="23"/>
        </w:rPr>
        <w:t>-</w:t>
      </w:r>
      <w:r>
        <w:rPr>
          <w:rFonts w:ascii="宋体" w:hAnsi="宋体" w:cs="Arial"/>
          <w:sz w:val="23"/>
          <w:szCs w:val="23"/>
        </w:rPr>
        <w:t>875</w:t>
      </w:r>
      <w:r>
        <w:rPr>
          <w:rFonts w:ascii="宋体" w:hAnsi="宋体" w:cs="Arial" w:hint="eastAsia"/>
          <w:sz w:val="23"/>
          <w:szCs w:val="23"/>
        </w:rPr>
        <w:t>-</w:t>
      </w:r>
      <w:r>
        <w:rPr>
          <w:rFonts w:ascii="宋体" w:hAnsi="宋体" w:cs="Arial"/>
          <w:sz w:val="23"/>
          <w:szCs w:val="23"/>
        </w:rPr>
        <w:t>5888或销售机构的客户服务电话咨询认购事宜。</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sz w:val="23"/>
          <w:szCs w:val="23"/>
        </w:rPr>
        <w:t>15、</w:t>
      </w:r>
      <w:r>
        <w:rPr>
          <w:rFonts w:ascii="宋体" w:hAnsi="宋体" w:cs="Arial"/>
          <w:kern w:val="0"/>
          <w:sz w:val="23"/>
          <w:szCs w:val="23"/>
        </w:rPr>
        <w:t>基金管理人可综合考虑各种情况在法律法规允许的范围内对本基金募集安排做适当调整并及时公告。</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相关法律法规关于信息披露的披露方式、登载媒介、报备方式等规定发生变化时，本基金从其最新规定。</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16、</w:t>
      </w:r>
      <w:r>
        <w:rPr>
          <w:rFonts w:ascii="宋体" w:hAnsi="宋体" w:cs="Arial" w:hint="eastAsia"/>
          <w:sz w:val="23"/>
          <w:szCs w:val="23"/>
        </w:rPr>
        <w:t>基金管理人暂未开通网上交易，投资者可通过基金管理人指定的销售机构或至基金管理人的直销网点购买本基金。除技术条件允许且经基金管理人认可外，基金管理人的直销柜台交易仅接受机构投资者。</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2"/>
        <w:rPr>
          <w:rFonts w:ascii="宋体" w:hAnsi="宋体" w:cs="Arial"/>
          <w:b/>
          <w:color w:val="000000"/>
          <w:sz w:val="23"/>
          <w:szCs w:val="23"/>
        </w:rPr>
      </w:pPr>
      <w:bookmarkStart w:id="3" w:name="_Hlk62659962"/>
      <w:bookmarkStart w:id="4" w:name="_Hlk76987313"/>
      <w:r>
        <w:rPr>
          <w:rFonts w:ascii="宋体" w:hAnsi="宋体" w:cs="Arial"/>
          <w:b/>
          <w:sz w:val="23"/>
          <w:szCs w:val="23"/>
        </w:rPr>
        <w:t>17、</w:t>
      </w:r>
      <w:r>
        <w:rPr>
          <w:rFonts w:ascii="宋体" w:hAnsi="宋体" w:cs="Arial"/>
          <w:b/>
          <w:color w:val="000000"/>
          <w:sz w:val="23"/>
          <w:szCs w:val="23"/>
        </w:rPr>
        <w:t>风险提示</w:t>
      </w:r>
    </w:p>
    <w:p w:rsidR="00476F7A" w:rsidRDefault="00476F7A">
      <w:pPr>
        <w:adjustRightInd w:val="0"/>
        <w:snapToGrid w:val="0"/>
        <w:spacing w:line="312" w:lineRule="auto"/>
        <w:ind w:firstLineChars="200" w:firstLine="462"/>
        <w:rPr>
          <w:rFonts w:ascii="宋体" w:hAnsi="宋体" w:cs="Arial"/>
          <w:b/>
          <w:color w:val="000000"/>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本基金投资于证券市场，基金净值会因为证券市场波动等因素产生波动，投资本基金风险详见招募说明书“风险揭示”章节，包括：因证券市场价格波动产生的市场风险，由于基金投资者连续大量赎回基金产生的流动性风险，由于交易对手违约产生的信用风险，基金管理人在基金管理实施过程中产生的基金管理风险，本基金的特定风险等等。</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b/>
          <w:sz w:val="23"/>
          <w:szCs w:val="23"/>
        </w:rPr>
        <w:t>投资有风险，投资者认购</w:t>
      </w:r>
      <w:r>
        <w:rPr>
          <w:rFonts w:ascii="宋体" w:hAnsi="宋体" w:cs="Arial" w:hint="eastAsia"/>
          <w:b/>
          <w:sz w:val="23"/>
          <w:szCs w:val="23"/>
        </w:rPr>
        <w:t>（或申购）</w:t>
      </w:r>
      <w:r>
        <w:rPr>
          <w:rFonts w:ascii="宋体" w:hAnsi="宋体" w:cs="Arial"/>
          <w:b/>
          <w:sz w:val="23"/>
          <w:szCs w:val="23"/>
        </w:rPr>
        <w:t>基金前，应认真阅读招募说明书、基金合同、基金产品资料概要等信息披露文件，全面认识本基金的风险收益特征和产品特性，自主判断基金的投资价值，并根据自身的投资目的、投资期限、投资经验、资产状况等判断本基金是否和自身的风险承受能力相适；投资者应充分考虑自身的风险承受能力，理性判断市场，对认购</w:t>
      </w:r>
      <w:r>
        <w:rPr>
          <w:rFonts w:ascii="宋体" w:hAnsi="宋体" w:cs="Arial" w:hint="eastAsia"/>
          <w:b/>
          <w:sz w:val="23"/>
          <w:szCs w:val="23"/>
        </w:rPr>
        <w:t>（或申购）</w:t>
      </w:r>
      <w:r>
        <w:rPr>
          <w:rFonts w:ascii="宋体" w:hAnsi="宋体" w:cs="Arial"/>
          <w:b/>
          <w:sz w:val="23"/>
          <w:szCs w:val="23"/>
        </w:rPr>
        <w:t>基金的意愿、时机、数量等投资行为作出独立决策，获得基金投资收益，亦自行承担基金投资中出现的各类风险。</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本基金为股票型基金，其预期风险与收益理论上高于混合型基金、债券型基金与货币市场基金。本基金投资港股通标的股票，需承担港股通机制下因投资环境、投资标的、市场制度以及交易规则等差异带来的特有风险。</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 xml:space="preserve">基金资产投资于港股，会面临内地与香港股票市场交易互联互通（以下简称“港股通”）机制下因投资环境、投资标的、市场制度以及交易规则等差异带来的特有风险，包括港股市场股价波动较大的风险（港股市场实行 T+0 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招募说明书的“风险揭示”章节的具体内容。 </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 xml:space="preserve">为对冲信用风险，本基金可能投资于信用衍生品，信用衍生品的投资可能面临流动性风险、偿付风险以及价格波动风险等。 </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本基金可投资国债期货、股指期货和股票期权等金融衍生品，国债期货的投资可能面临市场风险、基差风险、流动性风险等，股指期货的投资可能面临因保证金交易制度、每日无负债结算制度带来的相关风险，股票期权的投资可能面临市场风险、管理风险、交易对手风险、流动性风险、操作风险等。</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基金管理人根据港股通标的股票投资需要及市场情况，有权决定是否聘请港股投资顾问为本基金的港股通标的股票投资部分提供投资建议服务，使用港股投资顾问的情况具体见本基金招募说明书，聘请港股投资顾问可能产生的风险详见本基金招募说明书“风险揭示”章节。</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当本基金持有特定资产且存在或潜在大额赎回申请时，基金管理人履行相应程序后，可以启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基金管理人依据相关法律、法规等，经尽职调查、进行了充分的评估论证、履行了必要的决策程序，现将份额登记、估值核算等业务委托给基金服务机构——国泰海通证券股份有限公司负责日常运营；基金管理人需定期了解基金服务机构的人员配备情况、业务操作的专业能力、业务隔离措施、软硬件设施等基本运作情况，以保证满足业务发展的实际需求；如前述提供份额登记、估值核算的基金服务机构以独资或者控股方式成立具有独立法人资格的基金服务机构，经基金管理人同意，可直接由该新设立的基金服务机构担任本基金的服务机构，但基金管理人应发布相关公告。除前述另有规定外，基金服务机构发生变更的，基金管理人需另行发布相关公告。若基金份额持有人不同意基金管理人变更基金服务机构的，自公告之日起10日内可以赎回其持有的全部基金份额，若基金份额持有人自公告之日起10日后继续持有全部或部分基金份额的，视为其同意基金管理人变更基金服务机构。</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本基金单一投资者持有基金份额数不得达到或超过基金份额总数的50%，但在基金运作过程中因基金份额赎回等基金管理人无法予以控制的情形导致被动达到或超过50%的除外。法律法规或监管机构另有规定的，从其规定。</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基金投资者及基金份额持有人承诺其知悉《中华人民共和国反洗钱法》、《金融机构大额交易和可疑交易报告管理办法》、《中国人民银行关于加强开户管理及可疑交易报告后续控制措施的通知》、《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等违法犯罪活动。基金投资者及基金份额持有人承诺，已认真阅读并知悉基金管理人关于可购买本基金的投资者资质的规定（以基金管理人公示的业务规则为准），并应在认购、申购本基金时及持有本基金期间内持续满足该等资质要求。</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出于反洗钱、非居民金融账户涉税信息尽职调查与信息报送等相关的合规要求，本基金基金管理人有权对可购买本基金的投资者资质予以规定并不时调整，具体见《业务规则》、基金份额发售公告以及基金管理人届时发布的开放申购或赎回公告或其他相关公告。如已持有本基金基金份额，但不再满足本基金的投资者资质要求或基金合同约定的其他条件或出现基金合同约定情形的，基金管理人有权依据基金合同的约定对相应基金份额予以强制赎回或采取其他相应控制措施，提请投资者关注。</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基金管理人深知个人信息对投资者的重要性，致力于投资者个人信息的保护。基金管理人承诺按照法律法规和相关监管要求的规定处理投资者的个人信息，包括通过基金管理人直销、销售机构或场内经纪机构购买路博迈基金管理（中国）有限公司旗下基金产品的所有个人投资者。基金管理人需处理的机构投资者信息中可能涉及其法定代表人、受益所有人、经办人等个人信息，也将遵守上述承诺进行处理。</w:t>
      </w:r>
    </w:p>
    <w:p w:rsidR="00476F7A" w:rsidRDefault="00476F7A">
      <w:pPr>
        <w:adjustRightInd w:val="0"/>
        <w:snapToGrid w:val="0"/>
        <w:spacing w:line="312" w:lineRule="auto"/>
        <w:ind w:firstLineChars="200" w:firstLine="462"/>
        <w:rPr>
          <w:rFonts w:ascii="宋体" w:hAnsi="宋体" w:cs="Arial"/>
          <w:b/>
          <w:sz w:val="23"/>
          <w:szCs w:val="23"/>
        </w:rPr>
      </w:pPr>
    </w:p>
    <w:p w:rsidR="00476F7A" w:rsidRDefault="00E84586">
      <w:pPr>
        <w:adjustRightInd w:val="0"/>
        <w:snapToGrid w:val="0"/>
        <w:spacing w:line="312" w:lineRule="auto"/>
        <w:ind w:firstLineChars="200" w:firstLine="462"/>
        <w:rPr>
          <w:rFonts w:ascii="宋体" w:hAnsi="宋体" w:cs="Arial"/>
          <w:b/>
          <w:sz w:val="23"/>
          <w:szCs w:val="23"/>
        </w:rPr>
      </w:pPr>
      <w:r>
        <w:rPr>
          <w:rFonts w:ascii="宋体" w:hAnsi="宋体" w:cs="Arial" w:hint="eastAsia"/>
          <w:b/>
          <w:sz w:val="23"/>
          <w:szCs w:val="23"/>
        </w:rPr>
        <w:t>详情请关注基金合同第七部分“基金合同当事人及权利义务”的相关内容及基金管理人官方网站（www.nbchina.com）不时披露的个人信息处理相关政策。</w:t>
      </w:r>
    </w:p>
    <w:p w:rsidR="00476F7A" w:rsidRDefault="00476F7A">
      <w:pPr>
        <w:adjustRightInd w:val="0"/>
        <w:snapToGrid w:val="0"/>
        <w:spacing w:line="312" w:lineRule="auto"/>
        <w:ind w:firstLineChars="200" w:firstLine="462"/>
        <w:rPr>
          <w:rFonts w:ascii="宋体" w:hAnsi="宋体" w:cs="Arial"/>
          <w:b/>
          <w:sz w:val="23"/>
          <w:szCs w:val="23"/>
        </w:rPr>
      </w:pPr>
    </w:p>
    <w:bookmarkEnd w:id="3"/>
    <w:p w:rsidR="00476F7A" w:rsidRDefault="00E84586">
      <w:pPr>
        <w:adjustRightInd w:val="0"/>
        <w:snapToGrid w:val="0"/>
        <w:spacing w:line="312" w:lineRule="auto"/>
        <w:ind w:firstLineChars="200" w:firstLine="460"/>
        <w:rPr>
          <w:rFonts w:ascii="宋体" w:hAnsi="宋体" w:cs="Arial"/>
          <w:color w:val="000000"/>
          <w:sz w:val="23"/>
          <w:szCs w:val="23"/>
        </w:rPr>
      </w:pPr>
      <w:r>
        <w:rPr>
          <w:rFonts w:ascii="宋体" w:hAnsi="宋体" w:cs="Arial"/>
          <w:sz w:val="23"/>
          <w:szCs w:val="23"/>
        </w:rPr>
        <w:t>18、本基金管理人拥有对本公告的最终解释权。</w:t>
      </w:r>
    </w:p>
    <w:p w:rsidR="00476F7A" w:rsidRDefault="00E84586">
      <w:pPr>
        <w:pStyle w:val="1"/>
        <w:spacing w:line="312" w:lineRule="auto"/>
        <w:jc w:val="center"/>
        <w:rPr>
          <w:rFonts w:ascii="宋体" w:hAnsi="宋体" w:cs="Arial"/>
          <w:sz w:val="23"/>
          <w:szCs w:val="23"/>
        </w:rPr>
      </w:pPr>
      <w:bookmarkStart w:id="5" w:name="_Toc513102409"/>
      <w:bookmarkStart w:id="6" w:name="_Toc294776261"/>
      <w:bookmarkEnd w:id="4"/>
      <w:r>
        <w:rPr>
          <w:rFonts w:ascii="宋体" w:hAnsi="宋体" w:cs="Arial"/>
          <w:sz w:val="23"/>
          <w:szCs w:val="23"/>
        </w:rPr>
        <w:br w:type="page"/>
        <w:t>一、基金募集的基本情况</w:t>
      </w:r>
      <w:bookmarkEnd w:id="5"/>
      <w:bookmarkEnd w:id="6"/>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（一）基金名称、简称及代码</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基金名称：</w:t>
      </w:r>
      <w:r>
        <w:rPr>
          <w:rFonts w:ascii="宋体" w:hAnsi="宋体" w:cs="Arial" w:hint="eastAsia"/>
          <w:sz w:val="23"/>
          <w:szCs w:val="23"/>
        </w:rPr>
        <w:t xml:space="preserve">路博迈港股通科技股票型证券投资基金 </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基金简称：</w:t>
      </w:r>
      <w:r>
        <w:rPr>
          <w:rFonts w:ascii="宋体" w:hAnsi="宋体" w:cs="Arial" w:hint="eastAsia"/>
          <w:sz w:val="23"/>
          <w:szCs w:val="23"/>
        </w:rPr>
        <w:t>路博迈港股通科技股票型</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A类份额基金代码：</w:t>
      </w:r>
      <w:r>
        <w:rPr>
          <w:rFonts w:ascii="宋体" w:hAnsi="宋体" w:cs="Arial"/>
          <w:sz w:val="23"/>
          <w:szCs w:val="23"/>
        </w:rPr>
        <w:t>026173</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C类份额基金代码：026174</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（二）基金类别</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股票型</w:t>
      </w:r>
      <w:r>
        <w:rPr>
          <w:rFonts w:ascii="宋体" w:hAnsi="宋体" w:cs="Arial"/>
          <w:sz w:val="23"/>
          <w:szCs w:val="23"/>
        </w:rPr>
        <w:t>证券投资基金</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bookmarkStart w:id="7" w:name="_Hlk62660089"/>
      <w:r>
        <w:rPr>
          <w:rFonts w:ascii="宋体" w:hAnsi="宋体" w:cs="Arial"/>
          <w:sz w:val="23"/>
          <w:szCs w:val="23"/>
        </w:rPr>
        <w:t>（三）基金的运作方式</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契约型开放式</w:t>
      </w:r>
    </w:p>
    <w:p w:rsidR="00476F7A" w:rsidRDefault="00476F7A">
      <w:pPr>
        <w:adjustRightInd w:val="0"/>
        <w:snapToGrid w:val="0"/>
        <w:spacing w:line="312" w:lineRule="auto"/>
        <w:rPr>
          <w:rFonts w:ascii="宋体" w:hAnsi="宋体" w:cs="Arial"/>
          <w:sz w:val="23"/>
          <w:szCs w:val="23"/>
        </w:rPr>
      </w:pPr>
    </w:p>
    <w:bookmarkEnd w:id="7"/>
    <w:p w:rsidR="00476F7A" w:rsidRDefault="00E84586">
      <w:pPr>
        <w:tabs>
          <w:tab w:val="left" w:pos="567"/>
          <w:tab w:val="left" w:pos="851"/>
        </w:tabs>
        <w:adjustRightInd w:val="0"/>
        <w:snapToGrid w:val="0"/>
        <w:spacing w:line="312" w:lineRule="auto"/>
        <w:ind w:firstLineChars="200" w:firstLine="460"/>
        <w:rPr>
          <w:rFonts w:ascii="宋体" w:hAnsi="宋体" w:cs="Arial"/>
          <w:sz w:val="23"/>
          <w:szCs w:val="23"/>
        </w:rPr>
      </w:pPr>
      <w:r>
        <w:rPr>
          <w:rFonts w:ascii="宋体" w:hAnsi="宋体" w:cs="Arial"/>
          <w:sz w:val="23"/>
          <w:szCs w:val="23"/>
        </w:rPr>
        <w:t>（四）基金份额发售面值</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本基金基金份额发售面值为人民币1.00元</w:t>
      </w:r>
      <w:r>
        <w:rPr>
          <w:rFonts w:ascii="宋体" w:hAnsi="宋体" w:cs="Arial" w:hint="eastAsia"/>
          <w:sz w:val="23"/>
          <w:szCs w:val="23"/>
        </w:rPr>
        <w:t>。</w:t>
      </w:r>
    </w:p>
    <w:p w:rsidR="00476F7A" w:rsidRDefault="00476F7A">
      <w:pPr>
        <w:tabs>
          <w:tab w:val="left" w:pos="567"/>
        </w:tabs>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（五）基金存续期限</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不定期</w:t>
      </w:r>
    </w:p>
    <w:p w:rsidR="00476F7A" w:rsidRDefault="00476F7A">
      <w:pPr>
        <w:adjustRightInd w:val="0"/>
        <w:snapToGrid w:val="0"/>
        <w:spacing w:line="312" w:lineRule="auto"/>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（六）</w:t>
      </w:r>
      <w:r>
        <w:rPr>
          <w:rFonts w:ascii="宋体" w:hAnsi="宋体" w:cs="Arial" w:hint="eastAsia"/>
          <w:sz w:val="23"/>
          <w:szCs w:val="23"/>
        </w:rPr>
        <w:t>发售</w:t>
      </w:r>
      <w:r>
        <w:rPr>
          <w:rFonts w:ascii="宋体" w:hAnsi="宋体" w:cs="Arial"/>
          <w:sz w:val="23"/>
          <w:szCs w:val="23"/>
        </w:rPr>
        <w:t>方式</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本基金将通过各销售机构的基金销售网点公开发售，各销售机构的具体名单见</w:t>
      </w:r>
      <w:r>
        <w:rPr>
          <w:rFonts w:cs="Arial" w:hint="eastAsia"/>
          <w:sz w:val="23"/>
          <w:szCs w:val="23"/>
        </w:rPr>
        <w:t>本公告“六、本次认购当事人及中介机构”之“（三）销售机构”</w:t>
      </w:r>
      <w:r>
        <w:rPr>
          <w:rFonts w:cs="Arial"/>
          <w:sz w:val="23"/>
          <w:szCs w:val="23"/>
        </w:rPr>
        <w:t>以及基金管理人网站</w:t>
      </w:r>
      <w:r>
        <w:rPr>
          <w:rFonts w:cs="Arial" w:hint="eastAsia"/>
          <w:sz w:val="23"/>
          <w:szCs w:val="23"/>
        </w:rPr>
        <w:t>（www.nbchina.com）披露的基金销售机构名录</w:t>
      </w:r>
      <w:r>
        <w:rPr>
          <w:rFonts w:cs="Arial"/>
          <w:sz w:val="23"/>
          <w:szCs w:val="23"/>
        </w:rPr>
        <w:t>。本基金认购采取全额缴款认购的方式。基金投资人在募集期内可多次认购，认购申请一经受理不得撤销。</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（七）</w:t>
      </w:r>
      <w:r>
        <w:rPr>
          <w:rFonts w:cs="Arial" w:hint="eastAsia"/>
          <w:sz w:val="23"/>
          <w:szCs w:val="23"/>
        </w:rPr>
        <w:t>发售</w:t>
      </w:r>
      <w:r>
        <w:rPr>
          <w:rFonts w:cs="Arial"/>
          <w:sz w:val="23"/>
          <w:szCs w:val="23"/>
        </w:rPr>
        <w:t>期限</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kern w:val="2"/>
          <w:sz w:val="23"/>
          <w:szCs w:val="23"/>
        </w:rPr>
      </w:pPr>
      <w:r>
        <w:rPr>
          <w:rFonts w:cs="Arial"/>
          <w:kern w:val="2"/>
          <w:sz w:val="23"/>
          <w:szCs w:val="23"/>
        </w:rPr>
        <w:t>本基金募集期限自基金份额发售之日起不超过3个月。</w:t>
      </w:r>
    </w:p>
    <w:p w:rsidR="00476F7A" w:rsidRDefault="00476F7A">
      <w:pPr>
        <w:pStyle w:val="20"/>
        <w:adjustRightInd w:val="0"/>
        <w:snapToGrid w:val="0"/>
        <w:spacing w:line="312" w:lineRule="auto"/>
        <w:ind w:firstLine="460"/>
        <w:rPr>
          <w:rFonts w:cs="Arial"/>
          <w:kern w:val="2"/>
          <w:sz w:val="23"/>
          <w:szCs w:val="23"/>
        </w:rPr>
      </w:pPr>
    </w:p>
    <w:p w:rsidR="00476F7A" w:rsidRDefault="00E84586">
      <w:pPr>
        <w:adjustRightInd w:val="0"/>
        <w:snapToGrid w:val="0"/>
        <w:spacing w:line="312" w:lineRule="auto"/>
        <w:ind w:firstLineChars="200" w:firstLine="460"/>
        <w:rPr>
          <w:rFonts w:ascii="宋体" w:hAnsi="宋体"/>
          <w:b/>
          <w:sz w:val="23"/>
          <w:szCs w:val="23"/>
        </w:rPr>
      </w:pPr>
      <w:r>
        <w:rPr>
          <w:rFonts w:ascii="宋体" w:hAnsi="宋体" w:cs="Arial"/>
          <w:sz w:val="23"/>
          <w:szCs w:val="23"/>
        </w:rPr>
        <w:t>本基金自2025年12月8日至2026年3月6日进行发售。如果</w:t>
      </w:r>
      <w:r>
        <w:rPr>
          <w:rFonts w:ascii="宋体" w:hAnsi="宋体" w:cs="Arial" w:hint="eastAsia"/>
          <w:sz w:val="23"/>
          <w:szCs w:val="23"/>
        </w:rPr>
        <w:t>已</w:t>
      </w:r>
      <w:r>
        <w:rPr>
          <w:rFonts w:ascii="宋体" w:hAnsi="宋体" w:cs="Arial"/>
          <w:sz w:val="23"/>
          <w:szCs w:val="23"/>
        </w:rPr>
        <w:t>达到本基金的招募说明书第</w:t>
      </w:r>
      <w:r>
        <w:rPr>
          <w:rFonts w:ascii="宋体" w:hAnsi="宋体" w:cs="Arial" w:hint="eastAsia"/>
          <w:sz w:val="23"/>
          <w:szCs w:val="23"/>
        </w:rPr>
        <w:t>七</w:t>
      </w:r>
      <w:r>
        <w:rPr>
          <w:rFonts w:ascii="宋体" w:hAnsi="宋体" w:cs="Arial"/>
          <w:sz w:val="23"/>
          <w:szCs w:val="23"/>
        </w:rPr>
        <w:t>部分第</w:t>
      </w:r>
      <w:r>
        <w:rPr>
          <w:rFonts w:ascii="宋体" w:hAnsi="宋体" w:cs="Arial" w:hint="eastAsia"/>
          <w:sz w:val="23"/>
          <w:szCs w:val="23"/>
        </w:rPr>
        <w:t>一</w:t>
      </w:r>
      <w:r>
        <w:rPr>
          <w:rFonts w:ascii="宋体" w:hAnsi="宋体" w:cs="Arial"/>
          <w:sz w:val="23"/>
          <w:szCs w:val="23"/>
        </w:rPr>
        <w:t>条规定的基金备案条件，</w:t>
      </w:r>
      <w:r>
        <w:rPr>
          <w:rFonts w:ascii="宋体" w:hAnsi="宋体" w:cs="Arial" w:hint="eastAsia"/>
          <w:sz w:val="23"/>
          <w:szCs w:val="23"/>
        </w:rPr>
        <w:t>基金管理人可依据法律法规及招募说明书、本基金份额发售公告等相关公告决定停止基金发售。如尚未达到基金备案条件的，</w:t>
      </w:r>
      <w:r>
        <w:rPr>
          <w:rFonts w:ascii="宋体" w:hAnsi="宋体" w:cs="Arial"/>
          <w:sz w:val="23"/>
          <w:szCs w:val="23"/>
        </w:rPr>
        <w:t>基金可在募集期限内继续销售。基金管理人也可根据基金销售情况，在符合相关法律法规的情况下，在募集期限内调整基金发售时间，并及时公告。</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（八）</w:t>
      </w:r>
      <w:r>
        <w:rPr>
          <w:rFonts w:ascii="宋体" w:hAnsi="宋体" w:cs="Arial" w:hint="eastAsia"/>
          <w:sz w:val="23"/>
          <w:szCs w:val="23"/>
        </w:rPr>
        <w:t>发售</w:t>
      </w:r>
      <w:r>
        <w:rPr>
          <w:rFonts w:ascii="宋体" w:hAnsi="宋体" w:cs="Arial"/>
          <w:sz w:val="23"/>
          <w:szCs w:val="23"/>
        </w:rPr>
        <w:t>对象</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符合法律法规规定的可投资于证券投资基金的个人投资者、机构投资者、合格境外投资者以及法律法规或中国证监会允许购买证券投资基金的其他投资人。</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基金管理人有权对可购买本基金的投资者资质予以规定并不时调整，具体见</w:t>
      </w:r>
      <w:r>
        <w:rPr>
          <w:rFonts w:ascii="宋体" w:hAnsi="宋体" w:cs="Arial" w:hint="eastAsia"/>
          <w:sz w:val="23"/>
          <w:szCs w:val="23"/>
        </w:rPr>
        <w:t>《业务规则》以及</w:t>
      </w:r>
      <w:r>
        <w:rPr>
          <w:rFonts w:ascii="宋体" w:hAnsi="宋体" w:cs="Arial"/>
          <w:sz w:val="23"/>
          <w:szCs w:val="23"/>
        </w:rPr>
        <w:t>基金管理人届时发布的相关公告。</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bCs/>
          <w:sz w:val="23"/>
          <w:szCs w:val="23"/>
        </w:rPr>
      </w:pPr>
      <w:r>
        <w:rPr>
          <w:rFonts w:ascii="宋体" w:hAnsi="宋体" w:cs="Arial"/>
          <w:bCs/>
          <w:sz w:val="23"/>
          <w:szCs w:val="23"/>
        </w:rPr>
        <w:t>（九）募集场所</w:t>
      </w:r>
    </w:p>
    <w:p w:rsidR="00476F7A" w:rsidRDefault="00476F7A">
      <w:pPr>
        <w:adjustRightInd w:val="0"/>
        <w:snapToGrid w:val="0"/>
        <w:spacing w:line="312" w:lineRule="auto"/>
        <w:ind w:firstLineChars="200" w:firstLine="460"/>
        <w:rPr>
          <w:rFonts w:ascii="宋体" w:hAnsi="宋体" w:cs="Arial"/>
          <w:bCs/>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本基金将通过基金管理人的直销中心及其他基金销售机构的销售网点公开发售。募集期间，基金管理人可根据情况变更或增减基金销售机构。具体销售城市（或网点）名单和联系方式，请参见本公告“</w:t>
      </w:r>
      <w:r>
        <w:rPr>
          <w:rFonts w:cs="Arial" w:hint="eastAsia"/>
          <w:sz w:val="23"/>
          <w:szCs w:val="23"/>
        </w:rPr>
        <w:t>六</w:t>
      </w:r>
      <w:r>
        <w:rPr>
          <w:rFonts w:cs="Arial"/>
          <w:sz w:val="23"/>
          <w:szCs w:val="23"/>
        </w:rPr>
        <w:t>、</w:t>
      </w:r>
      <w:r>
        <w:rPr>
          <w:rFonts w:cs="Arial" w:hint="eastAsia"/>
          <w:sz w:val="23"/>
          <w:szCs w:val="23"/>
        </w:rPr>
        <w:t>本次认购当事人及中介机构</w:t>
      </w:r>
      <w:r>
        <w:rPr>
          <w:rFonts w:cs="Arial"/>
          <w:sz w:val="23"/>
          <w:szCs w:val="23"/>
        </w:rPr>
        <w:t>”之“（</w:t>
      </w:r>
      <w:r>
        <w:rPr>
          <w:rFonts w:cs="Arial" w:hint="eastAsia"/>
          <w:sz w:val="23"/>
          <w:szCs w:val="23"/>
        </w:rPr>
        <w:t>三</w:t>
      </w:r>
      <w:r>
        <w:rPr>
          <w:rFonts w:cs="Arial"/>
          <w:sz w:val="23"/>
          <w:szCs w:val="23"/>
        </w:rPr>
        <w:t>）销售机构”以及当地基金销售机构以各种形式发布的公告。</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各销售机构认购业务的办理网点、办理日期和时间等事项参照各销售机构的具体规定。直销中心办理业务时以其相关规则为准。</w:t>
      </w:r>
    </w:p>
    <w:p w:rsidR="00476F7A" w:rsidRDefault="00476F7A">
      <w:pPr>
        <w:pStyle w:val="20"/>
        <w:adjustRightInd w:val="0"/>
        <w:snapToGrid w:val="0"/>
        <w:spacing w:line="312" w:lineRule="auto"/>
        <w:ind w:firstLine="460"/>
        <w:rPr>
          <w:rFonts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（十）基金的</w:t>
      </w:r>
      <w:r>
        <w:rPr>
          <w:rFonts w:ascii="宋体" w:hAnsi="宋体" w:cs="Arial" w:hint="eastAsia"/>
          <w:sz w:val="23"/>
          <w:szCs w:val="23"/>
        </w:rPr>
        <w:t>最低募集份额总额和募集规模</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本基金募集份额总额不少于2亿份，募集金额总额不少于2亿元人民币。</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本基金可设置募集规模上限。本基金在募集期内最终确认的有效认购总金额不超过</w:t>
      </w:r>
      <w:r>
        <w:rPr>
          <w:rFonts w:ascii="宋体" w:hAnsi="宋体" w:cs="Arial"/>
          <w:sz w:val="23"/>
          <w:szCs w:val="23"/>
        </w:rPr>
        <w:t>50</w:t>
      </w:r>
      <w:r>
        <w:rPr>
          <w:rFonts w:ascii="宋体" w:hAnsi="宋体" w:cs="Arial" w:hint="eastAsia"/>
          <w:sz w:val="23"/>
          <w:szCs w:val="23"/>
        </w:rPr>
        <w:t>亿元人民币（不包括募集期利息）。</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本基金募集过程中募集规模达到</w:t>
      </w:r>
      <w:r>
        <w:rPr>
          <w:rFonts w:ascii="宋体" w:hAnsi="宋体" w:cs="Arial"/>
          <w:sz w:val="23"/>
          <w:szCs w:val="23"/>
        </w:rPr>
        <w:t>50</w:t>
      </w:r>
      <w:r>
        <w:rPr>
          <w:rFonts w:ascii="宋体" w:hAnsi="宋体" w:cs="Arial" w:hint="eastAsia"/>
          <w:sz w:val="23"/>
          <w:szCs w:val="23"/>
        </w:rPr>
        <w:t>亿元的，将提前结束募集，采用末日比例确认的方式实现募集规模的有效控制。</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在募集期内任何一日，若累计募集金额达到或超过</w:t>
      </w:r>
      <w:r>
        <w:rPr>
          <w:rFonts w:ascii="宋体" w:hAnsi="宋体" w:cs="Arial"/>
          <w:sz w:val="23"/>
          <w:szCs w:val="23"/>
        </w:rPr>
        <w:t>50</w:t>
      </w:r>
      <w:r>
        <w:rPr>
          <w:rFonts w:ascii="宋体" w:hAnsi="宋体" w:cs="Arial" w:hint="eastAsia"/>
          <w:sz w:val="23"/>
          <w:szCs w:val="23"/>
        </w:rPr>
        <w:t>亿元（不包括募集期利息），本公司将及时刊登公告提前结束本次募集，并自次日起不再接受认购申请，对当日的认购申请采取按比例确认。</w:t>
      </w:r>
    </w:p>
    <w:p w:rsidR="00476F7A" w:rsidRDefault="00E84586">
      <w:pPr>
        <w:adjustRightInd w:val="0"/>
        <w:snapToGrid w:val="0"/>
        <w:spacing w:line="312" w:lineRule="auto"/>
        <w:ind w:firstLineChars="200" w:firstLine="460"/>
        <w:rPr>
          <w:rFonts w:ascii="宋体" w:hAnsi="宋体" w:cs="Arial"/>
          <w:color w:val="000000"/>
          <w:kern w:val="0"/>
          <w:sz w:val="23"/>
          <w:szCs w:val="23"/>
        </w:rPr>
      </w:pPr>
      <w:r>
        <w:rPr>
          <w:rFonts w:ascii="宋体" w:hAnsi="宋体" w:cs="Arial" w:hint="eastAsia"/>
          <w:sz w:val="23"/>
          <w:szCs w:val="23"/>
        </w:rPr>
        <w:t>当发生比例确认时，本公司将及时公告比例确认情况与结果。未确认部分的认购款项将在募集期结束后退还给投资者，由此产生的损失由投资者自行承担。当发生部分确认时，投资者认购申请确认金额不受认购最低限额的限制。最终认购申请确认结果以本基金登记机构的计算并确认的结果为准。</w:t>
      </w:r>
    </w:p>
    <w:p w:rsidR="00476F7A" w:rsidRDefault="00476F7A">
      <w:pPr>
        <w:adjustRightInd w:val="0"/>
        <w:snapToGrid w:val="0"/>
        <w:spacing w:line="312" w:lineRule="auto"/>
        <w:ind w:firstLineChars="200" w:firstLine="460"/>
        <w:rPr>
          <w:rFonts w:ascii="宋体" w:hAnsi="宋体" w:cs="Arial"/>
          <w:color w:val="000000"/>
          <w:kern w:val="0"/>
          <w:sz w:val="23"/>
          <w:szCs w:val="23"/>
        </w:rPr>
      </w:pPr>
    </w:p>
    <w:p w:rsidR="00476F7A" w:rsidRDefault="00E84586">
      <w:pPr>
        <w:adjustRightInd w:val="0"/>
        <w:snapToGrid w:val="0"/>
        <w:spacing w:line="312" w:lineRule="auto"/>
        <w:ind w:firstLineChars="200" w:firstLine="460"/>
        <w:rPr>
          <w:rFonts w:ascii="宋体" w:hAnsi="宋体" w:cs="Arial"/>
          <w:color w:val="000000"/>
          <w:kern w:val="0"/>
          <w:sz w:val="23"/>
          <w:szCs w:val="23"/>
        </w:rPr>
      </w:pPr>
      <w:r>
        <w:rPr>
          <w:rFonts w:ascii="宋体" w:hAnsi="宋体" w:cs="Arial"/>
          <w:color w:val="000000"/>
          <w:kern w:val="0"/>
          <w:sz w:val="23"/>
          <w:szCs w:val="23"/>
        </w:rPr>
        <w:t>（十</w:t>
      </w:r>
      <w:r>
        <w:rPr>
          <w:rFonts w:ascii="宋体" w:hAnsi="宋体" w:cs="Arial" w:hint="eastAsia"/>
          <w:color w:val="000000"/>
          <w:kern w:val="0"/>
          <w:sz w:val="23"/>
          <w:szCs w:val="23"/>
        </w:rPr>
        <w:t>一</w:t>
      </w:r>
      <w:r>
        <w:rPr>
          <w:rFonts w:ascii="宋体" w:hAnsi="宋体" w:cs="Arial"/>
          <w:color w:val="000000"/>
          <w:kern w:val="0"/>
          <w:sz w:val="23"/>
          <w:szCs w:val="23"/>
        </w:rPr>
        <w:t>）基金的存续</w:t>
      </w:r>
    </w:p>
    <w:p w:rsidR="00476F7A" w:rsidRDefault="00476F7A">
      <w:pPr>
        <w:adjustRightInd w:val="0"/>
        <w:snapToGrid w:val="0"/>
        <w:spacing w:line="312" w:lineRule="auto"/>
        <w:ind w:firstLineChars="200" w:firstLine="460"/>
        <w:rPr>
          <w:rFonts w:ascii="宋体" w:hAnsi="宋体" w:cs="Arial"/>
          <w:color w:val="000000"/>
          <w:kern w:val="0"/>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bCs/>
          <w:sz w:val="23"/>
          <w:szCs w:val="23"/>
        </w:rPr>
        <w:t>《基金合同》生效后，连续20个工作日出现基金份额持有人数量不满200人或者基金资产净值低于5,000万元情形的，基金管理人应当在定期报告中予以披露；连续50个工作日出现前述情形的，本基金</w:t>
      </w:r>
      <w:r>
        <w:rPr>
          <w:rFonts w:ascii="宋体" w:hAnsi="宋体" w:cs="Arial" w:hint="eastAsia"/>
          <w:bCs/>
          <w:sz w:val="23"/>
          <w:szCs w:val="23"/>
        </w:rPr>
        <w:t>将根据</w:t>
      </w:r>
      <w:r>
        <w:rPr>
          <w:rFonts w:ascii="宋体" w:hAnsi="宋体" w:cs="Arial"/>
          <w:bCs/>
          <w:sz w:val="23"/>
          <w:szCs w:val="23"/>
        </w:rPr>
        <w:t>基金合同</w:t>
      </w:r>
      <w:r>
        <w:rPr>
          <w:rFonts w:ascii="宋体" w:hAnsi="宋体" w:cs="Arial" w:hint="eastAsia"/>
          <w:bCs/>
          <w:sz w:val="23"/>
          <w:szCs w:val="23"/>
        </w:rPr>
        <w:t>第十九部分</w:t>
      </w:r>
      <w:r>
        <w:rPr>
          <w:rFonts w:ascii="宋体" w:hAnsi="宋体" w:cs="Arial"/>
          <w:bCs/>
          <w:sz w:val="23"/>
          <w:szCs w:val="23"/>
        </w:rPr>
        <w:t>的约定</w:t>
      </w:r>
      <w:r>
        <w:rPr>
          <w:rFonts w:ascii="宋体" w:hAnsi="宋体" w:cs="Arial" w:hint="eastAsia"/>
          <w:bCs/>
          <w:sz w:val="23"/>
          <w:szCs w:val="23"/>
        </w:rPr>
        <w:t>进行基金财产清算并终止，而无须召开基金份额持有人大会</w:t>
      </w:r>
      <w:r>
        <w:rPr>
          <w:rFonts w:ascii="宋体" w:hAnsi="宋体" w:cs="Arial"/>
          <w:bCs/>
          <w:sz w:val="23"/>
          <w:szCs w:val="23"/>
        </w:rPr>
        <w:t>。法律法规或中国证监会另有规定时，从其规定。</w:t>
      </w:r>
      <w:bookmarkStart w:id="8" w:name="_Hlk62660318"/>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（十</w:t>
      </w:r>
      <w:r>
        <w:rPr>
          <w:rFonts w:ascii="宋体" w:hAnsi="宋体" w:cs="Arial" w:hint="eastAsia"/>
          <w:sz w:val="23"/>
          <w:szCs w:val="23"/>
        </w:rPr>
        <w:t>二</w:t>
      </w:r>
      <w:r>
        <w:rPr>
          <w:rFonts w:ascii="宋体" w:hAnsi="宋体" w:cs="Arial"/>
          <w:sz w:val="23"/>
          <w:szCs w:val="23"/>
        </w:rPr>
        <w:t>）投资人对基金份额的认购</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1、认购时间安排：</w:t>
      </w:r>
    </w:p>
    <w:p w:rsidR="00476F7A" w:rsidRDefault="00476F7A">
      <w:pPr>
        <w:adjustRightInd w:val="0"/>
        <w:snapToGrid w:val="0"/>
        <w:spacing w:line="312" w:lineRule="auto"/>
        <w:ind w:firstLineChars="200" w:firstLine="460"/>
        <w:rPr>
          <w:rFonts w:ascii="宋体" w:hAnsi="宋体" w:cs="Arial"/>
          <w:kern w:val="0"/>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本基金认购时间为2025年12月8日至2026年3月6日。如遇突发事件，发售时间可适当调整，并进行公告。</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各个销售机构在本基金发售募集期内对于机构投资者的具体业务办理时间可能不同，若本公告没有明确规定，则由各销售机构自行决定每天的业务办理时间。</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根据法律法规的规定与基金合同的约定，如果基金募集达到基金备案条件，</w:t>
      </w:r>
      <w:r>
        <w:rPr>
          <w:rFonts w:ascii="宋体" w:hAnsi="宋体" w:cs="Arial" w:hint="eastAsia"/>
          <w:sz w:val="23"/>
          <w:szCs w:val="23"/>
        </w:rPr>
        <w:t>基金管理人可依据法律法规及招募说明书、本基金份额发售公告等相关公告决定停止基金发售。</w:t>
      </w:r>
      <w:r>
        <w:rPr>
          <w:rFonts w:ascii="宋体" w:hAnsi="宋体" w:cs="Arial"/>
          <w:sz w:val="23"/>
          <w:szCs w:val="23"/>
        </w:rPr>
        <w:t>基金合同自基金管理人办理完毕基金备案手续并取得中国证监会书面确认之日起生效。如果未达到前述条件，基金可在上述定明的募集期限内继续销售，直到达到条件并经备案后宣布基金合同生效。基金管理人可根据募集情况，在符合相关法律法规的情况下，在募集期限内调整本基金的发售时间，但最长不超过法定募集期限并及时公告。如遇突发事件，以上基金募集期的安排也可以适当调整</w:t>
      </w:r>
      <w:r>
        <w:rPr>
          <w:rFonts w:ascii="宋体" w:hAnsi="宋体" w:cs="Arial" w:hint="eastAsia"/>
          <w:sz w:val="23"/>
          <w:szCs w:val="23"/>
        </w:rPr>
        <w:t>并进行公告</w:t>
      </w:r>
      <w:r>
        <w:rPr>
          <w:rFonts w:ascii="宋体" w:hAnsi="宋体" w:cs="Arial"/>
          <w:sz w:val="23"/>
          <w:szCs w:val="23"/>
        </w:rPr>
        <w:t>。</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bCs/>
          <w:sz w:val="23"/>
          <w:szCs w:val="23"/>
        </w:rPr>
      </w:pPr>
      <w:r>
        <w:rPr>
          <w:rFonts w:ascii="宋体" w:hAnsi="宋体" w:cs="Arial"/>
          <w:bCs/>
          <w:sz w:val="23"/>
          <w:szCs w:val="23"/>
        </w:rPr>
        <w:t>2、认购原则：</w:t>
      </w:r>
    </w:p>
    <w:p w:rsidR="00476F7A" w:rsidRDefault="00476F7A">
      <w:pPr>
        <w:adjustRightInd w:val="0"/>
        <w:snapToGrid w:val="0"/>
        <w:spacing w:line="312" w:lineRule="auto"/>
        <w:ind w:firstLineChars="200" w:firstLine="460"/>
        <w:rPr>
          <w:rFonts w:ascii="宋体" w:hAnsi="宋体" w:cs="Arial"/>
          <w:bCs/>
          <w:sz w:val="23"/>
          <w:szCs w:val="23"/>
        </w:rPr>
      </w:pP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kern w:val="0"/>
          <w:sz w:val="23"/>
          <w:szCs w:val="23"/>
        </w:rPr>
        <w:t>（1）基金认购采用“金额认购、份额确认”的方式；</w:t>
      </w: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kern w:val="0"/>
          <w:sz w:val="23"/>
          <w:szCs w:val="23"/>
        </w:rPr>
        <w:t>（2）投资者认购时，需按销售机构规定的方式全额缴款；</w:t>
      </w: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kern w:val="0"/>
          <w:sz w:val="23"/>
          <w:szCs w:val="23"/>
        </w:rPr>
        <w:t>（3）投资者的认购申请一经受理不得撤销；</w:t>
      </w:r>
    </w:p>
    <w:p w:rsidR="00476F7A" w:rsidRDefault="00E84586">
      <w:pPr>
        <w:tabs>
          <w:tab w:val="left" w:pos="0"/>
        </w:tabs>
        <w:adjustRightInd w:val="0"/>
        <w:snapToGrid w:val="0"/>
        <w:spacing w:line="312" w:lineRule="auto"/>
        <w:ind w:firstLineChars="200" w:firstLine="460"/>
        <w:rPr>
          <w:rFonts w:ascii="宋体" w:hAnsi="宋体" w:cs="Arial"/>
          <w:kern w:val="0"/>
          <w:sz w:val="23"/>
          <w:szCs w:val="23"/>
        </w:rPr>
      </w:pPr>
      <w:r>
        <w:rPr>
          <w:rFonts w:ascii="宋体" w:hAnsi="宋体" w:cs="Arial"/>
          <w:kern w:val="0"/>
          <w:sz w:val="23"/>
          <w:szCs w:val="23"/>
        </w:rPr>
        <w:t>（4）投资者在募集期内可多次认购，认购期间单个投资者的累计认购金额没有限制，但招募说明书、</w:t>
      </w:r>
      <w:r>
        <w:rPr>
          <w:rFonts w:ascii="宋体" w:hAnsi="宋体" w:cs="Arial" w:hint="eastAsia"/>
          <w:kern w:val="0"/>
          <w:sz w:val="23"/>
          <w:szCs w:val="23"/>
        </w:rPr>
        <w:t>本</w:t>
      </w:r>
      <w:r>
        <w:rPr>
          <w:rFonts w:ascii="宋体" w:hAnsi="宋体" w:cs="Arial"/>
          <w:kern w:val="0"/>
          <w:sz w:val="23"/>
          <w:szCs w:val="23"/>
        </w:rPr>
        <w:t>基金份额发售公告、其他相关公告另有规定的除外。</w:t>
      </w:r>
    </w:p>
    <w:p w:rsidR="00476F7A" w:rsidRDefault="00476F7A">
      <w:pPr>
        <w:adjustRightInd w:val="0"/>
        <w:snapToGrid w:val="0"/>
        <w:spacing w:line="312" w:lineRule="auto"/>
        <w:ind w:firstLineChars="200" w:firstLine="460"/>
        <w:rPr>
          <w:rFonts w:ascii="宋体" w:hAnsi="宋体" w:cs="Arial"/>
          <w:kern w:val="0"/>
          <w:sz w:val="23"/>
          <w:szCs w:val="23"/>
        </w:rPr>
      </w:pPr>
    </w:p>
    <w:p w:rsidR="00476F7A" w:rsidRDefault="00E84586">
      <w:pPr>
        <w:adjustRightInd w:val="0"/>
        <w:snapToGrid w:val="0"/>
        <w:spacing w:line="312" w:lineRule="auto"/>
        <w:ind w:firstLineChars="200" w:firstLine="460"/>
        <w:rPr>
          <w:rFonts w:ascii="宋体" w:hAnsi="宋体" w:cs="Arial"/>
          <w:bCs/>
          <w:sz w:val="23"/>
          <w:szCs w:val="23"/>
        </w:rPr>
      </w:pPr>
      <w:r>
        <w:rPr>
          <w:rFonts w:ascii="宋体" w:hAnsi="宋体" w:cs="Arial"/>
          <w:bCs/>
          <w:sz w:val="23"/>
          <w:szCs w:val="23"/>
        </w:rPr>
        <w:t>3、认购限额：</w:t>
      </w:r>
    </w:p>
    <w:p w:rsidR="00476F7A" w:rsidRDefault="00476F7A">
      <w:pPr>
        <w:adjustRightInd w:val="0"/>
        <w:snapToGrid w:val="0"/>
        <w:spacing w:line="312" w:lineRule="auto"/>
        <w:ind w:firstLineChars="200" w:firstLine="460"/>
        <w:rPr>
          <w:rFonts w:ascii="宋体" w:hAnsi="宋体" w:cs="Arial"/>
          <w:bCs/>
          <w:sz w:val="23"/>
          <w:szCs w:val="23"/>
        </w:rPr>
      </w:pPr>
    </w:p>
    <w:p w:rsidR="00476F7A" w:rsidRDefault="00E84586">
      <w:pPr>
        <w:adjustRightInd w:val="0"/>
        <w:snapToGrid w:val="0"/>
        <w:spacing w:line="312" w:lineRule="auto"/>
        <w:ind w:firstLine="420"/>
        <w:rPr>
          <w:rFonts w:ascii="宋体" w:hAnsi="宋体" w:cs="Arial"/>
          <w:kern w:val="0"/>
          <w:sz w:val="23"/>
          <w:szCs w:val="23"/>
        </w:rPr>
      </w:pPr>
      <w:r>
        <w:rPr>
          <w:rFonts w:ascii="宋体" w:hAnsi="宋体" w:cs="Arial"/>
          <w:kern w:val="0"/>
          <w:sz w:val="23"/>
          <w:szCs w:val="23"/>
        </w:rPr>
        <w:t>在基金募集期内，投资者</w:t>
      </w:r>
      <w:r>
        <w:rPr>
          <w:rFonts w:ascii="宋体" w:hAnsi="宋体" w:cs="Arial" w:hint="eastAsia"/>
          <w:kern w:val="0"/>
          <w:sz w:val="23"/>
          <w:szCs w:val="23"/>
        </w:rPr>
        <w:t>通过基金管理人指定的销售机构认购本基金份额时，</w:t>
      </w:r>
      <w:r>
        <w:rPr>
          <w:rFonts w:ascii="宋体" w:hAnsi="宋体" w:cs="Arial"/>
          <w:kern w:val="0"/>
          <w:sz w:val="23"/>
          <w:szCs w:val="23"/>
        </w:rPr>
        <w:t>可多次认购基金份额，</w:t>
      </w:r>
      <w:r>
        <w:rPr>
          <w:rFonts w:ascii="宋体" w:hAnsi="宋体" w:cs="Arial" w:hint="eastAsia"/>
          <w:kern w:val="0"/>
          <w:sz w:val="23"/>
          <w:szCs w:val="23"/>
        </w:rPr>
        <w:t>单个账户首次认购的最低金额为人民币1</w:t>
      </w:r>
      <w:r>
        <w:rPr>
          <w:rFonts w:ascii="宋体" w:hAnsi="宋体" w:cs="Arial"/>
          <w:kern w:val="0"/>
          <w:sz w:val="23"/>
          <w:szCs w:val="23"/>
        </w:rPr>
        <w:t>0</w:t>
      </w:r>
      <w:r>
        <w:rPr>
          <w:rFonts w:ascii="宋体" w:hAnsi="宋体" w:cs="Arial" w:hint="eastAsia"/>
          <w:kern w:val="0"/>
          <w:sz w:val="23"/>
          <w:szCs w:val="23"/>
        </w:rPr>
        <w:t>元（含认购费），追加认购不设最低金额限制。投资者通过基金管理人的</w:t>
      </w:r>
      <w:r>
        <w:rPr>
          <w:rFonts w:ascii="宋体" w:hAnsi="宋体" w:cs="Arial"/>
          <w:kern w:val="0"/>
          <w:sz w:val="23"/>
          <w:szCs w:val="23"/>
        </w:rPr>
        <w:t>直销中心认购</w:t>
      </w:r>
      <w:r>
        <w:rPr>
          <w:rFonts w:ascii="宋体" w:hAnsi="宋体" w:cs="Arial" w:hint="eastAsia"/>
          <w:kern w:val="0"/>
          <w:sz w:val="23"/>
          <w:szCs w:val="23"/>
        </w:rPr>
        <w:t>本基金份额时，单个账户首次认购的</w:t>
      </w:r>
      <w:r>
        <w:rPr>
          <w:rFonts w:ascii="宋体" w:hAnsi="宋体" w:cs="Arial"/>
          <w:kern w:val="0"/>
          <w:sz w:val="23"/>
          <w:szCs w:val="23"/>
        </w:rPr>
        <w:t>最低金额为人民币</w:t>
      </w:r>
      <w:r>
        <w:rPr>
          <w:rFonts w:ascii="宋体" w:hAnsi="宋体" w:cs="Arial" w:hint="eastAsia"/>
          <w:kern w:val="0"/>
          <w:sz w:val="23"/>
          <w:szCs w:val="23"/>
        </w:rPr>
        <w:t>50,000元（含认购费），追加认购的最低金额为单笔人民币1,000元（含认购费）。在符合法律法规规定的前提下，</w:t>
      </w:r>
      <w:r>
        <w:rPr>
          <w:rFonts w:ascii="宋体" w:hAnsi="宋体" w:cs="Arial"/>
          <w:kern w:val="0"/>
          <w:sz w:val="23"/>
          <w:szCs w:val="23"/>
        </w:rPr>
        <w:t>各销售机构对最低认购</w:t>
      </w:r>
      <w:r>
        <w:rPr>
          <w:rFonts w:ascii="宋体" w:hAnsi="宋体" w:cs="Arial" w:hint="eastAsia"/>
          <w:kern w:val="0"/>
          <w:sz w:val="23"/>
          <w:szCs w:val="23"/>
        </w:rPr>
        <w:t>限</w:t>
      </w:r>
      <w:r>
        <w:rPr>
          <w:rFonts w:ascii="宋体" w:hAnsi="宋体" w:cs="Arial"/>
          <w:kern w:val="0"/>
          <w:sz w:val="23"/>
          <w:szCs w:val="23"/>
        </w:rPr>
        <w:t>额及</w:t>
      </w:r>
      <w:r>
        <w:rPr>
          <w:rFonts w:ascii="宋体" w:hAnsi="宋体" w:cs="Arial" w:hint="eastAsia"/>
          <w:kern w:val="0"/>
          <w:sz w:val="23"/>
          <w:szCs w:val="23"/>
        </w:rPr>
        <w:t>交易级差</w:t>
      </w:r>
      <w:r>
        <w:rPr>
          <w:rFonts w:ascii="宋体" w:hAnsi="宋体" w:cs="Arial"/>
          <w:kern w:val="0"/>
          <w:sz w:val="23"/>
          <w:szCs w:val="23"/>
        </w:rPr>
        <w:t>有其他规定的，</w:t>
      </w:r>
      <w:r>
        <w:rPr>
          <w:rFonts w:ascii="宋体" w:hAnsi="宋体" w:cs="Arial" w:hint="eastAsia"/>
          <w:kern w:val="0"/>
          <w:sz w:val="23"/>
          <w:szCs w:val="23"/>
        </w:rPr>
        <w:t>需要同时遵循该销售机构的相关规定。</w:t>
      </w:r>
      <w:r>
        <w:rPr>
          <w:rFonts w:ascii="宋体" w:hAnsi="宋体" w:cs="Arial"/>
          <w:kern w:val="0"/>
          <w:sz w:val="23"/>
          <w:szCs w:val="23"/>
        </w:rPr>
        <w:t>募集期间不设置投资者单个账户最高认购金额限制，但更新的招募说明书或其他相关公告另有规定的除外。</w:t>
      </w:r>
    </w:p>
    <w:p w:rsidR="00476F7A" w:rsidRDefault="00476F7A">
      <w:pPr>
        <w:adjustRightInd w:val="0"/>
        <w:snapToGrid w:val="0"/>
        <w:spacing w:line="312" w:lineRule="auto"/>
        <w:ind w:firstLine="420"/>
        <w:rPr>
          <w:rFonts w:ascii="宋体" w:hAnsi="宋体" w:cs="Arial"/>
          <w:kern w:val="0"/>
          <w:sz w:val="23"/>
          <w:szCs w:val="23"/>
        </w:rPr>
      </w:pPr>
    </w:p>
    <w:p w:rsidR="00476F7A" w:rsidRDefault="00E84586">
      <w:pPr>
        <w:adjustRightInd w:val="0"/>
        <w:snapToGrid w:val="0"/>
        <w:spacing w:line="312" w:lineRule="auto"/>
        <w:ind w:firstLine="420"/>
        <w:rPr>
          <w:rFonts w:ascii="宋体" w:hAnsi="宋体" w:cs="Arial"/>
          <w:kern w:val="0"/>
          <w:sz w:val="23"/>
          <w:szCs w:val="23"/>
        </w:rPr>
      </w:pPr>
      <w:r>
        <w:rPr>
          <w:rFonts w:ascii="宋体" w:hAnsi="宋体" w:cs="Arial"/>
          <w:kern w:val="0"/>
          <w:sz w:val="23"/>
          <w:szCs w:val="23"/>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476F7A" w:rsidRDefault="00476F7A">
      <w:pPr>
        <w:adjustRightInd w:val="0"/>
        <w:snapToGrid w:val="0"/>
        <w:spacing w:line="312" w:lineRule="auto"/>
        <w:ind w:firstLine="420"/>
        <w:rPr>
          <w:rFonts w:ascii="宋体" w:hAnsi="宋体" w:cs="Arial"/>
          <w:bCs/>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bCs/>
          <w:sz w:val="23"/>
          <w:szCs w:val="23"/>
        </w:rPr>
        <w:t>4、</w:t>
      </w:r>
      <w:r>
        <w:rPr>
          <w:rFonts w:ascii="宋体" w:hAnsi="宋体" w:cs="Arial"/>
          <w:sz w:val="23"/>
          <w:szCs w:val="23"/>
        </w:rPr>
        <w:t>投资人认购应提交的文件和办理的手续</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投资人认购本基金应首先办理开户手续，开立基金账户。本基金发售期内，本基金直销机构和其他销售机构的销售网点同时为投资人办理开立基金账户的手续。投资人的开户和认购申请可同时办理。</w:t>
      </w:r>
    </w:p>
    <w:bookmarkEnd w:id="8"/>
    <w:p w:rsidR="00476F7A" w:rsidRDefault="00476F7A">
      <w:pPr>
        <w:adjustRightInd w:val="0"/>
        <w:snapToGrid w:val="0"/>
        <w:spacing w:line="312" w:lineRule="auto"/>
        <w:ind w:firstLineChars="200" w:firstLine="460"/>
        <w:rPr>
          <w:rFonts w:ascii="宋体" w:hAnsi="宋体" w:cs="Arial"/>
          <w:bCs/>
          <w:sz w:val="23"/>
          <w:szCs w:val="23"/>
        </w:rPr>
      </w:pPr>
    </w:p>
    <w:p w:rsidR="00476F7A" w:rsidRDefault="00E84586">
      <w:pPr>
        <w:adjustRightInd w:val="0"/>
        <w:snapToGrid w:val="0"/>
        <w:spacing w:line="312" w:lineRule="auto"/>
        <w:ind w:firstLineChars="200" w:firstLine="460"/>
        <w:rPr>
          <w:rFonts w:ascii="宋体" w:hAnsi="宋体" w:cs="Arial"/>
          <w:sz w:val="23"/>
          <w:szCs w:val="23"/>
        </w:rPr>
      </w:pPr>
      <w:bookmarkStart w:id="9" w:name="_Hlk62660683"/>
      <w:r>
        <w:rPr>
          <w:rFonts w:ascii="宋体" w:hAnsi="宋体" w:cs="Arial"/>
          <w:sz w:val="23"/>
          <w:szCs w:val="23"/>
        </w:rPr>
        <w:t>（十</w:t>
      </w:r>
      <w:r>
        <w:rPr>
          <w:rFonts w:ascii="宋体" w:hAnsi="宋体" w:cs="Arial" w:hint="eastAsia"/>
          <w:sz w:val="23"/>
          <w:szCs w:val="23"/>
        </w:rPr>
        <w:t>三</w:t>
      </w:r>
      <w:r>
        <w:rPr>
          <w:rFonts w:ascii="宋体" w:hAnsi="宋体" w:cs="Arial"/>
          <w:sz w:val="23"/>
          <w:szCs w:val="23"/>
        </w:rPr>
        <w:t>）基金的认购费用</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本基金根据认购费、申购费、销售服务费收取方式的不同，将基金份额分为不同的类别。在投资者认购或申购时收取认购费或申购费，但不从本类别基金财产中计提销售服务费的，称为A类基金份额；在投资者认购或申购时不收取认购费或申购费，而从本类别基金财产中计提销售服务费的，称为C类基金份额。</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本基金A类基金份额和C类基金份额分别设置代码。由于基金费用的不同，本基金A类基金份额和C类基金份额将分别计算基金份额净值和基金份额累计净值。基金份额净值计算公式为计算日该类别基金资产净值除以计算日该类别基金份额总数。</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投资者可自行选择认购、申购的基金份额类别。</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在不违反法律法规、基金合同的约定以及对基金份额持有人利益无实质性不利影响的情况下，根据基金实际运作情况，在履行适当程序后，基金管理人可决定增加新的基金份额类别、取消某基金份额类别或对基金份额分类办法及规则进行调整等事宜，此项调整无需召开基金份额持有人大会，但调整实施前基金管理人需及时公告。</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bCs/>
          <w:sz w:val="23"/>
          <w:szCs w:val="23"/>
        </w:rPr>
      </w:pPr>
      <w:r>
        <w:rPr>
          <w:rFonts w:ascii="宋体" w:hAnsi="宋体" w:hint="eastAsia"/>
          <w:bCs/>
          <w:sz w:val="23"/>
          <w:szCs w:val="23"/>
        </w:rPr>
        <w:t>本基金对通过直销中心认购本基金</w:t>
      </w:r>
      <w:r>
        <w:rPr>
          <w:rFonts w:ascii="宋体" w:hAnsi="宋体"/>
          <w:bCs/>
          <w:sz w:val="23"/>
          <w:szCs w:val="23"/>
        </w:rPr>
        <w:t>A类基金份额的养老金客户与除此之外其他投资者实施差别化的认购费率。在募集期内如果有多笔认购，适用费率按单笔认购申请单独计算。</w:t>
      </w:r>
    </w:p>
    <w:p w:rsidR="00476F7A" w:rsidRDefault="00476F7A">
      <w:pPr>
        <w:adjustRightInd w:val="0"/>
        <w:snapToGrid w:val="0"/>
        <w:spacing w:line="312" w:lineRule="auto"/>
        <w:ind w:firstLineChars="200" w:firstLine="460"/>
        <w:rPr>
          <w:rFonts w:ascii="宋体" w:hAnsi="宋体"/>
          <w:bCs/>
          <w:sz w:val="23"/>
          <w:szCs w:val="23"/>
        </w:rPr>
      </w:pPr>
    </w:p>
    <w:p w:rsidR="00476F7A" w:rsidRDefault="00E84586">
      <w:pPr>
        <w:widowControl/>
        <w:spacing w:line="312" w:lineRule="auto"/>
        <w:ind w:firstLineChars="200" w:firstLine="460"/>
        <w:rPr>
          <w:rFonts w:ascii="宋体" w:hAnsi="宋体" w:cs="Arial"/>
          <w:sz w:val="23"/>
          <w:szCs w:val="23"/>
        </w:rPr>
      </w:pPr>
      <w:r>
        <w:rPr>
          <w:rFonts w:ascii="宋体" w:hAnsi="宋体" w:hint="eastAsia"/>
          <w:bCs/>
          <w:sz w:val="23"/>
          <w:szCs w:val="23"/>
        </w:rPr>
        <w:t>养老金客户指全国社会保障基金、基本养老保险基金、可以投资基金的地方社会保障基金、企业年金基金、职业年金基金，以及个人税收递延型商业养老保险、养老目标证券投资基金、养老理财产品等。如将来出现可以投资基金的享受税收优惠的个人养老账户、经养老基金监管部门认可的新的养老基金类型，基金管理人可将其纳入养老金客户范围。</w:t>
      </w:r>
    </w:p>
    <w:p w:rsidR="00476F7A" w:rsidRDefault="00476F7A">
      <w:pPr>
        <w:widowControl/>
        <w:spacing w:line="312" w:lineRule="auto"/>
        <w:ind w:firstLineChars="200" w:firstLine="460"/>
        <w:rPr>
          <w:rFonts w:ascii="宋体" w:hAnsi="宋体" w:cs="Arial"/>
          <w:sz w:val="23"/>
          <w:szCs w:val="23"/>
        </w:rPr>
      </w:pPr>
    </w:p>
    <w:p w:rsidR="00476F7A" w:rsidRDefault="00E84586">
      <w:pPr>
        <w:widowControl/>
        <w:numPr>
          <w:ilvl w:val="0"/>
          <w:numId w:val="1"/>
        </w:numPr>
        <w:spacing w:line="312" w:lineRule="auto"/>
        <w:rPr>
          <w:rFonts w:ascii="宋体" w:hAnsi="宋体" w:cs="Arial"/>
          <w:sz w:val="23"/>
          <w:szCs w:val="23"/>
        </w:rPr>
      </w:pPr>
      <w:r>
        <w:rPr>
          <w:rFonts w:ascii="宋体" w:hAnsi="宋体" w:cs="Arial"/>
          <w:sz w:val="23"/>
          <w:szCs w:val="23"/>
        </w:rPr>
        <w:t>养老金客户的认购费率</w:t>
      </w:r>
    </w:p>
    <w:p w:rsidR="00476F7A" w:rsidRDefault="00476F7A">
      <w:pPr>
        <w:widowControl/>
        <w:spacing w:line="312" w:lineRule="auto"/>
        <w:ind w:left="460"/>
        <w:rPr>
          <w:rFonts w:ascii="宋体" w:hAnsi="宋体" w:cs="Arial"/>
          <w:sz w:val="23"/>
          <w:szCs w:val="23"/>
        </w:rPr>
      </w:pPr>
    </w:p>
    <w:p w:rsidR="00476F7A" w:rsidRDefault="00E84586">
      <w:pPr>
        <w:widowControl/>
        <w:spacing w:line="312" w:lineRule="auto"/>
        <w:ind w:firstLineChars="200" w:firstLine="460"/>
        <w:rPr>
          <w:rFonts w:ascii="宋体" w:hAnsi="宋体" w:cs="Arial"/>
          <w:sz w:val="23"/>
          <w:szCs w:val="23"/>
        </w:rPr>
      </w:pPr>
      <w:r>
        <w:rPr>
          <w:rFonts w:ascii="宋体" w:hAnsi="宋体" w:cs="Arial"/>
          <w:sz w:val="23"/>
          <w:szCs w:val="23"/>
        </w:rPr>
        <w:t>通过基金管理人的直销中心认购本基金</w:t>
      </w:r>
      <w:r>
        <w:rPr>
          <w:rFonts w:ascii="宋体" w:hAnsi="宋体" w:cs="Arial" w:hint="eastAsia"/>
          <w:sz w:val="23"/>
          <w:szCs w:val="23"/>
        </w:rPr>
        <w:t>A类基金份额</w:t>
      </w:r>
      <w:r>
        <w:rPr>
          <w:rFonts w:ascii="宋体" w:hAnsi="宋体" w:cs="Arial"/>
          <w:sz w:val="23"/>
          <w:szCs w:val="23"/>
        </w:rPr>
        <w:t>的养老金客户的认购费率见下表：</w:t>
      </w:r>
    </w:p>
    <w:p w:rsidR="00476F7A" w:rsidRDefault="00476F7A">
      <w:pPr>
        <w:widowControl/>
        <w:spacing w:line="312" w:lineRule="auto"/>
        <w:ind w:firstLineChars="200" w:firstLine="460"/>
        <w:rPr>
          <w:rFonts w:ascii="宋体" w:hAnsi="宋体"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6"/>
        <w:gridCol w:w="4337"/>
      </w:tblGrid>
      <w:tr w:rsidR="00476F7A">
        <w:trPr>
          <w:jc w:val="center"/>
        </w:trPr>
        <w:tc>
          <w:tcPr>
            <w:tcW w:w="4006" w:type="dxa"/>
            <w:shd w:val="clear" w:color="auto" w:fill="auto"/>
            <w:vAlign w:val="center"/>
          </w:tcPr>
          <w:p w:rsidR="00476F7A" w:rsidRDefault="00E84586">
            <w:pPr>
              <w:widowControl/>
              <w:spacing w:line="312" w:lineRule="auto"/>
              <w:jc w:val="center"/>
              <w:rPr>
                <w:rFonts w:ascii="宋体" w:hAnsi="宋体" w:cs="Arial"/>
                <w:b/>
                <w:bCs/>
                <w:sz w:val="23"/>
                <w:szCs w:val="23"/>
              </w:rPr>
            </w:pPr>
            <w:r>
              <w:rPr>
                <w:rFonts w:ascii="宋体" w:hAnsi="宋体" w:cs="Arial"/>
                <w:b/>
                <w:bCs/>
                <w:sz w:val="23"/>
                <w:szCs w:val="23"/>
              </w:rPr>
              <w:t>认购金额（M）</w:t>
            </w:r>
          </w:p>
        </w:tc>
        <w:tc>
          <w:tcPr>
            <w:tcW w:w="4337" w:type="dxa"/>
            <w:shd w:val="clear" w:color="auto" w:fill="auto"/>
            <w:vAlign w:val="center"/>
          </w:tcPr>
          <w:p w:rsidR="00476F7A" w:rsidRDefault="00E84586">
            <w:pPr>
              <w:widowControl/>
              <w:spacing w:line="312" w:lineRule="auto"/>
              <w:jc w:val="center"/>
              <w:rPr>
                <w:rFonts w:ascii="宋体" w:hAnsi="宋体" w:cs="Arial"/>
                <w:b/>
                <w:bCs/>
                <w:sz w:val="23"/>
                <w:szCs w:val="23"/>
              </w:rPr>
            </w:pPr>
            <w:r>
              <w:rPr>
                <w:rFonts w:ascii="宋体" w:hAnsi="宋体" w:cs="Arial"/>
                <w:b/>
                <w:bCs/>
                <w:sz w:val="23"/>
                <w:szCs w:val="23"/>
              </w:rPr>
              <w:t>认购费率</w:t>
            </w:r>
          </w:p>
        </w:tc>
      </w:tr>
      <w:tr w:rsidR="00476F7A">
        <w:trPr>
          <w:jc w:val="center"/>
        </w:trPr>
        <w:tc>
          <w:tcPr>
            <w:tcW w:w="4006" w:type="dxa"/>
            <w:shd w:val="clear" w:color="auto" w:fill="auto"/>
          </w:tcPr>
          <w:p w:rsidR="00476F7A" w:rsidRDefault="00E84586">
            <w:pPr>
              <w:widowControl/>
              <w:spacing w:line="312" w:lineRule="auto"/>
              <w:jc w:val="center"/>
              <w:rPr>
                <w:rFonts w:ascii="宋体" w:hAnsi="宋体" w:cs="Arial"/>
                <w:sz w:val="23"/>
                <w:szCs w:val="23"/>
              </w:rPr>
            </w:pPr>
            <w:r>
              <w:rPr>
                <w:rFonts w:ascii="宋体" w:hAnsi="宋体"/>
                <w:sz w:val="23"/>
                <w:szCs w:val="23"/>
              </w:rPr>
              <w:t>M</w:t>
            </w:r>
            <w:r>
              <w:rPr>
                <w:rFonts w:ascii="宋体" w:hAnsi="宋体" w:hint="eastAsia"/>
                <w:sz w:val="23"/>
                <w:szCs w:val="23"/>
              </w:rPr>
              <w:t>＜</w:t>
            </w:r>
            <w:r>
              <w:rPr>
                <w:rFonts w:ascii="宋体" w:hAnsi="宋体"/>
                <w:sz w:val="23"/>
                <w:szCs w:val="23"/>
              </w:rPr>
              <w:t>100</w:t>
            </w:r>
            <w:r>
              <w:rPr>
                <w:rFonts w:ascii="宋体" w:hAnsi="宋体" w:hint="eastAsia"/>
                <w:sz w:val="23"/>
                <w:szCs w:val="23"/>
              </w:rPr>
              <w:t>万元</w:t>
            </w:r>
          </w:p>
        </w:tc>
        <w:tc>
          <w:tcPr>
            <w:tcW w:w="4337" w:type="dxa"/>
            <w:shd w:val="clear" w:color="auto" w:fill="auto"/>
            <w:vAlign w:val="center"/>
          </w:tcPr>
          <w:p w:rsidR="00476F7A" w:rsidRDefault="00E84586">
            <w:pPr>
              <w:widowControl/>
              <w:spacing w:line="312" w:lineRule="auto"/>
              <w:jc w:val="center"/>
              <w:rPr>
                <w:rFonts w:ascii="宋体" w:hAnsi="宋体"/>
                <w:sz w:val="23"/>
                <w:szCs w:val="23"/>
              </w:rPr>
            </w:pPr>
            <w:r>
              <w:rPr>
                <w:rFonts w:ascii="宋体" w:hAnsi="宋体"/>
                <w:sz w:val="23"/>
                <w:szCs w:val="23"/>
              </w:rPr>
              <w:t>0.12%</w:t>
            </w:r>
          </w:p>
        </w:tc>
      </w:tr>
      <w:tr w:rsidR="00476F7A">
        <w:trPr>
          <w:jc w:val="center"/>
        </w:trPr>
        <w:tc>
          <w:tcPr>
            <w:tcW w:w="4006" w:type="dxa"/>
            <w:shd w:val="clear" w:color="auto" w:fill="auto"/>
          </w:tcPr>
          <w:p w:rsidR="00476F7A" w:rsidRDefault="00E84586">
            <w:pPr>
              <w:widowControl/>
              <w:spacing w:line="312" w:lineRule="auto"/>
              <w:jc w:val="center"/>
              <w:rPr>
                <w:rFonts w:ascii="宋体" w:hAnsi="宋体" w:cs="Arial"/>
                <w:sz w:val="23"/>
                <w:szCs w:val="23"/>
              </w:rPr>
            </w:pPr>
            <w:r>
              <w:rPr>
                <w:rFonts w:ascii="宋体" w:hAnsi="宋体"/>
                <w:sz w:val="23"/>
                <w:szCs w:val="23"/>
              </w:rPr>
              <w:t>100</w:t>
            </w:r>
            <w:r>
              <w:rPr>
                <w:rFonts w:ascii="宋体" w:hAnsi="宋体" w:hint="eastAsia"/>
                <w:sz w:val="23"/>
                <w:szCs w:val="23"/>
              </w:rPr>
              <w:t>万元≤</w:t>
            </w:r>
            <w:r>
              <w:rPr>
                <w:rFonts w:ascii="宋体" w:hAnsi="宋体"/>
                <w:sz w:val="23"/>
                <w:szCs w:val="23"/>
              </w:rPr>
              <w:t>M</w:t>
            </w:r>
            <w:r>
              <w:rPr>
                <w:rFonts w:ascii="宋体" w:hAnsi="宋体" w:hint="eastAsia"/>
                <w:sz w:val="23"/>
                <w:szCs w:val="23"/>
              </w:rPr>
              <w:t>＜</w:t>
            </w:r>
            <w:r>
              <w:rPr>
                <w:rFonts w:ascii="宋体" w:hAnsi="宋体"/>
                <w:sz w:val="23"/>
                <w:szCs w:val="23"/>
              </w:rPr>
              <w:t>300</w:t>
            </w:r>
            <w:r>
              <w:rPr>
                <w:rFonts w:ascii="宋体" w:hAnsi="宋体" w:hint="eastAsia"/>
                <w:sz w:val="23"/>
                <w:szCs w:val="23"/>
              </w:rPr>
              <w:t>万元</w:t>
            </w:r>
          </w:p>
        </w:tc>
        <w:tc>
          <w:tcPr>
            <w:tcW w:w="4337" w:type="dxa"/>
            <w:shd w:val="clear" w:color="auto" w:fill="auto"/>
            <w:vAlign w:val="center"/>
          </w:tcPr>
          <w:p w:rsidR="00476F7A" w:rsidRDefault="00E84586">
            <w:pPr>
              <w:widowControl/>
              <w:spacing w:line="312" w:lineRule="auto"/>
              <w:jc w:val="center"/>
              <w:rPr>
                <w:rFonts w:ascii="宋体" w:hAnsi="宋体"/>
                <w:sz w:val="23"/>
                <w:szCs w:val="23"/>
              </w:rPr>
            </w:pPr>
            <w:r>
              <w:rPr>
                <w:rFonts w:ascii="宋体" w:hAnsi="宋体"/>
                <w:sz w:val="23"/>
                <w:szCs w:val="23"/>
              </w:rPr>
              <w:t>0.08%</w:t>
            </w:r>
          </w:p>
        </w:tc>
      </w:tr>
      <w:tr w:rsidR="00476F7A">
        <w:trPr>
          <w:jc w:val="center"/>
        </w:trPr>
        <w:tc>
          <w:tcPr>
            <w:tcW w:w="4006" w:type="dxa"/>
            <w:shd w:val="clear" w:color="auto" w:fill="auto"/>
          </w:tcPr>
          <w:p w:rsidR="00476F7A" w:rsidRDefault="00E84586">
            <w:pPr>
              <w:widowControl/>
              <w:spacing w:line="312" w:lineRule="auto"/>
              <w:jc w:val="center"/>
              <w:rPr>
                <w:rFonts w:ascii="宋体" w:hAnsi="宋体"/>
                <w:sz w:val="23"/>
                <w:szCs w:val="23"/>
              </w:rPr>
            </w:pPr>
            <w:r>
              <w:rPr>
                <w:rFonts w:ascii="宋体" w:hAnsi="宋体"/>
                <w:sz w:val="23"/>
                <w:szCs w:val="23"/>
              </w:rPr>
              <w:t>300</w:t>
            </w:r>
            <w:r>
              <w:rPr>
                <w:rFonts w:ascii="宋体" w:hAnsi="宋体" w:hint="eastAsia"/>
                <w:sz w:val="23"/>
                <w:szCs w:val="23"/>
              </w:rPr>
              <w:t>万元≤</w:t>
            </w:r>
            <w:r>
              <w:rPr>
                <w:rFonts w:ascii="宋体" w:hAnsi="宋体"/>
                <w:sz w:val="23"/>
                <w:szCs w:val="23"/>
              </w:rPr>
              <w:t>M</w:t>
            </w:r>
            <w:r>
              <w:rPr>
                <w:rFonts w:ascii="宋体" w:hAnsi="宋体" w:hint="eastAsia"/>
                <w:sz w:val="23"/>
                <w:szCs w:val="23"/>
              </w:rPr>
              <w:t>＜</w:t>
            </w:r>
            <w:r>
              <w:rPr>
                <w:rFonts w:ascii="宋体" w:hAnsi="宋体"/>
                <w:sz w:val="23"/>
                <w:szCs w:val="23"/>
              </w:rPr>
              <w:t>500</w:t>
            </w:r>
            <w:r>
              <w:rPr>
                <w:rFonts w:ascii="宋体" w:hAnsi="宋体" w:hint="eastAsia"/>
                <w:sz w:val="23"/>
                <w:szCs w:val="23"/>
              </w:rPr>
              <w:t>万元</w:t>
            </w:r>
          </w:p>
        </w:tc>
        <w:tc>
          <w:tcPr>
            <w:tcW w:w="4337" w:type="dxa"/>
            <w:shd w:val="clear" w:color="auto" w:fill="auto"/>
            <w:vAlign w:val="center"/>
          </w:tcPr>
          <w:p w:rsidR="00476F7A" w:rsidRDefault="00E84586">
            <w:pPr>
              <w:widowControl/>
              <w:spacing w:line="312" w:lineRule="auto"/>
              <w:jc w:val="center"/>
              <w:rPr>
                <w:rFonts w:ascii="宋体" w:hAnsi="宋体"/>
                <w:sz w:val="23"/>
                <w:szCs w:val="23"/>
              </w:rPr>
            </w:pPr>
            <w:r>
              <w:rPr>
                <w:rFonts w:ascii="宋体" w:hAnsi="宋体"/>
                <w:sz w:val="23"/>
                <w:szCs w:val="23"/>
              </w:rPr>
              <w:t>0.06%</w:t>
            </w:r>
          </w:p>
        </w:tc>
      </w:tr>
      <w:tr w:rsidR="00476F7A">
        <w:trPr>
          <w:jc w:val="center"/>
        </w:trPr>
        <w:tc>
          <w:tcPr>
            <w:tcW w:w="4006" w:type="dxa"/>
            <w:shd w:val="clear" w:color="auto" w:fill="auto"/>
          </w:tcPr>
          <w:p w:rsidR="00476F7A" w:rsidRDefault="00E84586">
            <w:pPr>
              <w:widowControl/>
              <w:spacing w:line="312" w:lineRule="auto"/>
              <w:jc w:val="center"/>
              <w:rPr>
                <w:rFonts w:ascii="宋体" w:hAnsi="宋体" w:cs="Arial"/>
                <w:sz w:val="23"/>
                <w:szCs w:val="23"/>
              </w:rPr>
            </w:pPr>
            <w:r>
              <w:rPr>
                <w:rFonts w:ascii="宋体" w:hAnsi="宋体"/>
                <w:sz w:val="23"/>
                <w:szCs w:val="23"/>
              </w:rPr>
              <w:t>M</w:t>
            </w:r>
            <w:r>
              <w:rPr>
                <w:rFonts w:ascii="宋体" w:hAnsi="宋体" w:hint="eastAsia"/>
                <w:sz w:val="23"/>
                <w:szCs w:val="23"/>
              </w:rPr>
              <w:t>≥</w:t>
            </w:r>
            <w:r>
              <w:rPr>
                <w:rFonts w:ascii="宋体" w:hAnsi="宋体"/>
                <w:sz w:val="23"/>
                <w:szCs w:val="23"/>
              </w:rPr>
              <w:t>500</w:t>
            </w:r>
            <w:r>
              <w:rPr>
                <w:rFonts w:ascii="宋体" w:hAnsi="宋体" w:hint="eastAsia"/>
                <w:sz w:val="23"/>
                <w:szCs w:val="23"/>
              </w:rPr>
              <w:t>万元</w:t>
            </w:r>
          </w:p>
        </w:tc>
        <w:tc>
          <w:tcPr>
            <w:tcW w:w="4337" w:type="dxa"/>
            <w:shd w:val="clear" w:color="auto" w:fill="auto"/>
          </w:tcPr>
          <w:p w:rsidR="00476F7A" w:rsidRDefault="00E84586">
            <w:pPr>
              <w:widowControl/>
              <w:spacing w:line="312" w:lineRule="auto"/>
              <w:jc w:val="center"/>
              <w:rPr>
                <w:rFonts w:ascii="宋体" w:hAnsi="宋体"/>
                <w:sz w:val="23"/>
                <w:szCs w:val="23"/>
              </w:rPr>
            </w:pPr>
            <w:r>
              <w:rPr>
                <w:rFonts w:ascii="宋体" w:hAnsi="宋体"/>
                <w:sz w:val="23"/>
                <w:szCs w:val="23"/>
              </w:rPr>
              <w:t>1000</w:t>
            </w:r>
            <w:r>
              <w:rPr>
                <w:rFonts w:ascii="宋体" w:hAnsi="宋体" w:hint="eastAsia"/>
                <w:sz w:val="23"/>
                <w:szCs w:val="23"/>
              </w:rPr>
              <w:t>元</w:t>
            </w:r>
            <w:r>
              <w:rPr>
                <w:rFonts w:ascii="宋体" w:hAnsi="宋体"/>
                <w:sz w:val="23"/>
                <w:szCs w:val="23"/>
              </w:rPr>
              <w:t>/</w:t>
            </w:r>
            <w:r>
              <w:rPr>
                <w:rFonts w:ascii="宋体" w:hAnsi="宋体" w:hint="eastAsia"/>
                <w:sz w:val="23"/>
                <w:szCs w:val="23"/>
              </w:rPr>
              <w:t>笔</w:t>
            </w:r>
          </w:p>
        </w:tc>
      </w:tr>
    </w:tbl>
    <w:p w:rsidR="00476F7A" w:rsidRDefault="00476F7A">
      <w:pPr>
        <w:spacing w:line="312" w:lineRule="auto"/>
        <w:ind w:firstLine="480"/>
        <w:rPr>
          <w:rFonts w:ascii="宋体" w:hAnsi="宋体" w:cs="Arial"/>
          <w:sz w:val="23"/>
          <w:szCs w:val="23"/>
        </w:rPr>
      </w:pPr>
    </w:p>
    <w:p w:rsidR="00476F7A" w:rsidRDefault="00E84586">
      <w:pPr>
        <w:spacing w:line="312" w:lineRule="auto"/>
        <w:ind w:firstLine="480"/>
        <w:rPr>
          <w:rFonts w:ascii="宋体" w:hAnsi="宋体" w:cs="Arial"/>
          <w:sz w:val="23"/>
          <w:szCs w:val="23"/>
        </w:rPr>
      </w:pPr>
      <w:r>
        <w:rPr>
          <w:rFonts w:ascii="宋体" w:hAnsi="宋体" w:cs="Arial"/>
          <w:sz w:val="23"/>
          <w:szCs w:val="23"/>
        </w:rPr>
        <w:t>（2）其他投资者的认购费率</w:t>
      </w:r>
    </w:p>
    <w:p w:rsidR="00476F7A" w:rsidRDefault="00476F7A">
      <w:pPr>
        <w:spacing w:line="312" w:lineRule="auto"/>
        <w:ind w:firstLine="480"/>
        <w:rPr>
          <w:rFonts w:ascii="宋体" w:hAnsi="宋体" w:cs="Arial"/>
          <w:sz w:val="23"/>
          <w:szCs w:val="23"/>
        </w:rPr>
      </w:pPr>
    </w:p>
    <w:p w:rsidR="00476F7A" w:rsidRDefault="00E84586">
      <w:pPr>
        <w:spacing w:line="312" w:lineRule="auto"/>
        <w:ind w:firstLine="480"/>
        <w:rPr>
          <w:rFonts w:ascii="宋体" w:hAnsi="宋体" w:cs="Arial"/>
          <w:sz w:val="23"/>
          <w:szCs w:val="23"/>
        </w:rPr>
      </w:pPr>
      <w:r>
        <w:rPr>
          <w:rFonts w:ascii="宋体" w:hAnsi="宋体" w:cs="Arial"/>
          <w:sz w:val="23"/>
          <w:szCs w:val="23"/>
        </w:rPr>
        <w:t>除上述养老金客户外，其他投资者认购本基金</w:t>
      </w:r>
      <w:r>
        <w:rPr>
          <w:rFonts w:ascii="宋体" w:hAnsi="宋体" w:cs="Arial" w:hint="eastAsia"/>
          <w:sz w:val="23"/>
          <w:szCs w:val="23"/>
        </w:rPr>
        <w:t>A类基金份额</w:t>
      </w:r>
      <w:r>
        <w:rPr>
          <w:rFonts w:ascii="宋体" w:hAnsi="宋体" w:cs="Arial"/>
          <w:sz w:val="23"/>
          <w:szCs w:val="23"/>
        </w:rPr>
        <w:t>的认购费率见下表：</w:t>
      </w:r>
    </w:p>
    <w:tbl>
      <w:tblPr>
        <w:tblW w:w="0" w:type="auto"/>
        <w:jc w:val="center"/>
        <w:tblCellMar>
          <w:left w:w="0" w:type="dxa"/>
          <w:right w:w="0" w:type="dxa"/>
        </w:tblCellMar>
        <w:tblLook w:val="04A0"/>
      </w:tblPr>
      <w:tblGrid>
        <w:gridCol w:w="4026"/>
        <w:gridCol w:w="4260"/>
      </w:tblGrid>
      <w:tr w:rsidR="00476F7A">
        <w:trPr>
          <w:trHeight w:val="239"/>
          <w:jc w:val="center"/>
        </w:trPr>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b/>
                <w:kern w:val="0"/>
                <w:sz w:val="23"/>
                <w:szCs w:val="23"/>
              </w:rPr>
            </w:pPr>
            <w:r>
              <w:rPr>
                <w:rFonts w:ascii="宋体" w:hAnsi="宋体" w:cs="Arial"/>
                <w:b/>
                <w:kern w:val="0"/>
                <w:sz w:val="23"/>
                <w:szCs w:val="23"/>
              </w:rPr>
              <w:t>认购金额（M）</w:t>
            </w:r>
          </w:p>
        </w:tc>
        <w:tc>
          <w:tcPr>
            <w:tcW w:w="4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b/>
                <w:kern w:val="0"/>
                <w:sz w:val="23"/>
                <w:szCs w:val="23"/>
              </w:rPr>
            </w:pPr>
            <w:r>
              <w:rPr>
                <w:rFonts w:ascii="宋体" w:hAnsi="宋体" w:cs="Arial"/>
                <w:b/>
                <w:kern w:val="0"/>
                <w:sz w:val="23"/>
                <w:szCs w:val="23"/>
              </w:rPr>
              <w:t>认购费率</w:t>
            </w:r>
          </w:p>
        </w:tc>
      </w:tr>
      <w:tr w:rsidR="00476F7A">
        <w:trPr>
          <w:trHeight w:val="239"/>
          <w:jc w:val="center"/>
        </w:trPr>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kern w:val="0"/>
                <w:sz w:val="23"/>
                <w:szCs w:val="23"/>
              </w:rPr>
              <w:t>M</w:t>
            </w:r>
            <w:r>
              <w:rPr>
                <w:rFonts w:ascii="宋体" w:hAnsi="宋体" w:cs="Arial" w:hint="eastAsia"/>
                <w:kern w:val="0"/>
                <w:sz w:val="23"/>
                <w:szCs w:val="23"/>
              </w:rPr>
              <w:t>＜</w:t>
            </w:r>
            <w:r>
              <w:rPr>
                <w:rFonts w:ascii="宋体" w:hAnsi="宋体" w:cs="Arial"/>
                <w:kern w:val="0"/>
                <w:sz w:val="23"/>
                <w:szCs w:val="23"/>
              </w:rPr>
              <w:t>100</w:t>
            </w:r>
            <w:r>
              <w:rPr>
                <w:rFonts w:ascii="宋体" w:hAnsi="宋体" w:cs="Arial" w:hint="eastAsia"/>
                <w:kern w:val="0"/>
                <w:sz w:val="23"/>
                <w:szCs w:val="23"/>
              </w:rPr>
              <w:t>万元</w:t>
            </w:r>
          </w:p>
        </w:tc>
        <w:tc>
          <w:tcPr>
            <w:tcW w:w="4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kern w:val="0"/>
                <w:sz w:val="23"/>
                <w:szCs w:val="23"/>
              </w:rPr>
              <w:t>1.20%</w:t>
            </w:r>
          </w:p>
        </w:tc>
      </w:tr>
      <w:tr w:rsidR="00476F7A">
        <w:trPr>
          <w:trHeight w:val="239"/>
          <w:jc w:val="center"/>
        </w:trPr>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kern w:val="0"/>
                <w:sz w:val="23"/>
                <w:szCs w:val="23"/>
              </w:rPr>
              <w:t>100</w:t>
            </w:r>
            <w:r>
              <w:rPr>
                <w:rFonts w:ascii="宋体" w:hAnsi="宋体" w:cs="Arial" w:hint="eastAsia"/>
                <w:kern w:val="0"/>
                <w:sz w:val="23"/>
                <w:szCs w:val="23"/>
              </w:rPr>
              <w:t>万元≤M＜</w:t>
            </w:r>
            <w:r>
              <w:rPr>
                <w:rFonts w:ascii="宋体" w:hAnsi="宋体" w:cs="Arial"/>
                <w:kern w:val="0"/>
                <w:sz w:val="23"/>
                <w:szCs w:val="23"/>
              </w:rPr>
              <w:t>300</w:t>
            </w:r>
            <w:r>
              <w:rPr>
                <w:rFonts w:ascii="宋体" w:hAnsi="宋体" w:cs="Arial" w:hint="eastAsia"/>
                <w:kern w:val="0"/>
                <w:sz w:val="23"/>
                <w:szCs w:val="23"/>
              </w:rPr>
              <w:t>万元</w:t>
            </w:r>
          </w:p>
        </w:tc>
        <w:tc>
          <w:tcPr>
            <w:tcW w:w="4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kern w:val="0"/>
                <w:sz w:val="23"/>
                <w:szCs w:val="23"/>
              </w:rPr>
              <w:t>0.80%</w:t>
            </w:r>
          </w:p>
        </w:tc>
      </w:tr>
      <w:tr w:rsidR="00476F7A">
        <w:trPr>
          <w:trHeight w:val="239"/>
          <w:jc w:val="center"/>
        </w:trPr>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kern w:val="0"/>
                <w:sz w:val="23"/>
                <w:szCs w:val="23"/>
              </w:rPr>
              <w:t>300</w:t>
            </w:r>
            <w:r>
              <w:rPr>
                <w:rFonts w:ascii="宋体" w:hAnsi="宋体" w:cs="Arial" w:hint="eastAsia"/>
                <w:kern w:val="0"/>
                <w:sz w:val="23"/>
                <w:szCs w:val="23"/>
              </w:rPr>
              <w:t>万元≤</w:t>
            </w:r>
            <w:r>
              <w:rPr>
                <w:rFonts w:ascii="宋体" w:hAnsi="宋体" w:cs="Arial"/>
                <w:kern w:val="0"/>
                <w:sz w:val="23"/>
                <w:szCs w:val="23"/>
              </w:rPr>
              <w:t>M</w:t>
            </w:r>
            <w:r>
              <w:rPr>
                <w:rFonts w:ascii="宋体" w:hAnsi="宋体" w:cs="Arial" w:hint="eastAsia"/>
                <w:kern w:val="0"/>
                <w:sz w:val="23"/>
                <w:szCs w:val="23"/>
              </w:rPr>
              <w:t>＜</w:t>
            </w:r>
            <w:r>
              <w:rPr>
                <w:rFonts w:ascii="宋体" w:hAnsi="宋体" w:cs="Arial"/>
                <w:kern w:val="0"/>
                <w:sz w:val="23"/>
                <w:szCs w:val="23"/>
              </w:rPr>
              <w:t>500</w:t>
            </w:r>
            <w:r>
              <w:rPr>
                <w:rFonts w:ascii="宋体" w:hAnsi="宋体" w:cs="Arial" w:hint="eastAsia"/>
                <w:kern w:val="0"/>
                <w:sz w:val="23"/>
                <w:szCs w:val="23"/>
              </w:rPr>
              <w:t>万元</w:t>
            </w:r>
          </w:p>
        </w:tc>
        <w:tc>
          <w:tcPr>
            <w:tcW w:w="4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kern w:val="0"/>
                <w:sz w:val="23"/>
                <w:szCs w:val="23"/>
              </w:rPr>
              <w:t>0.60%</w:t>
            </w:r>
          </w:p>
        </w:tc>
      </w:tr>
      <w:tr w:rsidR="00476F7A">
        <w:trPr>
          <w:trHeight w:val="239"/>
          <w:jc w:val="center"/>
        </w:trPr>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hint="eastAsia"/>
                <w:kern w:val="0"/>
                <w:sz w:val="23"/>
                <w:szCs w:val="23"/>
              </w:rPr>
              <w:t>M≥</w:t>
            </w:r>
            <w:r>
              <w:rPr>
                <w:rFonts w:ascii="宋体" w:hAnsi="宋体" w:cs="Arial"/>
                <w:kern w:val="0"/>
                <w:sz w:val="23"/>
                <w:szCs w:val="23"/>
              </w:rPr>
              <w:t>5</w:t>
            </w:r>
            <w:r>
              <w:rPr>
                <w:rFonts w:ascii="宋体" w:hAnsi="宋体" w:cs="Arial" w:hint="eastAsia"/>
                <w:kern w:val="0"/>
                <w:sz w:val="23"/>
                <w:szCs w:val="23"/>
              </w:rPr>
              <w:t>00万元</w:t>
            </w:r>
          </w:p>
        </w:tc>
        <w:tc>
          <w:tcPr>
            <w:tcW w:w="4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76F7A" w:rsidRDefault="00E84586">
            <w:pPr>
              <w:autoSpaceDE w:val="0"/>
              <w:autoSpaceDN w:val="0"/>
              <w:adjustRightInd w:val="0"/>
              <w:spacing w:line="312" w:lineRule="auto"/>
              <w:jc w:val="center"/>
              <w:rPr>
                <w:rFonts w:ascii="宋体" w:hAnsi="宋体" w:cs="Arial"/>
                <w:kern w:val="0"/>
                <w:sz w:val="23"/>
                <w:szCs w:val="23"/>
              </w:rPr>
            </w:pPr>
            <w:r>
              <w:rPr>
                <w:rFonts w:ascii="宋体" w:hAnsi="宋体" w:cs="Arial"/>
                <w:kern w:val="0"/>
                <w:sz w:val="23"/>
                <w:szCs w:val="23"/>
              </w:rPr>
              <w:t>1000</w:t>
            </w:r>
            <w:r>
              <w:rPr>
                <w:rFonts w:ascii="宋体" w:hAnsi="宋体" w:cs="Arial" w:hint="eastAsia"/>
                <w:kern w:val="0"/>
                <w:sz w:val="23"/>
                <w:szCs w:val="23"/>
              </w:rPr>
              <w:t>元</w:t>
            </w:r>
            <w:r>
              <w:rPr>
                <w:rFonts w:ascii="宋体" w:hAnsi="宋体" w:cs="Arial"/>
                <w:kern w:val="0"/>
                <w:sz w:val="23"/>
                <w:szCs w:val="23"/>
              </w:rPr>
              <w:t>/</w:t>
            </w:r>
            <w:r>
              <w:rPr>
                <w:rFonts w:ascii="宋体" w:hAnsi="宋体" w:cs="Arial" w:hint="eastAsia"/>
                <w:kern w:val="0"/>
                <w:sz w:val="23"/>
                <w:szCs w:val="23"/>
              </w:rPr>
              <w:t>笔</w:t>
            </w:r>
          </w:p>
        </w:tc>
      </w:tr>
    </w:tbl>
    <w:p w:rsidR="00476F7A" w:rsidRDefault="00476F7A">
      <w:pPr>
        <w:spacing w:line="312" w:lineRule="auto"/>
        <w:ind w:firstLine="480"/>
        <w:rPr>
          <w:rFonts w:ascii="宋体" w:hAnsi="宋体" w:cs="Arial"/>
          <w:sz w:val="23"/>
          <w:szCs w:val="23"/>
        </w:rPr>
      </w:pPr>
    </w:p>
    <w:p w:rsidR="00476F7A" w:rsidRDefault="00E84586">
      <w:pPr>
        <w:spacing w:line="312" w:lineRule="auto"/>
        <w:ind w:firstLine="480"/>
        <w:rPr>
          <w:rFonts w:ascii="宋体" w:hAnsi="宋体"/>
          <w:sz w:val="23"/>
          <w:szCs w:val="23"/>
        </w:rPr>
      </w:pPr>
      <w:r>
        <w:rPr>
          <w:rFonts w:ascii="宋体" w:hAnsi="宋体" w:hint="eastAsia"/>
          <w:sz w:val="23"/>
          <w:szCs w:val="23"/>
        </w:rPr>
        <w:t>本基金C类基金份额不收取认购费用。</w:t>
      </w:r>
    </w:p>
    <w:p w:rsidR="00476F7A" w:rsidRDefault="00476F7A">
      <w:pPr>
        <w:spacing w:line="312" w:lineRule="auto"/>
        <w:ind w:firstLine="480"/>
        <w:rPr>
          <w:rFonts w:ascii="宋体" w:hAnsi="宋体"/>
          <w:sz w:val="23"/>
          <w:szCs w:val="23"/>
        </w:rPr>
      </w:pPr>
    </w:p>
    <w:p w:rsidR="00476F7A" w:rsidRDefault="00E84586">
      <w:pPr>
        <w:spacing w:line="312" w:lineRule="auto"/>
        <w:ind w:firstLine="480"/>
        <w:rPr>
          <w:rFonts w:ascii="宋体" w:hAnsi="宋体"/>
          <w:sz w:val="23"/>
          <w:szCs w:val="23"/>
        </w:rPr>
      </w:pPr>
      <w:r>
        <w:rPr>
          <w:rFonts w:ascii="宋体" w:hAnsi="宋体" w:hint="eastAsia"/>
          <w:sz w:val="23"/>
          <w:szCs w:val="23"/>
        </w:rPr>
        <w:t>A类基金份额的认购费用由认购A类基金份额的投资者承担，不列入基金财产，主要用于基金的市场推广、销售、登记等基金募集期间发生的各项费用。</w:t>
      </w:r>
    </w:p>
    <w:p w:rsidR="00476F7A" w:rsidRDefault="00476F7A">
      <w:pPr>
        <w:spacing w:line="312" w:lineRule="auto"/>
        <w:ind w:firstLine="480"/>
        <w:rPr>
          <w:rFonts w:ascii="宋体" w:hAnsi="宋体"/>
          <w:sz w:val="23"/>
          <w:szCs w:val="23"/>
        </w:rPr>
      </w:pPr>
    </w:p>
    <w:p w:rsidR="00476F7A" w:rsidRDefault="00E84586">
      <w:pPr>
        <w:spacing w:line="312" w:lineRule="auto"/>
        <w:ind w:firstLine="480"/>
        <w:rPr>
          <w:rFonts w:ascii="宋体" w:hAnsi="宋体"/>
          <w:sz w:val="23"/>
          <w:szCs w:val="23"/>
        </w:rPr>
      </w:pPr>
      <w:r>
        <w:rPr>
          <w:rFonts w:ascii="宋体" w:hAnsi="宋体" w:hint="eastAsia"/>
          <w:sz w:val="23"/>
          <w:szCs w:val="23"/>
        </w:rPr>
        <w:t>基金管理人可以在不违反法律法规规定及基金合同约定的情形下根据市场情况制定基金促销计划，开展基金促销活动。在基金促销活动期间，基金管理人可以适当调低基金认购费率。</w:t>
      </w:r>
    </w:p>
    <w:p w:rsidR="00476F7A" w:rsidRDefault="00476F7A">
      <w:pPr>
        <w:spacing w:line="312" w:lineRule="auto"/>
        <w:ind w:firstLineChars="200" w:firstLine="460"/>
        <w:rPr>
          <w:rFonts w:ascii="宋体" w:hAnsi="宋体"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（十</w:t>
      </w:r>
      <w:r>
        <w:rPr>
          <w:rFonts w:cs="Arial" w:hint="eastAsia"/>
          <w:sz w:val="23"/>
          <w:szCs w:val="23"/>
        </w:rPr>
        <w:t>四</w:t>
      </w:r>
      <w:r>
        <w:rPr>
          <w:rFonts w:cs="Arial"/>
          <w:sz w:val="23"/>
          <w:szCs w:val="23"/>
        </w:rPr>
        <w:t>）认购份额的计算</w:t>
      </w:r>
    </w:p>
    <w:p w:rsidR="00476F7A" w:rsidRDefault="00476F7A">
      <w:pPr>
        <w:pStyle w:val="20"/>
        <w:spacing w:line="312" w:lineRule="auto"/>
        <w:ind w:firstLine="460"/>
        <w:rPr>
          <w:rFonts w:cs="Arial"/>
          <w:sz w:val="23"/>
          <w:szCs w:val="23"/>
        </w:rPr>
      </w:pPr>
    </w:p>
    <w:p w:rsidR="00476F7A" w:rsidRDefault="00E84586">
      <w:pPr>
        <w:pStyle w:val="20"/>
        <w:spacing w:line="312" w:lineRule="auto"/>
        <w:ind w:firstLine="460"/>
        <w:rPr>
          <w:rFonts w:cs="Arial"/>
          <w:sz w:val="23"/>
          <w:szCs w:val="23"/>
        </w:rPr>
      </w:pPr>
      <w:r>
        <w:rPr>
          <w:rFonts w:cs="Arial"/>
          <w:sz w:val="23"/>
          <w:szCs w:val="23"/>
        </w:rPr>
        <w:t>基金认购采用金额认购的方式。</w:t>
      </w:r>
    </w:p>
    <w:p w:rsidR="00476F7A" w:rsidRDefault="00E84586">
      <w:pPr>
        <w:pStyle w:val="20"/>
        <w:spacing w:line="312" w:lineRule="auto"/>
        <w:ind w:firstLine="460"/>
        <w:rPr>
          <w:rFonts w:cs="Arial"/>
          <w:sz w:val="23"/>
          <w:szCs w:val="23"/>
        </w:rPr>
      </w:pPr>
      <w:r>
        <w:rPr>
          <w:rFonts w:cs="Arial" w:hint="eastAsia"/>
          <w:sz w:val="23"/>
          <w:szCs w:val="23"/>
        </w:rPr>
        <w:t>（1）A类基金份额</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A</w:t>
      </w:r>
      <w:r>
        <w:rPr>
          <w:rFonts w:ascii="Times New Roman" w:hAnsi="Times New Roman" w:cs="Arial" w:hint="eastAsia"/>
          <w:kern w:val="2"/>
          <w:sz w:val="23"/>
          <w:szCs w:val="23"/>
        </w:rPr>
        <w:t>类基金份额的认购金额包括认购费用和净认购金额。计算公式为：</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认购费用适用比例费率：</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净认购金额＝认购金额</w:t>
      </w:r>
      <w:r>
        <w:rPr>
          <w:rFonts w:ascii="Times New Roman" w:hAnsi="Times New Roman" w:cs="Arial" w:hint="eastAsia"/>
          <w:kern w:val="2"/>
          <w:sz w:val="23"/>
          <w:szCs w:val="23"/>
        </w:rPr>
        <w:t>/</w:t>
      </w:r>
      <w:r>
        <w:rPr>
          <w:rFonts w:ascii="Times New Roman" w:hAnsi="Times New Roman" w:cs="Arial" w:hint="eastAsia"/>
          <w:kern w:val="2"/>
          <w:sz w:val="23"/>
          <w:szCs w:val="23"/>
        </w:rPr>
        <w:t>（</w:t>
      </w:r>
      <w:r>
        <w:rPr>
          <w:rFonts w:ascii="Times New Roman" w:hAnsi="Times New Roman" w:cs="Arial" w:hint="eastAsia"/>
          <w:kern w:val="2"/>
          <w:sz w:val="23"/>
          <w:szCs w:val="23"/>
        </w:rPr>
        <w:t>1</w:t>
      </w:r>
      <w:r>
        <w:rPr>
          <w:rFonts w:ascii="Times New Roman" w:hAnsi="Times New Roman" w:cs="Arial" w:hint="eastAsia"/>
          <w:kern w:val="2"/>
          <w:sz w:val="23"/>
          <w:szCs w:val="23"/>
        </w:rPr>
        <w:t>＋认购费率）</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认购费用＝认购金额</w:t>
      </w:r>
      <w:r>
        <w:rPr>
          <w:rFonts w:ascii="Times New Roman" w:hAnsi="Times New Roman" w:cs="Arial"/>
          <w:kern w:val="2"/>
          <w:sz w:val="23"/>
          <w:szCs w:val="23"/>
        </w:rPr>
        <w:t>−</w:t>
      </w:r>
      <w:r>
        <w:rPr>
          <w:rFonts w:ascii="Times New Roman" w:hAnsi="Times New Roman" w:cs="Arial" w:hint="eastAsia"/>
          <w:kern w:val="2"/>
          <w:sz w:val="23"/>
          <w:szCs w:val="23"/>
        </w:rPr>
        <w:t>净认购金额</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认购份额＝（净认购金额＋认购利息）</w:t>
      </w:r>
      <w:r>
        <w:rPr>
          <w:rFonts w:ascii="Times New Roman" w:hAnsi="Times New Roman" w:cs="Arial" w:hint="eastAsia"/>
          <w:kern w:val="2"/>
          <w:sz w:val="23"/>
          <w:szCs w:val="23"/>
        </w:rPr>
        <w:t>/</w:t>
      </w:r>
      <w:r>
        <w:rPr>
          <w:rFonts w:ascii="Times New Roman" w:hAnsi="Times New Roman" w:cs="Arial" w:hint="eastAsia"/>
          <w:kern w:val="2"/>
          <w:sz w:val="23"/>
          <w:szCs w:val="23"/>
        </w:rPr>
        <w:t>基金份额发售面值</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认购费用适用固定金额：</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认购费用＝固定金额</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净认购金额＝认购金额</w:t>
      </w:r>
      <w:r>
        <w:rPr>
          <w:rFonts w:ascii="Times New Roman" w:hAnsi="Times New Roman" w:cs="Arial" w:hint="eastAsia"/>
          <w:kern w:val="2"/>
          <w:sz w:val="23"/>
          <w:szCs w:val="23"/>
        </w:rPr>
        <w:t>-</w:t>
      </w:r>
      <w:r>
        <w:rPr>
          <w:rFonts w:ascii="Times New Roman" w:hAnsi="Times New Roman" w:cs="Arial" w:hint="eastAsia"/>
          <w:kern w:val="2"/>
          <w:sz w:val="23"/>
          <w:szCs w:val="23"/>
        </w:rPr>
        <w:t>认购费用</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认购份额＝（净认购金额＋认购利息）</w:t>
      </w:r>
      <w:r>
        <w:rPr>
          <w:rFonts w:ascii="Times New Roman" w:hAnsi="Times New Roman" w:cs="Arial" w:hint="eastAsia"/>
          <w:kern w:val="2"/>
          <w:sz w:val="23"/>
          <w:szCs w:val="23"/>
        </w:rPr>
        <w:t>/</w:t>
      </w:r>
      <w:r>
        <w:rPr>
          <w:rFonts w:ascii="Times New Roman" w:hAnsi="Times New Roman" w:cs="Arial" w:hint="eastAsia"/>
          <w:kern w:val="2"/>
          <w:sz w:val="23"/>
          <w:szCs w:val="23"/>
        </w:rPr>
        <w:t>基金份额发售面值</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w:t>
      </w:r>
      <w:r>
        <w:rPr>
          <w:rFonts w:ascii="Times New Roman" w:hAnsi="Times New Roman" w:cs="Arial" w:hint="eastAsia"/>
          <w:kern w:val="2"/>
          <w:sz w:val="23"/>
          <w:szCs w:val="23"/>
        </w:rPr>
        <w:t>2</w:t>
      </w:r>
      <w:r>
        <w:rPr>
          <w:rFonts w:ascii="Times New Roman" w:hAnsi="Times New Roman" w:cs="Arial" w:hint="eastAsia"/>
          <w:kern w:val="2"/>
          <w:sz w:val="23"/>
          <w:szCs w:val="23"/>
        </w:rPr>
        <w:t>）</w:t>
      </w:r>
      <w:r>
        <w:rPr>
          <w:rFonts w:ascii="Times New Roman" w:hAnsi="Times New Roman" w:cs="Arial" w:hint="eastAsia"/>
          <w:kern w:val="2"/>
          <w:sz w:val="23"/>
          <w:szCs w:val="23"/>
        </w:rPr>
        <w:t>C</w:t>
      </w:r>
      <w:r>
        <w:rPr>
          <w:rFonts w:ascii="Times New Roman" w:hAnsi="Times New Roman" w:cs="Arial" w:hint="eastAsia"/>
          <w:kern w:val="2"/>
          <w:sz w:val="23"/>
          <w:szCs w:val="23"/>
        </w:rPr>
        <w:t>类基金份额</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认购份额＝（认购金额＋认购利息）</w:t>
      </w:r>
      <w:r>
        <w:rPr>
          <w:rFonts w:ascii="Times New Roman" w:hAnsi="Times New Roman" w:cs="Arial" w:hint="eastAsia"/>
          <w:kern w:val="2"/>
          <w:sz w:val="23"/>
          <w:szCs w:val="23"/>
        </w:rPr>
        <w:t>/</w:t>
      </w:r>
      <w:r>
        <w:rPr>
          <w:rFonts w:ascii="Times New Roman" w:hAnsi="Times New Roman" w:cs="Arial" w:hint="eastAsia"/>
          <w:kern w:val="2"/>
          <w:sz w:val="23"/>
          <w:szCs w:val="23"/>
        </w:rPr>
        <w:t>基金份额发售面值</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w:t>
      </w:r>
      <w:r>
        <w:rPr>
          <w:rFonts w:ascii="Times New Roman" w:hAnsi="Times New Roman" w:cs="Arial" w:hint="eastAsia"/>
          <w:kern w:val="2"/>
          <w:sz w:val="23"/>
          <w:szCs w:val="23"/>
        </w:rPr>
        <w:t>3</w:t>
      </w:r>
      <w:r>
        <w:rPr>
          <w:rFonts w:ascii="Times New Roman" w:hAnsi="Times New Roman" w:cs="Arial" w:hint="eastAsia"/>
          <w:kern w:val="2"/>
          <w:sz w:val="23"/>
          <w:szCs w:val="23"/>
        </w:rPr>
        <w:t>）认购份额的计算保留到小数点后</w:t>
      </w:r>
      <w:r>
        <w:rPr>
          <w:rFonts w:ascii="Times New Roman" w:hAnsi="Times New Roman" w:cs="Arial" w:hint="eastAsia"/>
          <w:kern w:val="2"/>
          <w:sz w:val="23"/>
          <w:szCs w:val="23"/>
        </w:rPr>
        <w:t>2</w:t>
      </w:r>
      <w:r>
        <w:rPr>
          <w:rFonts w:ascii="Times New Roman" w:hAnsi="Times New Roman" w:cs="Arial" w:hint="eastAsia"/>
          <w:kern w:val="2"/>
          <w:sz w:val="23"/>
          <w:szCs w:val="23"/>
        </w:rPr>
        <w:t>位，小数点</w:t>
      </w:r>
      <w:r>
        <w:rPr>
          <w:rFonts w:ascii="Times New Roman" w:hAnsi="Times New Roman" w:cs="Arial" w:hint="eastAsia"/>
          <w:kern w:val="2"/>
          <w:sz w:val="23"/>
          <w:szCs w:val="23"/>
        </w:rPr>
        <w:t>2</w:t>
      </w:r>
      <w:r>
        <w:rPr>
          <w:rFonts w:ascii="Times New Roman" w:hAnsi="Times New Roman" w:cs="Arial" w:hint="eastAsia"/>
          <w:kern w:val="2"/>
          <w:sz w:val="23"/>
          <w:szCs w:val="23"/>
        </w:rPr>
        <w:t>位以后的部分四舍五入，由此误差产生的收益或损失由基金财产承担。</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例</w:t>
      </w:r>
      <w:r>
        <w:rPr>
          <w:rFonts w:ascii="Times New Roman" w:hAnsi="Times New Roman" w:cs="Arial" w:hint="eastAsia"/>
          <w:kern w:val="2"/>
          <w:sz w:val="23"/>
          <w:szCs w:val="23"/>
        </w:rPr>
        <w:t>1</w:t>
      </w:r>
      <w:r>
        <w:rPr>
          <w:rFonts w:ascii="Times New Roman" w:hAnsi="Times New Roman" w:cs="Arial" w:hint="eastAsia"/>
          <w:kern w:val="2"/>
          <w:sz w:val="23"/>
          <w:szCs w:val="23"/>
        </w:rPr>
        <w:t>：某投资者（非养老金客户）投资</w:t>
      </w:r>
      <w:r>
        <w:rPr>
          <w:rFonts w:ascii="Times New Roman" w:hAnsi="Times New Roman" w:cs="Arial" w:hint="eastAsia"/>
          <w:kern w:val="2"/>
          <w:sz w:val="23"/>
          <w:szCs w:val="23"/>
        </w:rPr>
        <w:t>100,000</w:t>
      </w:r>
      <w:r>
        <w:rPr>
          <w:rFonts w:ascii="Times New Roman" w:hAnsi="Times New Roman" w:cs="Arial" w:hint="eastAsia"/>
          <w:kern w:val="2"/>
          <w:sz w:val="23"/>
          <w:szCs w:val="23"/>
        </w:rPr>
        <w:t>元认购本基金</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类基金份额，则对应的认购费率为</w:t>
      </w:r>
      <w:r>
        <w:rPr>
          <w:rFonts w:ascii="Times New Roman" w:hAnsi="Times New Roman" w:cs="Arial" w:hint="eastAsia"/>
          <w:kern w:val="2"/>
          <w:sz w:val="23"/>
          <w:szCs w:val="23"/>
        </w:rPr>
        <w:t>1.20%</w:t>
      </w:r>
      <w:r>
        <w:rPr>
          <w:rFonts w:ascii="Times New Roman" w:hAnsi="Times New Roman" w:cs="Arial" w:hint="eastAsia"/>
          <w:kern w:val="2"/>
          <w:sz w:val="23"/>
          <w:szCs w:val="23"/>
        </w:rPr>
        <w:t>，假定募集期产生的利息为</w:t>
      </w:r>
      <w:r>
        <w:rPr>
          <w:rFonts w:ascii="Times New Roman" w:hAnsi="Times New Roman" w:cs="Arial" w:hint="eastAsia"/>
          <w:kern w:val="2"/>
          <w:sz w:val="23"/>
          <w:szCs w:val="23"/>
        </w:rPr>
        <w:t>50.00</w:t>
      </w:r>
      <w:r>
        <w:rPr>
          <w:rFonts w:ascii="Times New Roman" w:hAnsi="Times New Roman" w:cs="Arial" w:hint="eastAsia"/>
          <w:kern w:val="2"/>
          <w:sz w:val="23"/>
          <w:szCs w:val="23"/>
        </w:rPr>
        <w:t>元，则可认购</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类基金份额为：</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净认购金额＝</w:t>
      </w:r>
      <w:r>
        <w:rPr>
          <w:rFonts w:ascii="Times New Roman" w:hAnsi="Times New Roman" w:cs="Arial" w:hint="eastAsia"/>
          <w:kern w:val="2"/>
          <w:sz w:val="23"/>
          <w:szCs w:val="23"/>
        </w:rPr>
        <w:t>100,000/</w:t>
      </w:r>
      <w:r>
        <w:rPr>
          <w:rFonts w:ascii="Times New Roman" w:hAnsi="Times New Roman" w:cs="Arial" w:hint="eastAsia"/>
          <w:kern w:val="2"/>
          <w:sz w:val="23"/>
          <w:szCs w:val="23"/>
        </w:rPr>
        <w:t>（</w:t>
      </w:r>
      <w:r>
        <w:rPr>
          <w:rFonts w:ascii="Times New Roman" w:hAnsi="Times New Roman" w:cs="Arial" w:hint="eastAsia"/>
          <w:kern w:val="2"/>
          <w:sz w:val="23"/>
          <w:szCs w:val="23"/>
        </w:rPr>
        <w:t>1</w:t>
      </w:r>
      <w:r>
        <w:rPr>
          <w:rFonts w:ascii="Times New Roman" w:hAnsi="Times New Roman" w:cs="Arial" w:hint="eastAsia"/>
          <w:kern w:val="2"/>
          <w:sz w:val="23"/>
          <w:szCs w:val="23"/>
        </w:rPr>
        <w:t>＋</w:t>
      </w:r>
      <w:r>
        <w:rPr>
          <w:rFonts w:ascii="Times New Roman" w:hAnsi="Times New Roman" w:cs="Arial" w:hint="eastAsia"/>
          <w:kern w:val="2"/>
          <w:sz w:val="23"/>
          <w:szCs w:val="23"/>
        </w:rPr>
        <w:t>1.20%</w:t>
      </w:r>
      <w:r>
        <w:rPr>
          <w:rFonts w:ascii="Times New Roman" w:hAnsi="Times New Roman" w:cs="Arial" w:hint="eastAsia"/>
          <w:kern w:val="2"/>
          <w:sz w:val="23"/>
          <w:szCs w:val="23"/>
        </w:rPr>
        <w:t>）＝</w:t>
      </w:r>
      <w:r>
        <w:rPr>
          <w:rFonts w:ascii="Times New Roman" w:hAnsi="Times New Roman" w:cs="Arial" w:hint="eastAsia"/>
          <w:kern w:val="2"/>
          <w:sz w:val="23"/>
          <w:szCs w:val="23"/>
        </w:rPr>
        <w:t>98,814.23</w:t>
      </w:r>
      <w:r>
        <w:rPr>
          <w:rFonts w:ascii="Times New Roman" w:hAnsi="Times New Roman" w:cs="Arial" w:hint="eastAsia"/>
          <w:kern w:val="2"/>
          <w:sz w:val="23"/>
          <w:szCs w:val="23"/>
        </w:rPr>
        <w:t>元</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认购费用＝</w:t>
      </w:r>
      <w:r>
        <w:rPr>
          <w:rFonts w:ascii="Times New Roman" w:hAnsi="Times New Roman" w:cs="Arial" w:hint="eastAsia"/>
          <w:kern w:val="2"/>
          <w:sz w:val="23"/>
          <w:szCs w:val="23"/>
        </w:rPr>
        <w:t>100,000-98,814.23</w:t>
      </w:r>
      <w:r>
        <w:rPr>
          <w:rFonts w:ascii="Times New Roman" w:hAnsi="Times New Roman" w:cs="Arial" w:hint="eastAsia"/>
          <w:kern w:val="2"/>
          <w:sz w:val="23"/>
          <w:szCs w:val="23"/>
        </w:rPr>
        <w:t>＝</w:t>
      </w:r>
      <w:r>
        <w:rPr>
          <w:rFonts w:ascii="Times New Roman" w:hAnsi="Times New Roman" w:cs="Arial" w:hint="eastAsia"/>
          <w:kern w:val="2"/>
          <w:sz w:val="23"/>
          <w:szCs w:val="23"/>
        </w:rPr>
        <w:t>1,185.77</w:t>
      </w:r>
      <w:r>
        <w:rPr>
          <w:rFonts w:ascii="Times New Roman" w:hAnsi="Times New Roman" w:cs="Arial" w:hint="eastAsia"/>
          <w:kern w:val="2"/>
          <w:sz w:val="23"/>
          <w:szCs w:val="23"/>
        </w:rPr>
        <w:t>元</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认购份额＝（</w:t>
      </w:r>
      <w:r>
        <w:rPr>
          <w:rFonts w:ascii="Times New Roman" w:hAnsi="Times New Roman" w:cs="Arial" w:hint="eastAsia"/>
          <w:kern w:val="2"/>
          <w:sz w:val="23"/>
          <w:szCs w:val="23"/>
        </w:rPr>
        <w:t>98,814.23</w:t>
      </w:r>
      <w:r>
        <w:rPr>
          <w:rFonts w:ascii="Times New Roman" w:hAnsi="Times New Roman" w:cs="Arial" w:hint="eastAsia"/>
          <w:kern w:val="2"/>
          <w:sz w:val="23"/>
          <w:szCs w:val="23"/>
        </w:rPr>
        <w:t>＋</w:t>
      </w:r>
      <w:r>
        <w:rPr>
          <w:rFonts w:ascii="Times New Roman" w:hAnsi="Times New Roman" w:cs="Arial" w:hint="eastAsia"/>
          <w:kern w:val="2"/>
          <w:sz w:val="23"/>
          <w:szCs w:val="23"/>
        </w:rPr>
        <w:t>50.00</w:t>
      </w:r>
      <w:r>
        <w:rPr>
          <w:rFonts w:ascii="Times New Roman" w:hAnsi="Times New Roman" w:cs="Arial" w:hint="eastAsia"/>
          <w:kern w:val="2"/>
          <w:sz w:val="23"/>
          <w:szCs w:val="23"/>
        </w:rPr>
        <w:t>）</w:t>
      </w:r>
      <w:r>
        <w:rPr>
          <w:rFonts w:ascii="Times New Roman" w:hAnsi="Times New Roman" w:cs="Arial" w:hint="eastAsia"/>
          <w:kern w:val="2"/>
          <w:sz w:val="23"/>
          <w:szCs w:val="23"/>
        </w:rPr>
        <w:t>/1.00</w:t>
      </w:r>
      <w:r>
        <w:rPr>
          <w:rFonts w:ascii="Times New Roman" w:hAnsi="Times New Roman" w:cs="Arial" w:hint="eastAsia"/>
          <w:kern w:val="2"/>
          <w:sz w:val="23"/>
          <w:szCs w:val="23"/>
        </w:rPr>
        <w:t>＝</w:t>
      </w:r>
      <w:r>
        <w:rPr>
          <w:rFonts w:ascii="Times New Roman" w:hAnsi="Times New Roman" w:cs="Arial" w:hint="eastAsia"/>
          <w:kern w:val="2"/>
          <w:sz w:val="23"/>
          <w:szCs w:val="23"/>
        </w:rPr>
        <w:t>98,864.23</w:t>
      </w:r>
      <w:r>
        <w:rPr>
          <w:rFonts w:ascii="Times New Roman" w:hAnsi="Times New Roman" w:cs="Arial" w:hint="eastAsia"/>
          <w:kern w:val="2"/>
          <w:sz w:val="23"/>
          <w:szCs w:val="23"/>
        </w:rPr>
        <w:t>份</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即：该投资者（非养老金客户）投资</w:t>
      </w:r>
      <w:r>
        <w:rPr>
          <w:rFonts w:ascii="Times New Roman" w:hAnsi="Times New Roman" w:cs="Arial" w:hint="eastAsia"/>
          <w:kern w:val="2"/>
          <w:sz w:val="23"/>
          <w:szCs w:val="23"/>
        </w:rPr>
        <w:t>100,000</w:t>
      </w:r>
      <w:r>
        <w:rPr>
          <w:rFonts w:ascii="Times New Roman" w:hAnsi="Times New Roman" w:cs="Arial" w:hint="eastAsia"/>
          <w:kern w:val="2"/>
          <w:sz w:val="23"/>
          <w:szCs w:val="23"/>
        </w:rPr>
        <w:t>元认购本基金</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类基金份额，假定募集期产生的利息为</w:t>
      </w:r>
      <w:r>
        <w:rPr>
          <w:rFonts w:ascii="Times New Roman" w:hAnsi="Times New Roman" w:cs="Arial" w:hint="eastAsia"/>
          <w:kern w:val="2"/>
          <w:sz w:val="23"/>
          <w:szCs w:val="23"/>
        </w:rPr>
        <w:t>50.00</w:t>
      </w:r>
      <w:r>
        <w:rPr>
          <w:rFonts w:ascii="Times New Roman" w:hAnsi="Times New Roman" w:cs="Arial" w:hint="eastAsia"/>
          <w:kern w:val="2"/>
          <w:sz w:val="23"/>
          <w:szCs w:val="23"/>
        </w:rPr>
        <w:t>元，可得到</w:t>
      </w:r>
      <w:r>
        <w:rPr>
          <w:rFonts w:ascii="Times New Roman" w:hAnsi="Times New Roman" w:cs="Arial" w:hint="eastAsia"/>
          <w:kern w:val="2"/>
          <w:sz w:val="23"/>
          <w:szCs w:val="23"/>
        </w:rPr>
        <w:t>98,864.23</w:t>
      </w:r>
      <w:r>
        <w:rPr>
          <w:rFonts w:ascii="Times New Roman" w:hAnsi="Times New Roman" w:cs="Arial" w:hint="eastAsia"/>
          <w:kern w:val="2"/>
          <w:sz w:val="23"/>
          <w:szCs w:val="23"/>
        </w:rPr>
        <w:t>份</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例</w:t>
      </w:r>
      <w:r>
        <w:rPr>
          <w:rFonts w:ascii="Times New Roman" w:hAnsi="Times New Roman" w:cs="Arial" w:hint="eastAsia"/>
          <w:kern w:val="2"/>
          <w:sz w:val="23"/>
          <w:szCs w:val="23"/>
        </w:rPr>
        <w:t>2</w:t>
      </w:r>
      <w:r>
        <w:rPr>
          <w:rFonts w:ascii="Times New Roman" w:hAnsi="Times New Roman" w:cs="Arial" w:hint="eastAsia"/>
          <w:kern w:val="2"/>
          <w:sz w:val="23"/>
          <w:szCs w:val="23"/>
        </w:rPr>
        <w:t>：某投资者（养老金客户）投资</w:t>
      </w:r>
      <w:r>
        <w:rPr>
          <w:rFonts w:ascii="Times New Roman" w:hAnsi="Times New Roman" w:cs="Arial" w:hint="eastAsia"/>
          <w:kern w:val="2"/>
          <w:sz w:val="23"/>
          <w:szCs w:val="23"/>
        </w:rPr>
        <w:t>2,000,000</w:t>
      </w:r>
      <w:r>
        <w:rPr>
          <w:rFonts w:ascii="Times New Roman" w:hAnsi="Times New Roman" w:cs="Arial" w:hint="eastAsia"/>
          <w:kern w:val="2"/>
          <w:sz w:val="23"/>
          <w:szCs w:val="23"/>
        </w:rPr>
        <w:t>元通过基金管理人直销中心认购本基金</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类基金份额，则对应的认购费率为</w:t>
      </w:r>
      <w:r>
        <w:rPr>
          <w:rFonts w:ascii="Times New Roman" w:hAnsi="Times New Roman" w:cs="Arial" w:hint="eastAsia"/>
          <w:kern w:val="2"/>
          <w:sz w:val="23"/>
          <w:szCs w:val="23"/>
        </w:rPr>
        <w:t>0.08%</w:t>
      </w:r>
      <w:r>
        <w:rPr>
          <w:rFonts w:ascii="Times New Roman" w:hAnsi="Times New Roman" w:cs="Arial" w:hint="eastAsia"/>
          <w:kern w:val="2"/>
          <w:sz w:val="23"/>
          <w:szCs w:val="23"/>
        </w:rPr>
        <w:t>，假定募集期产生的利息为</w:t>
      </w:r>
      <w:r>
        <w:rPr>
          <w:rFonts w:ascii="Times New Roman" w:hAnsi="Times New Roman" w:cs="Arial" w:hint="eastAsia"/>
          <w:kern w:val="2"/>
          <w:sz w:val="23"/>
          <w:szCs w:val="23"/>
        </w:rPr>
        <w:t>1,000.00</w:t>
      </w:r>
      <w:r>
        <w:rPr>
          <w:rFonts w:ascii="Times New Roman" w:hAnsi="Times New Roman" w:cs="Arial" w:hint="eastAsia"/>
          <w:kern w:val="2"/>
          <w:sz w:val="23"/>
          <w:szCs w:val="23"/>
        </w:rPr>
        <w:t>元，则可认购</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类基金份额为：</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净认购金额＝</w:t>
      </w:r>
      <w:r>
        <w:rPr>
          <w:rFonts w:ascii="Times New Roman" w:hAnsi="Times New Roman" w:cs="Arial" w:hint="eastAsia"/>
          <w:kern w:val="2"/>
          <w:sz w:val="23"/>
          <w:szCs w:val="23"/>
        </w:rPr>
        <w:t>2,000,000/</w:t>
      </w:r>
      <w:r>
        <w:rPr>
          <w:rFonts w:ascii="Times New Roman" w:hAnsi="Times New Roman" w:cs="Arial" w:hint="eastAsia"/>
          <w:kern w:val="2"/>
          <w:sz w:val="23"/>
          <w:szCs w:val="23"/>
        </w:rPr>
        <w:t>（</w:t>
      </w:r>
      <w:r>
        <w:rPr>
          <w:rFonts w:ascii="Times New Roman" w:hAnsi="Times New Roman" w:cs="Arial" w:hint="eastAsia"/>
          <w:kern w:val="2"/>
          <w:sz w:val="23"/>
          <w:szCs w:val="23"/>
        </w:rPr>
        <w:t>1</w:t>
      </w:r>
      <w:r>
        <w:rPr>
          <w:rFonts w:ascii="Times New Roman" w:hAnsi="Times New Roman" w:cs="Arial" w:hint="eastAsia"/>
          <w:kern w:val="2"/>
          <w:sz w:val="23"/>
          <w:szCs w:val="23"/>
        </w:rPr>
        <w:t>＋</w:t>
      </w:r>
      <w:r>
        <w:rPr>
          <w:rFonts w:ascii="Times New Roman" w:hAnsi="Times New Roman" w:cs="Arial" w:hint="eastAsia"/>
          <w:kern w:val="2"/>
          <w:sz w:val="23"/>
          <w:szCs w:val="23"/>
        </w:rPr>
        <w:t>0.08%</w:t>
      </w:r>
      <w:r>
        <w:rPr>
          <w:rFonts w:ascii="Times New Roman" w:hAnsi="Times New Roman" w:cs="Arial" w:hint="eastAsia"/>
          <w:kern w:val="2"/>
          <w:sz w:val="23"/>
          <w:szCs w:val="23"/>
        </w:rPr>
        <w:t>）＝</w:t>
      </w:r>
      <w:r>
        <w:rPr>
          <w:rFonts w:ascii="Times New Roman" w:hAnsi="Times New Roman" w:cs="Arial" w:hint="eastAsia"/>
          <w:kern w:val="2"/>
          <w:sz w:val="23"/>
          <w:szCs w:val="23"/>
        </w:rPr>
        <w:t>1,998,401.28</w:t>
      </w:r>
      <w:r>
        <w:rPr>
          <w:rFonts w:ascii="Times New Roman" w:hAnsi="Times New Roman" w:cs="Arial" w:hint="eastAsia"/>
          <w:kern w:val="2"/>
          <w:sz w:val="23"/>
          <w:szCs w:val="23"/>
        </w:rPr>
        <w:t>元</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认购费用＝</w:t>
      </w:r>
      <w:r>
        <w:rPr>
          <w:rFonts w:ascii="Times New Roman" w:hAnsi="Times New Roman" w:cs="Arial" w:hint="eastAsia"/>
          <w:kern w:val="2"/>
          <w:sz w:val="23"/>
          <w:szCs w:val="23"/>
        </w:rPr>
        <w:t>2,000,000-1,998,401.28</w:t>
      </w:r>
      <w:r>
        <w:rPr>
          <w:rFonts w:ascii="Times New Roman" w:hAnsi="Times New Roman" w:cs="Arial" w:hint="eastAsia"/>
          <w:kern w:val="2"/>
          <w:sz w:val="23"/>
          <w:szCs w:val="23"/>
        </w:rPr>
        <w:t>＝</w:t>
      </w:r>
      <w:r>
        <w:rPr>
          <w:rFonts w:ascii="Times New Roman" w:hAnsi="Times New Roman" w:cs="Arial" w:hint="eastAsia"/>
          <w:kern w:val="2"/>
          <w:sz w:val="23"/>
          <w:szCs w:val="23"/>
        </w:rPr>
        <w:t>1,598.72</w:t>
      </w:r>
      <w:r>
        <w:rPr>
          <w:rFonts w:ascii="Times New Roman" w:hAnsi="Times New Roman" w:cs="Arial" w:hint="eastAsia"/>
          <w:kern w:val="2"/>
          <w:sz w:val="23"/>
          <w:szCs w:val="23"/>
        </w:rPr>
        <w:t>元</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认购份额＝（</w:t>
      </w:r>
      <w:r>
        <w:rPr>
          <w:rFonts w:ascii="Times New Roman" w:hAnsi="Times New Roman" w:cs="Arial" w:hint="eastAsia"/>
          <w:kern w:val="2"/>
          <w:sz w:val="23"/>
          <w:szCs w:val="23"/>
        </w:rPr>
        <w:t>1,998,401.28</w:t>
      </w:r>
      <w:r>
        <w:rPr>
          <w:rFonts w:ascii="Times New Roman" w:hAnsi="Times New Roman" w:cs="Arial" w:hint="eastAsia"/>
          <w:kern w:val="2"/>
          <w:sz w:val="23"/>
          <w:szCs w:val="23"/>
        </w:rPr>
        <w:t>＋</w:t>
      </w:r>
      <w:r>
        <w:rPr>
          <w:rFonts w:ascii="Times New Roman" w:hAnsi="Times New Roman" w:cs="Arial" w:hint="eastAsia"/>
          <w:kern w:val="2"/>
          <w:sz w:val="23"/>
          <w:szCs w:val="23"/>
        </w:rPr>
        <w:t>1,000.00</w:t>
      </w:r>
      <w:r>
        <w:rPr>
          <w:rFonts w:ascii="Times New Roman" w:hAnsi="Times New Roman" w:cs="Arial" w:hint="eastAsia"/>
          <w:kern w:val="2"/>
          <w:sz w:val="23"/>
          <w:szCs w:val="23"/>
        </w:rPr>
        <w:t>）</w:t>
      </w:r>
      <w:r>
        <w:rPr>
          <w:rFonts w:ascii="Times New Roman" w:hAnsi="Times New Roman" w:cs="Arial" w:hint="eastAsia"/>
          <w:kern w:val="2"/>
          <w:sz w:val="23"/>
          <w:szCs w:val="23"/>
        </w:rPr>
        <w:t>/1.00</w:t>
      </w:r>
      <w:r>
        <w:rPr>
          <w:rFonts w:ascii="Times New Roman" w:hAnsi="Times New Roman" w:cs="Arial" w:hint="eastAsia"/>
          <w:kern w:val="2"/>
          <w:sz w:val="23"/>
          <w:szCs w:val="23"/>
        </w:rPr>
        <w:t>＝</w:t>
      </w:r>
      <w:r>
        <w:rPr>
          <w:rFonts w:ascii="Times New Roman" w:hAnsi="Times New Roman" w:cs="Arial" w:hint="eastAsia"/>
          <w:kern w:val="2"/>
          <w:sz w:val="23"/>
          <w:szCs w:val="23"/>
        </w:rPr>
        <w:t>1,999,401.28</w:t>
      </w:r>
      <w:r>
        <w:rPr>
          <w:rFonts w:ascii="Times New Roman" w:hAnsi="Times New Roman" w:cs="Arial" w:hint="eastAsia"/>
          <w:kern w:val="2"/>
          <w:sz w:val="23"/>
          <w:szCs w:val="23"/>
        </w:rPr>
        <w:t>份</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即：该投资者（养老金客户）投资</w:t>
      </w:r>
      <w:r>
        <w:rPr>
          <w:rFonts w:ascii="Times New Roman" w:hAnsi="Times New Roman" w:cs="Arial" w:hint="eastAsia"/>
          <w:kern w:val="2"/>
          <w:sz w:val="23"/>
          <w:szCs w:val="23"/>
        </w:rPr>
        <w:t>2,000,000</w:t>
      </w:r>
      <w:r>
        <w:rPr>
          <w:rFonts w:ascii="Times New Roman" w:hAnsi="Times New Roman" w:cs="Arial" w:hint="eastAsia"/>
          <w:kern w:val="2"/>
          <w:sz w:val="23"/>
          <w:szCs w:val="23"/>
        </w:rPr>
        <w:t>元通过基金管理人直销中心认购本基金</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类基金份额，假定募集期产生的利息为</w:t>
      </w:r>
      <w:r>
        <w:rPr>
          <w:rFonts w:ascii="Times New Roman" w:hAnsi="Times New Roman" w:cs="Arial" w:hint="eastAsia"/>
          <w:kern w:val="2"/>
          <w:sz w:val="23"/>
          <w:szCs w:val="23"/>
        </w:rPr>
        <w:t>1,000.00</w:t>
      </w:r>
      <w:r>
        <w:rPr>
          <w:rFonts w:ascii="Times New Roman" w:hAnsi="Times New Roman" w:cs="Arial" w:hint="eastAsia"/>
          <w:kern w:val="2"/>
          <w:sz w:val="23"/>
          <w:szCs w:val="23"/>
        </w:rPr>
        <w:t>元，可得到</w:t>
      </w:r>
      <w:r>
        <w:rPr>
          <w:rFonts w:ascii="Times New Roman" w:hAnsi="Times New Roman" w:cs="Arial" w:hint="eastAsia"/>
          <w:kern w:val="2"/>
          <w:sz w:val="23"/>
          <w:szCs w:val="23"/>
        </w:rPr>
        <w:t>1,999,401.28</w:t>
      </w:r>
      <w:r>
        <w:rPr>
          <w:rFonts w:ascii="Times New Roman" w:hAnsi="Times New Roman" w:cs="Arial" w:hint="eastAsia"/>
          <w:kern w:val="2"/>
          <w:sz w:val="23"/>
          <w:szCs w:val="23"/>
        </w:rPr>
        <w:t>份</w:t>
      </w:r>
      <w:r>
        <w:rPr>
          <w:rFonts w:ascii="Times New Roman" w:hAnsi="Times New Roman" w:cs="Arial" w:hint="eastAsia"/>
          <w:kern w:val="2"/>
          <w:sz w:val="23"/>
          <w:szCs w:val="23"/>
        </w:rPr>
        <w:t>A</w:t>
      </w:r>
      <w:r>
        <w:rPr>
          <w:rFonts w:ascii="Times New Roman" w:hAnsi="Times New Roman" w:cs="Arial" w:hint="eastAsia"/>
          <w:kern w:val="2"/>
          <w:sz w:val="23"/>
          <w:szCs w:val="23"/>
        </w:rPr>
        <w:t>类基金份额。</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例</w:t>
      </w:r>
      <w:r>
        <w:rPr>
          <w:rFonts w:ascii="Times New Roman" w:hAnsi="Times New Roman" w:cs="Arial" w:hint="eastAsia"/>
          <w:kern w:val="2"/>
          <w:sz w:val="23"/>
          <w:szCs w:val="23"/>
        </w:rPr>
        <w:t>3</w:t>
      </w:r>
      <w:r>
        <w:rPr>
          <w:rFonts w:ascii="Times New Roman" w:hAnsi="Times New Roman" w:cs="Arial" w:hint="eastAsia"/>
          <w:kern w:val="2"/>
          <w:sz w:val="23"/>
          <w:szCs w:val="23"/>
        </w:rPr>
        <w:t>：某投资者投资</w:t>
      </w:r>
      <w:r>
        <w:rPr>
          <w:rFonts w:ascii="Times New Roman" w:hAnsi="Times New Roman" w:cs="Arial" w:hint="eastAsia"/>
          <w:kern w:val="2"/>
          <w:sz w:val="23"/>
          <w:szCs w:val="23"/>
        </w:rPr>
        <w:t>100,000</w:t>
      </w:r>
      <w:r>
        <w:rPr>
          <w:rFonts w:ascii="Times New Roman" w:hAnsi="Times New Roman" w:cs="Arial" w:hint="eastAsia"/>
          <w:kern w:val="2"/>
          <w:sz w:val="23"/>
          <w:szCs w:val="23"/>
        </w:rPr>
        <w:t>元认购本基金</w:t>
      </w:r>
      <w:r>
        <w:rPr>
          <w:rFonts w:ascii="Times New Roman" w:hAnsi="Times New Roman" w:cs="Arial" w:hint="eastAsia"/>
          <w:kern w:val="2"/>
          <w:sz w:val="23"/>
          <w:szCs w:val="23"/>
        </w:rPr>
        <w:t>C</w:t>
      </w:r>
      <w:r>
        <w:rPr>
          <w:rFonts w:ascii="Times New Roman" w:hAnsi="Times New Roman" w:cs="Arial" w:hint="eastAsia"/>
          <w:kern w:val="2"/>
          <w:sz w:val="23"/>
          <w:szCs w:val="23"/>
        </w:rPr>
        <w:t>类基金份额，假定募集期产生的利息为</w:t>
      </w:r>
      <w:r>
        <w:rPr>
          <w:rFonts w:ascii="Times New Roman" w:hAnsi="Times New Roman" w:cs="Arial" w:hint="eastAsia"/>
          <w:kern w:val="2"/>
          <w:sz w:val="23"/>
          <w:szCs w:val="23"/>
        </w:rPr>
        <w:t>50.00</w:t>
      </w:r>
      <w:r>
        <w:rPr>
          <w:rFonts w:ascii="Times New Roman" w:hAnsi="Times New Roman" w:cs="Arial" w:hint="eastAsia"/>
          <w:kern w:val="2"/>
          <w:sz w:val="23"/>
          <w:szCs w:val="23"/>
        </w:rPr>
        <w:t>元，则可认购</w:t>
      </w:r>
      <w:r>
        <w:rPr>
          <w:rFonts w:ascii="Times New Roman" w:hAnsi="Times New Roman" w:cs="Arial" w:hint="eastAsia"/>
          <w:kern w:val="2"/>
          <w:sz w:val="23"/>
          <w:szCs w:val="23"/>
        </w:rPr>
        <w:t>C</w:t>
      </w:r>
      <w:r>
        <w:rPr>
          <w:rFonts w:ascii="Times New Roman" w:hAnsi="Times New Roman" w:cs="Arial" w:hint="eastAsia"/>
          <w:kern w:val="2"/>
          <w:sz w:val="23"/>
          <w:szCs w:val="23"/>
        </w:rPr>
        <w:t>类基金份额为：</w:t>
      </w:r>
    </w:p>
    <w:p w:rsidR="00476F7A" w:rsidRDefault="00E84586">
      <w:pPr>
        <w:pStyle w:val="20"/>
        <w:spacing w:line="312" w:lineRule="auto"/>
        <w:ind w:firstLine="460"/>
        <w:rPr>
          <w:rFonts w:ascii="Times New Roman" w:hAnsi="Times New Roman" w:cs="Arial"/>
          <w:kern w:val="2"/>
          <w:sz w:val="23"/>
          <w:szCs w:val="23"/>
        </w:rPr>
      </w:pPr>
      <w:r>
        <w:rPr>
          <w:rFonts w:ascii="Times New Roman" w:hAnsi="Times New Roman" w:cs="Arial" w:hint="eastAsia"/>
          <w:kern w:val="2"/>
          <w:sz w:val="23"/>
          <w:szCs w:val="23"/>
        </w:rPr>
        <w:t>认购份额＝（</w:t>
      </w:r>
      <w:r>
        <w:rPr>
          <w:rFonts w:ascii="Times New Roman" w:hAnsi="Times New Roman" w:cs="Arial" w:hint="eastAsia"/>
          <w:kern w:val="2"/>
          <w:sz w:val="23"/>
          <w:szCs w:val="23"/>
        </w:rPr>
        <w:t>100,000</w:t>
      </w:r>
      <w:r>
        <w:rPr>
          <w:rFonts w:ascii="Times New Roman" w:hAnsi="Times New Roman" w:cs="Arial" w:hint="eastAsia"/>
          <w:kern w:val="2"/>
          <w:sz w:val="23"/>
          <w:szCs w:val="23"/>
        </w:rPr>
        <w:t>＋</w:t>
      </w:r>
      <w:r>
        <w:rPr>
          <w:rFonts w:ascii="Times New Roman" w:hAnsi="Times New Roman" w:cs="Arial" w:hint="eastAsia"/>
          <w:kern w:val="2"/>
          <w:sz w:val="23"/>
          <w:szCs w:val="23"/>
        </w:rPr>
        <w:t>50.00</w:t>
      </w:r>
      <w:r>
        <w:rPr>
          <w:rFonts w:ascii="Times New Roman" w:hAnsi="Times New Roman" w:cs="Arial" w:hint="eastAsia"/>
          <w:kern w:val="2"/>
          <w:sz w:val="23"/>
          <w:szCs w:val="23"/>
        </w:rPr>
        <w:t>）</w:t>
      </w:r>
      <w:r>
        <w:rPr>
          <w:rFonts w:ascii="Times New Roman" w:hAnsi="Times New Roman" w:cs="Arial" w:hint="eastAsia"/>
          <w:kern w:val="2"/>
          <w:sz w:val="23"/>
          <w:szCs w:val="23"/>
        </w:rPr>
        <w:t>/1.00=100,050.00</w:t>
      </w:r>
      <w:r>
        <w:rPr>
          <w:rFonts w:ascii="Times New Roman" w:hAnsi="Times New Roman" w:cs="Arial" w:hint="eastAsia"/>
          <w:kern w:val="2"/>
          <w:sz w:val="23"/>
          <w:szCs w:val="23"/>
        </w:rPr>
        <w:t>份</w:t>
      </w:r>
    </w:p>
    <w:p w:rsidR="00476F7A" w:rsidRDefault="00E84586">
      <w:pPr>
        <w:pStyle w:val="20"/>
        <w:spacing w:line="312" w:lineRule="auto"/>
        <w:ind w:firstLine="460"/>
        <w:rPr>
          <w:rFonts w:cs="Arial"/>
          <w:sz w:val="23"/>
          <w:szCs w:val="23"/>
        </w:rPr>
      </w:pPr>
      <w:r>
        <w:rPr>
          <w:rFonts w:ascii="Times New Roman" w:hAnsi="Times New Roman" w:cs="Arial" w:hint="eastAsia"/>
          <w:kern w:val="2"/>
          <w:sz w:val="23"/>
          <w:szCs w:val="23"/>
        </w:rPr>
        <w:t>即：该投资者投资</w:t>
      </w:r>
      <w:r>
        <w:rPr>
          <w:rFonts w:ascii="Times New Roman" w:hAnsi="Times New Roman" w:cs="Arial" w:hint="eastAsia"/>
          <w:kern w:val="2"/>
          <w:sz w:val="23"/>
          <w:szCs w:val="23"/>
        </w:rPr>
        <w:t xml:space="preserve">100,000 </w:t>
      </w:r>
      <w:r>
        <w:rPr>
          <w:rFonts w:ascii="Times New Roman" w:hAnsi="Times New Roman" w:cs="Arial" w:hint="eastAsia"/>
          <w:kern w:val="2"/>
          <w:sz w:val="23"/>
          <w:szCs w:val="23"/>
        </w:rPr>
        <w:t>元认购本基金</w:t>
      </w:r>
      <w:r>
        <w:rPr>
          <w:rFonts w:ascii="Times New Roman" w:hAnsi="Times New Roman" w:cs="Arial" w:hint="eastAsia"/>
          <w:kern w:val="2"/>
          <w:sz w:val="23"/>
          <w:szCs w:val="23"/>
        </w:rPr>
        <w:t>C</w:t>
      </w:r>
      <w:r>
        <w:rPr>
          <w:rFonts w:ascii="Times New Roman" w:hAnsi="Times New Roman" w:cs="Arial" w:hint="eastAsia"/>
          <w:kern w:val="2"/>
          <w:sz w:val="23"/>
          <w:szCs w:val="23"/>
        </w:rPr>
        <w:t>类基金份额，假定募集期产生的利息为</w:t>
      </w:r>
      <w:r>
        <w:rPr>
          <w:rFonts w:ascii="Times New Roman" w:hAnsi="Times New Roman" w:cs="Arial" w:hint="eastAsia"/>
          <w:kern w:val="2"/>
          <w:sz w:val="23"/>
          <w:szCs w:val="23"/>
        </w:rPr>
        <w:t>50.00</w:t>
      </w:r>
      <w:r>
        <w:rPr>
          <w:rFonts w:ascii="Times New Roman" w:hAnsi="Times New Roman" w:cs="Arial" w:hint="eastAsia"/>
          <w:kern w:val="2"/>
          <w:sz w:val="23"/>
          <w:szCs w:val="23"/>
        </w:rPr>
        <w:t>元，可得到</w:t>
      </w:r>
      <w:r>
        <w:rPr>
          <w:rFonts w:ascii="Times New Roman" w:hAnsi="Times New Roman" w:cs="Arial" w:hint="eastAsia"/>
          <w:kern w:val="2"/>
          <w:sz w:val="23"/>
          <w:szCs w:val="23"/>
        </w:rPr>
        <w:t>100,050.00</w:t>
      </w:r>
      <w:r>
        <w:rPr>
          <w:rFonts w:ascii="Times New Roman" w:hAnsi="Times New Roman" w:cs="Arial" w:hint="eastAsia"/>
          <w:kern w:val="2"/>
          <w:sz w:val="23"/>
          <w:szCs w:val="23"/>
        </w:rPr>
        <w:t>份</w:t>
      </w:r>
      <w:r>
        <w:rPr>
          <w:rFonts w:ascii="Times New Roman" w:hAnsi="Times New Roman" w:cs="Arial" w:hint="eastAsia"/>
          <w:kern w:val="2"/>
          <w:sz w:val="23"/>
          <w:szCs w:val="23"/>
        </w:rPr>
        <w:t>C</w:t>
      </w:r>
      <w:r>
        <w:rPr>
          <w:rFonts w:ascii="Times New Roman" w:hAnsi="Times New Roman" w:cs="Arial" w:hint="eastAsia"/>
          <w:kern w:val="2"/>
          <w:sz w:val="23"/>
          <w:szCs w:val="23"/>
        </w:rPr>
        <w:t>类基金份额。</w:t>
      </w:r>
    </w:p>
    <w:p w:rsidR="00476F7A" w:rsidRDefault="00476F7A">
      <w:pPr>
        <w:pStyle w:val="20"/>
        <w:spacing w:line="312" w:lineRule="auto"/>
        <w:ind w:firstLine="460"/>
        <w:rPr>
          <w:rFonts w:cs="Arial"/>
          <w:sz w:val="23"/>
          <w:szCs w:val="23"/>
        </w:rPr>
      </w:pPr>
    </w:p>
    <w:p w:rsidR="00476F7A" w:rsidRDefault="00E84586">
      <w:pPr>
        <w:pStyle w:val="20"/>
        <w:spacing w:line="312" w:lineRule="auto"/>
        <w:ind w:firstLine="460"/>
        <w:rPr>
          <w:rFonts w:cs="Arial"/>
          <w:sz w:val="23"/>
          <w:szCs w:val="23"/>
        </w:rPr>
      </w:pPr>
      <w:r>
        <w:rPr>
          <w:rFonts w:cs="Arial"/>
          <w:sz w:val="23"/>
          <w:szCs w:val="23"/>
        </w:rPr>
        <w:t>（十</w:t>
      </w:r>
      <w:r>
        <w:rPr>
          <w:rFonts w:cs="Arial" w:hint="eastAsia"/>
          <w:sz w:val="23"/>
          <w:szCs w:val="23"/>
        </w:rPr>
        <w:t>五</w:t>
      </w:r>
      <w:r>
        <w:rPr>
          <w:rFonts w:cs="Arial"/>
          <w:sz w:val="23"/>
          <w:szCs w:val="23"/>
        </w:rPr>
        <w:t>）认购的确认</w:t>
      </w:r>
    </w:p>
    <w:p w:rsidR="00476F7A" w:rsidRDefault="00476F7A">
      <w:pPr>
        <w:pStyle w:val="2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销售机构对认购申请的受理并不代表该申请一定成功，而仅代表销售机构确实接收到认购申请。认购的确认以登记机构的确认结果为准。对于认购申请及认购份额的确认情况，投资人应及时查询</w:t>
      </w:r>
      <w:r>
        <w:rPr>
          <w:rFonts w:cs="Arial" w:hint="eastAsia"/>
          <w:sz w:val="23"/>
          <w:szCs w:val="23"/>
        </w:rPr>
        <w:t>并妥善行使合法权利。否则，由此产生的投资人任何损失由投资人自行承担</w:t>
      </w:r>
      <w:r>
        <w:rPr>
          <w:rFonts w:cs="Arial"/>
          <w:sz w:val="23"/>
          <w:szCs w:val="23"/>
        </w:rPr>
        <w:t>。</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（十</w:t>
      </w:r>
      <w:r>
        <w:rPr>
          <w:rFonts w:cs="Arial" w:hint="eastAsia"/>
          <w:sz w:val="23"/>
          <w:szCs w:val="23"/>
        </w:rPr>
        <w:t>六</w:t>
      </w:r>
      <w:r>
        <w:rPr>
          <w:rFonts w:cs="Arial"/>
          <w:sz w:val="23"/>
          <w:szCs w:val="23"/>
        </w:rPr>
        <w:t>）募集期利息的处理方式</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有效认购款项在募集期间产生的利息将折算为</w:t>
      </w:r>
      <w:r>
        <w:rPr>
          <w:rFonts w:cs="Arial" w:hint="eastAsia"/>
          <w:sz w:val="23"/>
          <w:szCs w:val="23"/>
        </w:rPr>
        <w:t>相应类别的</w:t>
      </w:r>
      <w:r>
        <w:rPr>
          <w:rFonts w:cs="Arial"/>
          <w:sz w:val="23"/>
          <w:szCs w:val="23"/>
        </w:rPr>
        <w:t>基金份额归基金份额持有人所有，其中利息转份额</w:t>
      </w:r>
      <w:r>
        <w:rPr>
          <w:rFonts w:cs="Arial" w:hint="eastAsia"/>
          <w:sz w:val="23"/>
          <w:szCs w:val="23"/>
        </w:rPr>
        <w:t>的具体数额</w:t>
      </w:r>
      <w:r>
        <w:rPr>
          <w:rFonts w:cs="Arial"/>
          <w:sz w:val="23"/>
          <w:szCs w:val="23"/>
        </w:rPr>
        <w:t>以登记机构的记录为准。</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sz w:val="23"/>
          <w:szCs w:val="23"/>
        </w:rPr>
        <w:t>（十</w:t>
      </w:r>
      <w:r>
        <w:rPr>
          <w:rFonts w:cs="Arial" w:hint="eastAsia"/>
          <w:sz w:val="23"/>
          <w:szCs w:val="23"/>
        </w:rPr>
        <w:t>七</w:t>
      </w:r>
      <w:r>
        <w:rPr>
          <w:rFonts w:cs="Arial"/>
          <w:sz w:val="23"/>
          <w:szCs w:val="23"/>
        </w:rPr>
        <w:t>）募集资金的管理</w:t>
      </w:r>
    </w:p>
    <w:p w:rsidR="00476F7A" w:rsidRDefault="00476F7A">
      <w:pPr>
        <w:pStyle w:val="20"/>
        <w:adjustRightInd w:val="0"/>
        <w:snapToGrid w:val="0"/>
        <w:spacing w:line="312" w:lineRule="auto"/>
        <w:ind w:firstLine="460"/>
        <w:rPr>
          <w:rFonts w:cs="Arial"/>
          <w:sz w:val="23"/>
          <w:szCs w:val="23"/>
        </w:rPr>
      </w:pPr>
    </w:p>
    <w:p w:rsidR="00476F7A" w:rsidRDefault="00E84586">
      <w:pPr>
        <w:pStyle w:val="20"/>
        <w:ind w:firstLine="460"/>
        <w:rPr>
          <w:rFonts w:cs="Arial"/>
          <w:sz w:val="23"/>
          <w:szCs w:val="23"/>
        </w:rPr>
      </w:pPr>
      <w:r>
        <w:rPr>
          <w:rFonts w:cs="Arial"/>
          <w:sz w:val="23"/>
          <w:szCs w:val="23"/>
        </w:rPr>
        <w:t>基金管理人应将基金募集期间募集的资金存入专门账户，在基金募集行为结束前，任何人不得动用。</w:t>
      </w:r>
      <w:bookmarkEnd w:id="9"/>
    </w:p>
    <w:p w:rsidR="00476F7A" w:rsidRDefault="00E84586" w:rsidP="00E84586">
      <w:pPr>
        <w:rPr>
          <w:rFonts w:cs="Arial"/>
          <w:sz w:val="23"/>
          <w:szCs w:val="23"/>
        </w:rPr>
      </w:pPr>
      <w:r>
        <w:rPr>
          <w:rFonts w:cs="Arial"/>
          <w:sz w:val="23"/>
          <w:szCs w:val="23"/>
        </w:rPr>
        <w:br w:type="page"/>
      </w:r>
    </w:p>
    <w:p w:rsidR="00476F7A" w:rsidRDefault="00E84586">
      <w:pPr>
        <w:keepNext/>
        <w:spacing w:before="240" w:after="60" w:line="312" w:lineRule="auto"/>
        <w:jc w:val="center"/>
        <w:outlineLvl w:val="0"/>
        <w:rPr>
          <w:rFonts w:ascii="宋体" w:hAnsi="宋体" w:cs="Arial"/>
          <w:b/>
          <w:bCs/>
          <w:kern w:val="32"/>
          <w:sz w:val="23"/>
          <w:szCs w:val="23"/>
        </w:rPr>
      </w:pPr>
      <w:r>
        <w:rPr>
          <w:rFonts w:ascii="宋体" w:hAnsi="宋体" w:cs="Arial"/>
          <w:b/>
          <w:bCs/>
          <w:kern w:val="32"/>
          <w:sz w:val="23"/>
          <w:szCs w:val="23"/>
        </w:rPr>
        <w:t>二、个人投资者办理认购的开户与认购流程</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bookmarkStart w:id="10" w:name="_Hlk134706680"/>
      <w:r>
        <w:rPr>
          <w:rFonts w:ascii="宋体" w:hAnsi="宋体" w:cs="Arial" w:hint="eastAsia"/>
          <w:sz w:val="23"/>
          <w:szCs w:val="23"/>
        </w:rPr>
        <w:t>基金管理人暂未开通网上交易，投资者可通过基金管理人指定的销售机构或至基金管理人的直销网点购买本基金。除技术条件允许且经基金管理人认可外，基金管理人的直销柜台交易仅接受机构投资者，个人投资者可通过基金管理人指定的销售机构购买本基金。</w:t>
      </w:r>
    </w:p>
    <w:bookmarkEnd w:id="10"/>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pStyle w:val="20"/>
        <w:ind w:firstLine="460"/>
        <w:rPr>
          <w:rFonts w:cs="Arial"/>
          <w:sz w:val="23"/>
          <w:szCs w:val="23"/>
        </w:rPr>
      </w:pPr>
      <w:r>
        <w:rPr>
          <w:rFonts w:cs="Arial"/>
          <w:sz w:val="23"/>
          <w:szCs w:val="23"/>
        </w:rPr>
        <w:t>个人投资者在其他销售机构的开户与认购程序以各销售机构的规定为准。</w:t>
      </w:r>
    </w:p>
    <w:p w:rsidR="00476F7A" w:rsidRDefault="00E84586">
      <w:pPr>
        <w:adjustRightInd w:val="0"/>
        <w:snapToGrid w:val="0"/>
        <w:spacing w:line="312" w:lineRule="auto"/>
        <w:rPr>
          <w:rFonts w:ascii="宋体" w:hAnsi="宋体" w:cs="Arial"/>
          <w:sz w:val="23"/>
          <w:szCs w:val="23"/>
        </w:rPr>
      </w:pPr>
      <w:r>
        <w:rPr>
          <w:rFonts w:ascii="宋体" w:hAnsi="宋体" w:cs="Arial"/>
          <w:sz w:val="23"/>
          <w:szCs w:val="23"/>
        </w:rPr>
        <w:br w:type="page"/>
      </w:r>
    </w:p>
    <w:p w:rsidR="00476F7A" w:rsidRDefault="00E84586">
      <w:pPr>
        <w:pStyle w:val="1"/>
        <w:spacing w:line="312" w:lineRule="auto"/>
        <w:jc w:val="center"/>
        <w:rPr>
          <w:rFonts w:ascii="宋体" w:hAnsi="宋体" w:cs="Arial"/>
          <w:sz w:val="23"/>
          <w:szCs w:val="23"/>
        </w:rPr>
      </w:pPr>
      <w:bookmarkStart w:id="11" w:name="_Toc294776264"/>
      <w:bookmarkStart w:id="12" w:name="_Toc513102411"/>
      <w:r>
        <w:rPr>
          <w:rFonts w:ascii="宋体" w:hAnsi="宋体" w:cs="Arial" w:hint="eastAsia"/>
          <w:sz w:val="23"/>
          <w:szCs w:val="23"/>
        </w:rPr>
        <w:t>三</w:t>
      </w:r>
      <w:r>
        <w:rPr>
          <w:rFonts w:ascii="宋体" w:hAnsi="宋体" w:cs="Arial"/>
          <w:sz w:val="23"/>
          <w:szCs w:val="23"/>
        </w:rPr>
        <w:t>、机构投资者办理认购的开户与认购流程</w:t>
      </w:r>
      <w:bookmarkEnd w:id="11"/>
      <w:bookmarkEnd w:id="12"/>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numPr>
          <w:ilvl w:val="0"/>
          <w:numId w:val="2"/>
        </w:numPr>
        <w:adjustRightInd w:val="0"/>
        <w:snapToGrid w:val="0"/>
        <w:spacing w:line="312" w:lineRule="auto"/>
        <w:rPr>
          <w:rFonts w:ascii="宋体" w:hAnsi="宋体" w:cs="Arial"/>
          <w:sz w:val="23"/>
          <w:szCs w:val="23"/>
        </w:rPr>
      </w:pPr>
      <w:r>
        <w:rPr>
          <w:rFonts w:ascii="宋体" w:hAnsi="宋体" w:cs="Arial"/>
          <w:sz w:val="23"/>
          <w:szCs w:val="23"/>
        </w:rPr>
        <w:t>通过直销机构的直销中心办理开户和认购的程序</w:t>
      </w:r>
    </w:p>
    <w:p w:rsidR="00476F7A" w:rsidRDefault="00476F7A">
      <w:pPr>
        <w:adjustRightInd w:val="0"/>
        <w:snapToGrid w:val="0"/>
        <w:spacing w:line="312" w:lineRule="auto"/>
        <w:ind w:left="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1、基金管理人暂未开通网上交易，</w:t>
      </w:r>
      <w:r>
        <w:rPr>
          <w:rFonts w:ascii="宋体" w:hAnsi="宋体" w:cs="Arial" w:hint="eastAsia"/>
          <w:sz w:val="23"/>
          <w:szCs w:val="23"/>
        </w:rPr>
        <w:t>投资者可通过基金管理人指定的销售机构或至基金管理人的直销网点购买本基金。除技术条件允许且经基金管理人认可外，</w:t>
      </w:r>
      <w:r>
        <w:rPr>
          <w:rFonts w:ascii="宋体" w:hAnsi="宋体" w:cs="Arial"/>
          <w:sz w:val="23"/>
          <w:szCs w:val="23"/>
        </w:rPr>
        <w:t>基金管理人的直销柜台交易仅接受机构投资者。</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2、认购业务办理时间</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募集期内，办理时间为认购日的9:30</w:t>
      </w:r>
      <w:r>
        <w:rPr>
          <w:rFonts w:ascii="宋体" w:hAnsi="宋体" w:cs="Arial" w:hint="eastAsia"/>
          <w:sz w:val="23"/>
          <w:szCs w:val="23"/>
        </w:rPr>
        <w:t>（含）</w:t>
      </w:r>
      <w:r>
        <w:rPr>
          <w:rFonts w:ascii="宋体" w:hAnsi="宋体" w:cs="Arial"/>
          <w:sz w:val="23"/>
          <w:szCs w:val="23"/>
        </w:rPr>
        <w:t>-17:00</w:t>
      </w:r>
      <w:r>
        <w:rPr>
          <w:rFonts w:ascii="宋体" w:hAnsi="宋体" w:cs="Arial" w:hint="eastAsia"/>
          <w:sz w:val="23"/>
          <w:szCs w:val="23"/>
        </w:rPr>
        <w:t>（不含），</w:t>
      </w:r>
      <w:r>
        <w:rPr>
          <w:rFonts w:ascii="宋体" w:hAnsi="宋体" w:cs="Arial"/>
          <w:sz w:val="23"/>
          <w:szCs w:val="23"/>
        </w:rPr>
        <w:t>周六、周日及法定节假日不办理认购业务。</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3、机构投资者办理开户与认购手续</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（1）机构投资者办理基金交易账户和基金账户开户申请时须提交的材料：</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1)填妥并加盖公章及经办人签署的《账户类业务申请表（机构/产品版）》；</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2)若账户为金融机构产品，需提供相关证明文件并加盖公章；</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3)填妥并加盖公章的《传真及邮件委托交易协议书》；</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4)填妥并加盖公章及经办人签署的《授权委托书》；</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5)填妥并加盖公章及经办人签署的《印鉴卡》；</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6)填妥并加盖公章及经办人签署的《投资者个人信息保护声明》；</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7)填妥并加盖公章及经办人签署的《投资者权益须知》；</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8)填妥并加盖公章及经办人签署的《非自然人客户受益所有人信息登记表》；</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9)填妥并加盖公章及经办人签署的投资者适当性匹配表格：若为专业投资者提供《专业投资者认定书及投资者确认函》，若为普通投资者提供《普通投资者告知书及投资者确认函》；</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10)非金融机构投资者需提供《投资者风险承受能力调查问卷（机构版）》；</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11)专业投资者需提供机构资质证明；</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12)非金融机构需提供《机构税收居民身份声明文件》，若机构客户为消极非金融机构，需同时递交《控制人税收居民身份证明文件》；</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13)加盖公章的营业执照复印件（三证合一），若为事业法人、团体或其他组织提供主管部门颁发的注册登记证书；</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14) 加盖公章的指定的银行开户证明；若为基本户提供《开户许可证》，若为一般户提供此账户的《开立银行账户申请表》，若为产品户提供《托管资金专用银行账户确认书》；</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15) 加盖公章的法定代表人（或负责人）和授权经办人的有效身份证件正反面复印件；</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w:t>
      </w:r>
      <w:r>
        <w:rPr>
          <w:rFonts w:ascii="宋体" w:hAnsi="宋体" w:cs="Arial"/>
          <w:sz w:val="23"/>
          <w:szCs w:val="23"/>
        </w:rPr>
        <w:t>6</w:t>
      </w:r>
      <w:r>
        <w:rPr>
          <w:rFonts w:ascii="宋体" w:hAnsi="宋体" w:cs="Arial" w:hint="eastAsia"/>
          <w:sz w:val="23"/>
          <w:szCs w:val="23"/>
        </w:rPr>
        <w:t>）监管部门和本公司根据业务需要要求提交的其他文件。</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特别提示：</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9224A4">
      <w:pPr>
        <w:adjustRightInd w:val="0"/>
        <w:snapToGrid w:val="0"/>
        <w:spacing w:line="312" w:lineRule="auto"/>
        <w:ind w:firstLineChars="200" w:firstLine="460"/>
        <w:rPr>
          <w:rFonts w:ascii="宋体" w:hAnsi="宋体" w:cs="Arial"/>
          <w:strike/>
          <w:color w:val="FF0000"/>
          <w:sz w:val="23"/>
          <w:szCs w:val="23"/>
        </w:rPr>
      </w:pPr>
      <w:r>
        <w:rPr>
          <w:rFonts w:ascii="宋体" w:hAnsi="宋体" w:cs="Arial"/>
          <w:sz w:val="23"/>
          <w:szCs w:val="23"/>
        </w:rPr>
        <w:fldChar w:fldCharType="begin"/>
      </w:r>
      <w:r w:rsidR="00E84586">
        <w:rPr>
          <w:rFonts w:ascii="宋体" w:hAnsi="宋体" w:cs="Arial"/>
          <w:sz w:val="23"/>
          <w:szCs w:val="23"/>
        </w:rPr>
        <w:instrText xml:space="preserve"> = 1 \* GB3 </w:instrText>
      </w:r>
      <w:r>
        <w:rPr>
          <w:rFonts w:ascii="宋体" w:hAnsi="宋体" w:cs="Arial"/>
          <w:sz w:val="23"/>
          <w:szCs w:val="23"/>
        </w:rPr>
        <w:fldChar w:fldCharType="separate"/>
      </w:r>
      <w:r w:rsidR="00E84586">
        <w:rPr>
          <w:rFonts w:ascii="宋体" w:hAnsi="宋体" w:cs="微软雅黑" w:hint="eastAsia"/>
          <w:sz w:val="23"/>
          <w:szCs w:val="23"/>
        </w:rPr>
        <w:t>①</w:t>
      </w:r>
      <w:r>
        <w:rPr>
          <w:rFonts w:ascii="宋体" w:hAnsi="宋体" w:cs="Arial"/>
          <w:sz w:val="23"/>
          <w:szCs w:val="23"/>
        </w:rPr>
        <w:fldChar w:fldCharType="end"/>
      </w:r>
      <w:r w:rsidR="00E84586">
        <w:rPr>
          <w:rFonts w:ascii="宋体" w:hAnsi="宋体" w:cs="Arial"/>
          <w:sz w:val="23"/>
          <w:szCs w:val="23"/>
        </w:rPr>
        <w:t>其中指定</w:t>
      </w:r>
      <w:r w:rsidR="00E84586">
        <w:rPr>
          <w:rFonts w:ascii="宋体" w:hAnsi="宋体" w:cs="Arial" w:hint="eastAsia"/>
          <w:sz w:val="23"/>
          <w:szCs w:val="23"/>
        </w:rPr>
        <w:t>的</w:t>
      </w:r>
      <w:r w:rsidR="00E84586">
        <w:rPr>
          <w:rFonts w:ascii="宋体" w:hAnsi="宋体" w:cs="Arial"/>
          <w:sz w:val="23"/>
          <w:szCs w:val="23"/>
        </w:rPr>
        <w:t>银行账户是指</w:t>
      </w:r>
      <w:r w:rsidR="00E84586">
        <w:rPr>
          <w:rFonts w:ascii="宋体" w:hAnsi="宋体" w:cs="Arial" w:hint="eastAsia"/>
          <w:sz w:val="23"/>
          <w:szCs w:val="23"/>
        </w:rPr>
        <w:t>在本直销中心开户及认购的机构</w:t>
      </w:r>
      <w:r w:rsidR="00E84586">
        <w:rPr>
          <w:rFonts w:ascii="宋体" w:hAnsi="宋体" w:cs="Arial"/>
          <w:sz w:val="23"/>
          <w:szCs w:val="23"/>
        </w:rPr>
        <w:t>投资</w:t>
      </w:r>
      <w:r w:rsidR="00E84586">
        <w:rPr>
          <w:rFonts w:ascii="宋体" w:hAnsi="宋体" w:cs="Arial" w:hint="eastAsia"/>
          <w:sz w:val="23"/>
          <w:szCs w:val="23"/>
        </w:rPr>
        <w:t>者</w:t>
      </w:r>
      <w:r w:rsidR="00E84586">
        <w:rPr>
          <w:rFonts w:ascii="宋体" w:hAnsi="宋体" w:cs="Arial"/>
          <w:sz w:val="23"/>
          <w:szCs w:val="23"/>
        </w:rPr>
        <w:t>预留的作为赎回、分红、</w:t>
      </w:r>
      <w:r w:rsidR="00E84586">
        <w:rPr>
          <w:rFonts w:ascii="宋体" w:hAnsi="宋体" w:cs="Arial" w:hint="eastAsia"/>
          <w:sz w:val="23"/>
          <w:szCs w:val="23"/>
        </w:rPr>
        <w:t>未成功认购、申购的款项退款</w:t>
      </w:r>
      <w:r w:rsidR="00E84586">
        <w:rPr>
          <w:rFonts w:ascii="宋体" w:hAnsi="宋体" w:cs="Arial"/>
          <w:sz w:val="23"/>
          <w:szCs w:val="23"/>
        </w:rPr>
        <w:t>的结算账户，银行账户名称</w:t>
      </w:r>
      <w:r w:rsidR="00E84586">
        <w:rPr>
          <w:rFonts w:ascii="宋体" w:hAnsi="宋体" w:cs="Arial" w:hint="eastAsia"/>
          <w:sz w:val="23"/>
          <w:szCs w:val="23"/>
        </w:rPr>
        <w:t>原则上</w:t>
      </w:r>
      <w:r w:rsidR="00E84586">
        <w:rPr>
          <w:rFonts w:ascii="宋体" w:hAnsi="宋体" w:cs="Arial"/>
          <w:sz w:val="23"/>
          <w:szCs w:val="23"/>
        </w:rPr>
        <w:t>同投资人基金账户的户名一致。</w:t>
      </w:r>
      <w:r w:rsidR="00E84586">
        <w:rPr>
          <w:rFonts w:ascii="宋体" w:hAnsi="宋体" w:cs="Arial" w:hint="eastAsia"/>
          <w:sz w:val="23"/>
          <w:szCs w:val="23"/>
        </w:rPr>
        <w:t>如遇</w:t>
      </w:r>
      <w:r w:rsidR="00E84586">
        <w:rPr>
          <w:rFonts w:ascii="宋体" w:hAnsi="宋体" w:cs="Arial"/>
          <w:sz w:val="23"/>
          <w:szCs w:val="23"/>
        </w:rPr>
        <w:t>银行账户</w:t>
      </w:r>
      <w:r w:rsidR="00E84586">
        <w:rPr>
          <w:rFonts w:ascii="宋体" w:hAnsi="宋体" w:cs="Arial" w:hint="eastAsia"/>
          <w:sz w:val="23"/>
          <w:szCs w:val="23"/>
        </w:rPr>
        <w:t>户名与投资人基金账户户名不一致的，本公司有权要求投资人出具情况说明。</w:t>
      </w:r>
    </w:p>
    <w:p w:rsidR="00476F7A" w:rsidRDefault="009224A4">
      <w:pPr>
        <w:adjustRightInd w:val="0"/>
        <w:snapToGrid w:val="0"/>
        <w:spacing w:line="312" w:lineRule="auto"/>
        <w:ind w:firstLineChars="200" w:firstLine="460"/>
        <w:rPr>
          <w:rFonts w:ascii="宋体" w:hAnsi="宋体" w:cs="Arial"/>
          <w:sz w:val="23"/>
          <w:szCs w:val="23"/>
        </w:rPr>
      </w:pPr>
      <w:r>
        <w:rPr>
          <w:rFonts w:ascii="宋体" w:hAnsi="宋体" w:cs="Arial"/>
          <w:sz w:val="23"/>
          <w:szCs w:val="23"/>
        </w:rPr>
        <w:fldChar w:fldCharType="begin"/>
      </w:r>
      <w:r w:rsidR="00E84586">
        <w:rPr>
          <w:rFonts w:ascii="宋体" w:hAnsi="宋体" w:cs="Arial"/>
          <w:sz w:val="23"/>
          <w:szCs w:val="23"/>
        </w:rPr>
        <w:instrText xml:space="preserve"> = 2 \* GB3 </w:instrText>
      </w:r>
      <w:r>
        <w:rPr>
          <w:rFonts w:ascii="宋体" w:hAnsi="宋体" w:cs="Arial"/>
          <w:sz w:val="23"/>
          <w:szCs w:val="23"/>
        </w:rPr>
        <w:fldChar w:fldCharType="separate"/>
      </w:r>
      <w:r w:rsidR="00E84586">
        <w:rPr>
          <w:rFonts w:ascii="宋体" w:hAnsi="宋体" w:cs="微软雅黑" w:hint="eastAsia"/>
          <w:sz w:val="23"/>
          <w:szCs w:val="23"/>
        </w:rPr>
        <w:t>②</w:t>
      </w:r>
      <w:r>
        <w:rPr>
          <w:rFonts w:ascii="宋体" w:hAnsi="宋体" w:cs="Arial"/>
          <w:sz w:val="23"/>
          <w:szCs w:val="23"/>
        </w:rPr>
        <w:fldChar w:fldCharType="end"/>
      </w:r>
      <w:r w:rsidR="00E84586">
        <w:rPr>
          <w:rFonts w:ascii="宋体" w:hAnsi="宋体" w:cs="Arial"/>
          <w:sz w:val="23"/>
          <w:szCs w:val="23"/>
        </w:rPr>
        <w:t>本公司可根据具体实际情况，</w:t>
      </w:r>
      <w:r w:rsidR="00E84586">
        <w:rPr>
          <w:rFonts w:ascii="宋体" w:hAnsi="宋体" w:cs="Arial" w:hint="eastAsia"/>
          <w:sz w:val="23"/>
          <w:szCs w:val="23"/>
        </w:rPr>
        <w:t>可</w:t>
      </w:r>
      <w:r w:rsidR="00E84586">
        <w:rPr>
          <w:rFonts w:ascii="宋体" w:hAnsi="宋体" w:cs="Arial"/>
          <w:sz w:val="23"/>
          <w:szCs w:val="23"/>
        </w:rPr>
        <w:t>对上述业务办理</w:t>
      </w:r>
      <w:r w:rsidR="00E84586">
        <w:rPr>
          <w:rFonts w:ascii="宋体" w:hAnsi="宋体" w:cs="Arial" w:hint="eastAsia"/>
          <w:sz w:val="23"/>
          <w:szCs w:val="23"/>
        </w:rPr>
        <w:t>流程及相关业务材料</w:t>
      </w:r>
      <w:r w:rsidR="00E84586">
        <w:rPr>
          <w:rFonts w:ascii="宋体" w:hAnsi="宋体" w:cs="Arial"/>
          <w:sz w:val="23"/>
          <w:szCs w:val="23"/>
        </w:rPr>
        <w:t>进行调整。</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（2）机构投资者办理认购申请时须提交</w:t>
      </w:r>
      <w:r>
        <w:rPr>
          <w:rFonts w:ascii="宋体" w:hAnsi="宋体" w:cs="Arial" w:hint="eastAsia"/>
          <w:sz w:val="23"/>
          <w:szCs w:val="23"/>
        </w:rPr>
        <w:t>的材料：</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w:t>
      </w:r>
      <w:r>
        <w:rPr>
          <w:rFonts w:ascii="宋体" w:hAnsi="宋体" w:cs="Arial" w:hint="eastAsia"/>
          <w:sz w:val="23"/>
          <w:szCs w:val="23"/>
        </w:rPr>
        <w:t>）</w:t>
      </w:r>
      <w:r>
        <w:rPr>
          <w:rFonts w:ascii="宋体" w:hAnsi="宋体" w:cs="Arial"/>
          <w:sz w:val="23"/>
          <w:szCs w:val="23"/>
        </w:rPr>
        <w:t>填妥并加盖</w:t>
      </w:r>
      <w:r>
        <w:rPr>
          <w:rFonts w:ascii="宋体" w:hAnsi="宋体" w:cs="Arial" w:hint="eastAsia"/>
          <w:sz w:val="23"/>
          <w:szCs w:val="23"/>
        </w:rPr>
        <w:t>机构预留印鉴及经办人签署确认</w:t>
      </w:r>
      <w:r>
        <w:rPr>
          <w:rFonts w:ascii="宋体" w:hAnsi="宋体" w:cs="Arial"/>
          <w:sz w:val="23"/>
          <w:szCs w:val="23"/>
        </w:rPr>
        <w:t>的《</w:t>
      </w:r>
      <w:r>
        <w:rPr>
          <w:rFonts w:ascii="宋体" w:hAnsi="宋体" w:cs="Arial" w:hint="eastAsia"/>
          <w:sz w:val="23"/>
          <w:szCs w:val="23"/>
        </w:rPr>
        <w:t>交易类</w:t>
      </w:r>
      <w:r>
        <w:rPr>
          <w:rFonts w:ascii="宋体" w:hAnsi="宋体" w:cs="Arial"/>
          <w:sz w:val="23"/>
          <w:szCs w:val="23"/>
        </w:rPr>
        <w:t>业务申请表》</w:t>
      </w:r>
      <w:r>
        <w:rPr>
          <w:rFonts w:ascii="宋体" w:hAnsi="宋体" w:cs="Arial" w:hint="eastAsia"/>
          <w:sz w:val="23"/>
          <w:szCs w:val="23"/>
        </w:rPr>
        <w:t>；</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2</w:t>
      </w:r>
      <w:r>
        <w:rPr>
          <w:rFonts w:ascii="宋体" w:hAnsi="宋体" w:cs="Arial" w:hint="eastAsia"/>
          <w:sz w:val="23"/>
          <w:szCs w:val="23"/>
        </w:rPr>
        <w:t>）加盖银行受理章的</w:t>
      </w:r>
      <w:r>
        <w:rPr>
          <w:rFonts w:ascii="宋体" w:hAnsi="宋体" w:cs="Arial"/>
          <w:sz w:val="23"/>
          <w:szCs w:val="23"/>
        </w:rPr>
        <w:t>银行</w:t>
      </w:r>
      <w:r>
        <w:rPr>
          <w:rFonts w:ascii="宋体" w:hAnsi="宋体" w:cs="Arial" w:hint="eastAsia"/>
          <w:sz w:val="23"/>
          <w:szCs w:val="23"/>
        </w:rPr>
        <w:t>划</w:t>
      </w:r>
      <w:r>
        <w:rPr>
          <w:rFonts w:ascii="宋体" w:hAnsi="宋体" w:cs="Arial"/>
          <w:sz w:val="23"/>
          <w:szCs w:val="23"/>
        </w:rPr>
        <w:t>款凭证</w:t>
      </w:r>
      <w:r>
        <w:rPr>
          <w:rFonts w:ascii="宋体" w:hAnsi="宋体" w:cs="Arial" w:hint="eastAsia"/>
          <w:sz w:val="23"/>
          <w:szCs w:val="23"/>
        </w:rPr>
        <w:t>；</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3</w:t>
      </w:r>
      <w:r>
        <w:rPr>
          <w:rFonts w:ascii="宋体" w:hAnsi="宋体" w:cs="Arial" w:hint="eastAsia"/>
          <w:sz w:val="23"/>
          <w:szCs w:val="23"/>
        </w:rPr>
        <w:t>）投资者适当性匹配表格，其中普通投资者应配合本公司在购买前完成投资者适当性相关风险提示的全过程录音或录像；</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4）若投资者申请认购的基金产品风险等级高于其自身风险承受能力的，客户需签字确认《风险不匹配警示函及投资者确认函》（客户应不属于风险承受能力最低类别）；</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5）监管部门和本公司根据业务需要要求提交的其他文件。</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4、认购资金的划拨</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投资人办理认购前应将足额认购资金通过银行转账汇入本公司指定的直销专户。</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直销专户</w:t>
      </w:r>
      <w:r>
        <w:rPr>
          <w:rFonts w:ascii="宋体" w:hAnsi="宋体" w:cs="Arial" w:hint="eastAsia"/>
          <w:sz w:val="23"/>
          <w:szCs w:val="23"/>
        </w:rPr>
        <w:t>：</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账户名称：</w:t>
      </w:r>
      <w:r>
        <w:rPr>
          <w:rFonts w:ascii="宋体" w:hAnsi="宋体" w:cs="Arial" w:hint="eastAsia"/>
          <w:sz w:val="23"/>
          <w:szCs w:val="23"/>
        </w:rPr>
        <w:t>路博迈基金管理（中国）有限公司直销专户</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开户银行：</w:t>
      </w:r>
      <w:r>
        <w:rPr>
          <w:rFonts w:ascii="宋体" w:hAnsi="宋体" w:cs="Arial" w:hint="eastAsia"/>
          <w:sz w:val="23"/>
          <w:szCs w:val="23"/>
        </w:rPr>
        <w:t>中国工商银行上海市分行第二营业部营业厅</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银行账号：</w:t>
      </w:r>
      <w:r>
        <w:rPr>
          <w:rFonts w:ascii="宋体" w:hAnsi="宋体" w:cs="Arial" w:hint="eastAsia"/>
          <w:sz w:val="23"/>
          <w:szCs w:val="23"/>
        </w:rPr>
        <w:t>1001190729004872846</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大额支付号：1</w:t>
      </w:r>
      <w:r>
        <w:rPr>
          <w:rFonts w:ascii="宋体" w:hAnsi="宋体" w:cs="Arial"/>
          <w:sz w:val="23"/>
          <w:szCs w:val="23"/>
        </w:rPr>
        <w:t>02290019077</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在办理认购业务时，需要按照</w:t>
      </w:r>
      <w:r>
        <w:rPr>
          <w:rFonts w:ascii="宋体" w:hAnsi="宋体" w:cs="Arial" w:hint="eastAsia"/>
          <w:sz w:val="23"/>
          <w:szCs w:val="23"/>
        </w:rPr>
        <w:t>基金管理人的相关</w:t>
      </w:r>
      <w:r>
        <w:rPr>
          <w:rFonts w:ascii="宋体" w:hAnsi="宋体" w:cs="Arial"/>
          <w:sz w:val="23"/>
          <w:szCs w:val="23"/>
        </w:rPr>
        <w:t>要求提供划款凭证，并且</w:t>
      </w:r>
      <w:r>
        <w:rPr>
          <w:rFonts w:ascii="宋体" w:hAnsi="宋体" w:cs="Arial" w:hint="eastAsia"/>
          <w:sz w:val="23"/>
          <w:szCs w:val="23"/>
        </w:rPr>
        <w:t>在划款备注里注明基金名称或基金代码，并确保认购资金在认购申请日1</w:t>
      </w:r>
      <w:r>
        <w:rPr>
          <w:rFonts w:ascii="宋体" w:hAnsi="宋体" w:cs="Arial"/>
          <w:sz w:val="23"/>
          <w:szCs w:val="23"/>
        </w:rPr>
        <w:t>7</w:t>
      </w:r>
      <w:r>
        <w:rPr>
          <w:rFonts w:ascii="宋体" w:hAnsi="宋体" w:cs="Arial" w:hint="eastAsia"/>
          <w:sz w:val="23"/>
          <w:szCs w:val="23"/>
        </w:rPr>
        <w:t>:</w:t>
      </w:r>
      <w:r>
        <w:rPr>
          <w:rFonts w:ascii="宋体" w:hAnsi="宋体" w:cs="Arial"/>
          <w:sz w:val="23"/>
          <w:szCs w:val="23"/>
        </w:rPr>
        <w:t>00</w:t>
      </w:r>
      <w:r>
        <w:rPr>
          <w:rFonts w:ascii="宋体" w:hAnsi="宋体" w:cs="Arial" w:hint="eastAsia"/>
          <w:sz w:val="23"/>
          <w:szCs w:val="23"/>
        </w:rPr>
        <w:t>前到账，若投资人的认购资金未到达本公司的指定账户，当日提交的认购申请无效</w:t>
      </w:r>
      <w:r>
        <w:rPr>
          <w:rFonts w:ascii="宋体" w:hAnsi="宋体" w:cs="Arial"/>
          <w:sz w:val="23"/>
          <w:szCs w:val="23"/>
        </w:rPr>
        <w:t>。</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5、注意事项</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（1）</w:t>
      </w:r>
      <w:r>
        <w:rPr>
          <w:rFonts w:ascii="宋体" w:hAnsi="宋体" w:cs="Arial"/>
          <w:sz w:val="23"/>
          <w:szCs w:val="23"/>
        </w:rPr>
        <w:t>投资人认购时要注明所购买的基金名称或基金代码。</w:t>
      </w:r>
    </w:p>
    <w:p w:rsidR="00476F7A" w:rsidRDefault="00476F7A">
      <w:pPr>
        <w:adjustRightInd w:val="0"/>
        <w:snapToGrid w:val="0"/>
        <w:spacing w:line="312" w:lineRule="auto"/>
        <w:ind w:left="118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（2）投资人T日提交开户申请后，应于T+2日后（包括该日）到本公司直销中心查询确认结果，或通过本公司客户服务中心查询。本公司将为开户成功的投资人寄送开户确认书。</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3）投资人T日提交认购申请后，应于T+2日后（包括该日）到本公司直销中心查询认购申请有效性的确认结果，或通过本公司客户服务中心查询。但此次确认是对认购申请接受的确认，认购的最终结果要待认购期结束后自本公司发布《基金合同》生效公告之日起到本公司直销中心查询，或通过本公司客户服务中心查询。</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（4）基金认购期期间，以下将被认定为无效认购：</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1）投资人划来资金，但逾期未办理开户手续或开户不成功的；</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2）投资人划来资金，但逾期未办理认购手续的；</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3）投资人划来的认购资金少于其申请的认购金额的；</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4）在认购期截止日下午</w:t>
      </w:r>
      <w:r>
        <w:rPr>
          <w:rFonts w:ascii="宋体" w:hAnsi="宋体" w:cs="Arial" w:hint="eastAsia"/>
          <w:sz w:val="23"/>
          <w:szCs w:val="23"/>
        </w:rPr>
        <w:t>1</w:t>
      </w:r>
      <w:r>
        <w:rPr>
          <w:rFonts w:ascii="宋体" w:hAnsi="宋体" w:cs="Arial"/>
          <w:sz w:val="23"/>
          <w:szCs w:val="23"/>
        </w:rPr>
        <w:t>7:00之前资金未到指定基金</w:t>
      </w:r>
      <w:r>
        <w:rPr>
          <w:rFonts w:ascii="宋体" w:hAnsi="宋体" w:cs="Arial" w:hint="eastAsia"/>
          <w:sz w:val="23"/>
          <w:szCs w:val="23"/>
        </w:rPr>
        <w:t>直销</w:t>
      </w:r>
      <w:r>
        <w:rPr>
          <w:rFonts w:ascii="宋体" w:hAnsi="宋体" w:cs="Arial"/>
          <w:sz w:val="23"/>
          <w:szCs w:val="23"/>
        </w:rPr>
        <w:t>专户的；</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5）本公司确认的其它无效资金或认购失败资金。</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（二）机构投资者在其他销售机构（如有）的开户与认购程序以各销售机构的规定为准。</w:t>
      </w:r>
      <w:r>
        <w:rPr>
          <w:rFonts w:ascii="宋体" w:hAnsi="宋体" w:cs="Arial"/>
          <w:sz w:val="23"/>
          <w:szCs w:val="23"/>
        </w:rPr>
        <w:br w:type="page"/>
      </w:r>
    </w:p>
    <w:p w:rsidR="00476F7A" w:rsidRDefault="00E84586">
      <w:pPr>
        <w:pStyle w:val="1"/>
        <w:spacing w:line="312" w:lineRule="auto"/>
        <w:jc w:val="center"/>
        <w:rPr>
          <w:rFonts w:ascii="宋体" w:hAnsi="宋体" w:cs="Arial"/>
          <w:sz w:val="23"/>
          <w:szCs w:val="23"/>
        </w:rPr>
      </w:pPr>
      <w:bookmarkStart w:id="13" w:name="_Toc294776265"/>
      <w:bookmarkStart w:id="14" w:name="_Toc513102412"/>
      <w:r>
        <w:rPr>
          <w:rFonts w:ascii="宋体" w:hAnsi="宋体" w:cs="Arial" w:hint="eastAsia"/>
          <w:sz w:val="23"/>
          <w:szCs w:val="23"/>
        </w:rPr>
        <w:t>四</w:t>
      </w:r>
      <w:r>
        <w:rPr>
          <w:rFonts w:ascii="宋体" w:hAnsi="宋体" w:cs="Arial"/>
          <w:sz w:val="23"/>
          <w:szCs w:val="23"/>
        </w:rPr>
        <w:t>、清算与交割</w:t>
      </w:r>
      <w:bookmarkEnd w:id="13"/>
      <w:bookmarkEnd w:id="14"/>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基金管理人应将基金募集期间募集的资金存入专门账户，在基金募集行为结束前，任何人不得动用。</w:t>
      </w:r>
      <w:r>
        <w:rPr>
          <w:rFonts w:ascii="宋体" w:hAnsi="宋体" w:cs="Arial"/>
          <w:sz w:val="23"/>
          <w:szCs w:val="23"/>
        </w:rPr>
        <w:t>有效认购款项在募集期间产生的利息将折算为</w:t>
      </w:r>
      <w:r>
        <w:rPr>
          <w:rFonts w:ascii="宋体" w:hAnsi="宋体" w:cs="Arial" w:hint="eastAsia"/>
          <w:sz w:val="23"/>
          <w:szCs w:val="23"/>
        </w:rPr>
        <w:t>相应类别的</w:t>
      </w:r>
      <w:r>
        <w:rPr>
          <w:rFonts w:ascii="宋体" w:hAnsi="宋体" w:cs="Arial"/>
          <w:sz w:val="23"/>
          <w:szCs w:val="23"/>
        </w:rPr>
        <w:t>基金份额归基金份额持有人所有，其中利息转份额</w:t>
      </w:r>
      <w:r>
        <w:rPr>
          <w:rFonts w:ascii="宋体" w:hAnsi="宋体" w:cs="Arial" w:hint="eastAsia"/>
          <w:sz w:val="23"/>
          <w:szCs w:val="23"/>
        </w:rPr>
        <w:t>的具体数额</w:t>
      </w:r>
      <w:r>
        <w:rPr>
          <w:rFonts w:ascii="宋体" w:hAnsi="宋体" w:cs="Arial"/>
          <w:sz w:val="23"/>
          <w:szCs w:val="23"/>
        </w:rPr>
        <w:t>以登记机构的记录为准。</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pStyle w:val="20"/>
        <w:adjustRightInd w:val="0"/>
        <w:snapToGrid w:val="0"/>
        <w:spacing w:line="312" w:lineRule="auto"/>
        <w:ind w:firstLine="460"/>
        <w:rPr>
          <w:rFonts w:cs="Arial"/>
          <w:sz w:val="23"/>
          <w:szCs w:val="23"/>
        </w:rPr>
      </w:pPr>
      <w:r>
        <w:rPr>
          <w:rFonts w:cs="Arial" w:hint="eastAsia"/>
          <w:sz w:val="23"/>
          <w:szCs w:val="23"/>
        </w:rPr>
        <w:t>本基金权益登记由登记机构在基金募集结束后完成。</w:t>
      </w:r>
      <w:r>
        <w:rPr>
          <w:rFonts w:cs="Arial"/>
          <w:sz w:val="23"/>
          <w:szCs w:val="23"/>
        </w:rPr>
        <w:br w:type="page"/>
      </w:r>
    </w:p>
    <w:p w:rsidR="00476F7A" w:rsidRDefault="00E84586">
      <w:pPr>
        <w:pStyle w:val="1"/>
        <w:spacing w:line="312" w:lineRule="auto"/>
        <w:jc w:val="center"/>
        <w:rPr>
          <w:rFonts w:ascii="宋体" w:hAnsi="宋体" w:cs="Arial"/>
          <w:sz w:val="23"/>
          <w:szCs w:val="23"/>
        </w:rPr>
      </w:pPr>
      <w:bookmarkStart w:id="15" w:name="_Toc513102413"/>
      <w:bookmarkStart w:id="16" w:name="_Toc294776267"/>
      <w:r>
        <w:rPr>
          <w:rFonts w:ascii="宋体" w:hAnsi="宋体" w:cs="Arial" w:hint="eastAsia"/>
          <w:sz w:val="23"/>
          <w:szCs w:val="23"/>
        </w:rPr>
        <w:t>五</w:t>
      </w:r>
      <w:r>
        <w:rPr>
          <w:rFonts w:ascii="宋体" w:hAnsi="宋体" w:cs="Arial"/>
          <w:sz w:val="23"/>
          <w:szCs w:val="23"/>
        </w:rPr>
        <w:t>、基金的验资</w:t>
      </w:r>
      <w:bookmarkEnd w:id="15"/>
      <w:bookmarkEnd w:id="16"/>
      <w:r>
        <w:rPr>
          <w:rFonts w:ascii="宋体" w:hAnsi="宋体" w:cs="Arial" w:hint="eastAsia"/>
          <w:sz w:val="23"/>
          <w:szCs w:val="23"/>
        </w:rPr>
        <w:t>与基金合同的生效</w:t>
      </w:r>
    </w:p>
    <w:p w:rsidR="00476F7A" w:rsidRDefault="00476F7A">
      <w:pPr>
        <w:adjustRightInd w:val="0"/>
        <w:snapToGrid w:val="0"/>
        <w:spacing w:line="312" w:lineRule="auto"/>
        <w:rPr>
          <w:rFonts w:ascii="宋体" w:hAnsi="宋体" w:cs="Arial"/>
          <w:sz w:val="23"/>
          <w:szCs w:val="23"/>
        </w:rPr>
      </w:pPr>
    </w:p>
    <w:p w:rsidR="00476F7A" w:rsidRDefault="00E84586">
      <w:pPr>
        <w:numPr>
          <w:ilvl w:val="0"/>
          <w:numId w:val="3"/>
        </w:numPr>
        <w:adjustRightInd w:val="0"/>
        <w:snapToGrid w:val="0"/>
        <w:spacing w:line="312" w:lineRule="auto"/>
        <w:rPr>
          <w:rFonts w:ascii="宋体" w:hAnsi="宋体" w:cs="Arial"/>
          <w:kern w:val="0"/>
          <w:sz w:val="23"/>
          <w:szCs w:val="23"/>
        </w:rPr>
      </w:pPr>
      <w:r>
        <w:rPr>
          <w:rFonts w:ascii="宋体" w:hAnsi="宋体" w:cs="Arial" w:hint="eastAsia"/>
          <w:kern w:val="0"/>
          <w:sz w:val="23"/>
          <w:szCs w:val="23"/>
        </w:rPr>
        <w:t>基金备案的条件</w:t>
      </w:r>
    </w:p>
    <w:p w:rsidR="00476F7A" w:rsidRDefault="00476F7A">
      <w:pPr>
        <w:adjustRightInd w:val="0"/>
        <w:snapToGrid w:val="0"/>
        <w:spacing w:line="312" w:lineRule="auto"/>
        <w:ind w:left="880"/>
        <w:rPr>
          <w:rFonts w:ascii="宋体" w:hAnsi="宋体" w:cs="Arial"/>
          <w:kern w:val="0"/>
          <w:sz w:val="23"/>
          <w:szCs w:val="23"/>
        </w:rPr>
      </w:pP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hint="eastAsia"/>
          <w:kern w:val="0"/>
          <w:sz w:val="23"/>
          <w:szCs w:val="23"/>
        </w:rPr>
        <w:t>本基金自基金份额发售之日起3个月内，在基金募集份额总额不少于2亿份，基金募集金额不少于2亿元人民币且基金认购人数不少于200人的条件下，基金募集期届满或基金管理人依据法律法规及招募说明书、本基金份额发售公告等相关公告可以决定停止基金发售，并在10日内聘请法定验资机构验资，自收到验资报告之日起10日内，向中国证监会办理基金备案手续。</w:t>
      </w:r>
    </w:p>
    <w:p w:rsidR="00476F7A" w:rsidRDefault="00476F7A">
      <w:pPr>
        <w:adjustRightInd w:val="0"/>
        <w:snapToGrid w:val="0"/>
        <w:spacing w:line="312" w:lineRule="auto"/>
        <w:ind w:firstLineChars="200" w:firstLine="460"/>
        <w:rPr>
          <w:rFonts w:ascii="宋体" w:hAnsi="宋体" w:cs="Arial"/>
          <w:kern w:val="0"/>
          <w:sz w:val="23"/>
          <w:szCs w:val="23"/>
        </w:rPr>
      </w:pP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hint="eastAsia"/>
          <w:kern w:val="0"/>
          <w:sz w:val="23"/>
          <w:szCs w:val="23"/>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6F7A" w:rsidRDefault="00476F7A">
      <w:pPr>
        <w:adjustRightInd w:val="0"/>
        <w:snapToGrid w:val="0"/>
        <w:spacing w:line="312" w:lineRule="auto"/>
        <w:ind w:firstLineChars="200" w:firstLine="460"/>
        <w:rPr>
          <w:rFonts w:ascii="宋体" w:hAnsi="宋体" w:cs="Arial"/>
          <w:kern w:val="0"/>
          <w:sz w:val="23"/>
          <w:szCs w:val="23"/>
        </w:rPr>
      </w:pPr>
    </w:p>
    <w:p w:rsidR="00476F7A" w:rsidRDefault="00E84586">
      <w:pPr>
        <w:numPr>
          <w:ilvl w:val="0"/>
          <w:numId w:val="3"/>
        </w:numPr>
        <w:adjustRightInd w:val="0"/>
        <w:snapToGrid w:val="0"/>
        <w:spacing w:line="312" w:lineRule="auto"/>
        <w:rPr>
          <w:rFonts w:ascii="宋体" w:hAnsi="宋体" w:cs="Arial"/>
          <w:kern w:val="0"/>
          <w:sz w:val="23"/>
          <w:szCs w:val="23"/>
        </w:rPr>
      </w:pPr>
      <w:r>
        <w:rPr>
          <w:rFonts w:ascii="宋体" w:hAnsi="宋体" w:cs="Arial" w:hint="eastAsia"/>
          <w:kern w:val="0"/>
          <w:sz w:val="23"/>
          <w:szCs w:val="23"/>
        </w:rPr>
        <w:t>基金合同不能生效时募集资金的处理方式</w:t>
      </w:r>
    </w:p>
    <w:p w:rsidR="00476F7A" w:rsidRDefault="00476F7A">
      <w:pPr>
        <w:adjustRightInd w:val="0"/>
        <w:snapToGrid w:val="0"/>
        <w:spacing w:line="312" w:lineRule="auto"/>
        <w:ind w:left="880" w:firstLine="200"/>
        <w:rPr>
          <w:rFonts w:ascii="宋体" w:hAnsi="宋体" w:cs="Arial"/>
          <w:kern w:val="0"/>
          <w:sz w:val="23"/>
          <w:szCs w:val="23"/>
        </w:rPr>
      </w:pP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hint="eastAsia"/>
          <w:kern w:val="0"/>
          <w:sz w:val="23"/>
          <w:szCs w:val="23"/>
        </w:rPr>
        <w:t>如果募集期限届满，未满足基金备案条件，基金管理人应当承担下列责任：</w:t>
      </w:r>
    </w:p>
    <w:p w:rsidR="00476F7A" w:rsidRDefault="00476F7A">
      <w:pPr>
        <w:adjustRightInd w:val="0"/>
        <w:snapToGrid w:val="0"/>
        <w:spacing w:line="312" w:lineRule="auto"/>
        <w:ind w:firstLineChars="200" w:firstLine="460"/>
        <w:rPr>
          <w:rFonts w:ascii="宋体" w:hAnsi="宋体" w:cs="Arial"/>
          <w:kern w:val="0"/>
          <w:sz w:val="23"/>
          <w:szCs w:val="23"/>
        </w:rPr>
      </w:pPr>
    </w:p>
    <w:p w:rsidR="00476F7A" w:rsidRDefault="00E84586">
      <w:pPr>
        <w:numPr>
          <w:ilvl w:val="0"/>
          <w:numId w:val="4"/>
        </w:numPr>
        <w:adjustRightInd w:val="0"/>
        <w:snapToGrid w:val="0"/>
        <w:spacing w:line="312" w:lineRule="auto"/>
        <w:rPr>
          <w:rFonts w:ascii="宋体" w:hAnsi="宋体" w:cs="Arial"/>
          <w:kern w:val="0"/>
          <w:sz w:val="23"/>
          <w:szCs w:val="23"/>
        </w:rPr>
      </w:pPr>
      <w:r>
        <w:rPr>
          <w:rFonts w:ascii="宋体" w:hAnsi="宋体" w:cs="Arial" w:hint="eastAsia"/>
          <w:kern w:val="0"/>
          <w:sz w:val="23"/>
          <w:szCs w:val="23"/>
        </w:rPr>
        <w:t>以其固有财产承担因募集行为而产生的债务和费用；</w:t>
      </w: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hint="eastAsia"/>
          <w:kern w:val="0"/>
          <w:sz w:val="23"/>
          <w:szCs w:val="23"/>
        </w:rPr>
        <w:t>2、在基金募集期限届满后30日内返还投资者已缴纳的款项，并加计银行同期活期存款利息；</w:t>
      </w: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hint="eastAsia"/>
          <w:kern w:val="0"/>
          <w:sz w:val="23"/>
          <w:szCs w:val="23"/>
        </w:rPr>
        <w:t>3、如基金募集失败，基金管理人、基金托管人及销售机构不得请求报酬。基金管理人、基金托管人和销售机构为基金募集支付之一切费用应由各方各自承担。</w:t>
      </w:r>
    </w:p>
    <w:p w:rsidR="00476F7A" w:rsidRDefault="00476F7A">
      <w:pPr>
        <w:adjustRightInd w:val="0"/>
        <w:snapToGrid w:val="0"/>
        <w:spacing w:line="312" w:lineRule="auto"/>
        <w:ind w:firstLineChars="200" w:firstLine="460"/>
        <w:rPr>
          <w:rFonts w:cs="Arial"/>
          <w:sz w:val="23"/>
          <w:szCs w:val="23"/>
        </w:rPr>
      </w:pPr>
    </w:p>
    <w:p w:rsidR="00476F7A" w:rsidRDefault="00E84586">
      <w:pPr>
        <w:spacing w:line="312" w:lineRule="auto"/>
        <w:rPr>
          <w:rFonts w:hAnsi="宋体" w:cs="Arial"/>
          <w:kern w:val="0"/>
          <w:sz w:val="23"/>
          <w:szCs w:val="23"/>
        </w:rPr>
      </w:pPr>
      <w:r>
        <w:rPr>
          <w:rFonts w:hAnsi="宋体" w:cs="Arial"/>
          <w:sz w:val="23"/>
          <w:szCs w:val="23"/>
        </w:rPr>
        <w:br w:type="page"/>
      </w:r>
    </w:p>
    <w:p w:rsidR="00476F7A" w:rsidRDefault="00E84586">
      <w:pPr>
        <w:pStyle w:val="1"/>
        <w:spacing w:line="312" w:lineRule="auto"/>
        <w:jc w:val="center"/>
        <w:rPr>
          <w:rFonts w:ascii="宋体" w:hAnsi="宋体" w:cs="Arial"/>
          <w:sz w:val="23"/>
          <w:szCs w:val="23"/>
        </w:rPr>
      </w:pPr>
      <w:bookmarkStart w:id="17" w:name="_Toc294776269"/>
      <w:bookmarkStart w:id="18" w:name="_Toc513102415"/>
      <w:bookmarkStart w:id="19" w:name="_Hlk62660856"/>
      <w:r>
        <w:rPr>
          <w:rFonts w:ascii="宋体" w:hAnsi="宋体" w:cs="Arial" w:hint="eastAsia"/>
          <w:sz w:val="23"/>
          <w:szCs w:val="23"/>
        </w:rPr>
        <w:t>六</w:t>
      </w:r>
      <w:r>
        <w:rPr>
          <w:rFonts w:ascii="宋体" w:hAnsi="宋体" w:cs="Arial"/>
          <w:sz w:val="23"/>
          <w:szCs w:val="23"/>
        </w:rPr>
        <w:t>、本次认购当事人及中介机构</w:t>
      </w:r>
      <w:bookmarkEnd w:id="17"/>
      <w:bookmarkEnd w:id="18"/>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（一）基金管理人</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widowControl/>
        <w:autoSpaceDE w:val="0"/>
        <w:autoSpaceDN w:val="0"/>
        <w:spacing w:line="312" w:lineRule="auto"/>
        <w:ind w:firstLineChars="200" w:firstLine="460"/>
        <w:rPr>
          <w:rFonts w:ascii="宋体" w:hAnsi="宋体" w:cs="Arial"/>
          <w:kern w:val="0"/>
          <w:sz w:val="23"/>
          <w:szCs w:val="23"/>
        </w:rPr>
      </w:pPr>
      <w:r>
        <w:rPr>
          <w:rFonts w:ascii="宋体" w:hAnsi="宋体" w:cs="Arial"/>
          <w:kern w:val="0"/>
          <w:sz w:val="23"/>
          <w:szCs w:val="23"/>
        </w:rPr>
        <w:t>名称：路博迈基金管理（中国）有限公司</w:t>
      </w:r>
    </w:p>
    <w:p w:rsidR="00476F7A" w:rsidRDefault="00E84586">
      <w:pPr>
        <w:widowControl/>
        <w:autoSpaceDE w:val="0"/>
        <w:autoSpaceDN w:val="0"/>
        <w:spacing w:line="312" w:lineRule="auto"/>
        <w:ind w:firstLineChars="200" w:firstLine="460"/>
        <w:rPr>
          <w:rFonts w:ascii="宋体" w:hAnsi="宋体" w:cs="Arial"/>
          <w:kern w:val="0"/>
          <w:sz w:val="23"/>
          <w:szCs w:val="23"/>
        </w:rPr>
      </w:pPr>
      <w:r>
        <w:rPr>
          <w:rFonts w:ascii="宋体" w:hAnsi="宋体" w:cs="Arial"/>
          <w:kern w:val="0"/>
          <w:sz w:val="23"/>
          <w:szCs w:val="23"/>
        </w:rPr>
        <w:t>住所：</w:t>
      </w:r>
      <w:r>
        <w:rPr>
          <w:rFonts w:ascii="宋体" w:hAnsi="宋体" w:cs="Arial" w:hint="eastAsia"/>
          <w:kern w:val="0"/>
          <w:sz w:val="23"/>
          <w:szCs w:val="23"/>
        </w:rPr>
        <w:t>中国（上海）自由贸易试验区世纪大道88号30层11单元</w:t>
      </w:r>
    </w:p>
    <w:p w:rsidR="00476F7A" w:rsidRDefault="00E84586">
      <w:pPr>
        <w:widowControl/>
        <w:autoSpaceDE w:val="0"/>
        <w:autoSpaceDN w:val="0"/>
        <w:spacing w:line="312" w:lineRule="auto"/>
        <w:ind w:firstLineChars="200" w:firstLine="460"/>
        <w:rPr>
          <w:rFonts w:ascii="宋体" w:hAnsi="宋体" w:cs="Arial"/>
          <w:kern w:val="0"/>
          <w:sz w:val="23"/>
          <w:szCs w:val="23"/>
        </w:rPr>
      </w:pPr>
      <w:r>
        <w:rPr>
          <w:rFonts w:ascii="宋体" w:hAnsi="宋体" w:cs="Arial"/>
          <w:kern w:val="0"/>
          <w:sz w:val="23"/>
          <w:szCs w:val="23"/>
        </w:rPr>
        <w:t>办公地址：</w:t>
      </w:r>
      <w:r>
        <w:rPr>
          <w:rFonts w:ascii="宋体" w:hAnsi="宋体" w:cs="Arial" w:hint="eastAsia"/>
          <w:kern w:val="0"/>
          <w:sz w:val="23"/>
          <w:szCs w:val="23"/>
        </w:rPr>
        <w:t>中国上海市静安区石门一路288号香港兴业中心2座705-7</w:t>
      </w:r>
      <w:r>
        <w:rPr>
          <w:rFonts w:ascii="宋体" w:hAnsi="宋体" w:cs="Arial"/>
          <w:kern w:val="0"/>
          <w:sz w:val="23"/>
          <w:szCs w:val="23"/>
        </w:rPr>
        <w:t>10</w:t>
      </w:r>
      <w:r>
        <w:rPr>
          <w:rFonts w:ascii="宋体" w:hAnsi="宋体" w:cs="Arial" w:hint="eastAsia"/>
          <w:kern w:val="0"/>
          <w:sz w:val="23"/>
          <w:szCs w:val="23"/>
        </w:rPr>
        <w:t>室</w:t>
      </w:r>
    </w:p>
    <w:p w:rsidR="00476F7A" w:rsidRDefault="00E84586">
      <w:pPr>
        <w:widowControl/>
        <w:autoSpaceDE w:val="0"/>
        <w:autoSpaceDN w:val="0"/>
        <w:spacing w:line="312" w:lineRule="auto"/>
        <w:ind w:firstLineChars="200" w:firstLine="460"/>
        <w:rPr>
          <w:rFonts w:ascii="宋体" w:hAnsi="宋体" w:cs="Arial"/>
          <w:kern w:val="0"/>
          <w:sz w:val="23"/>
          <w:szCs w:val="23"/>
        </w:rPr>
      </w:pPr>
      <w:r>
        <w:rPr>
          <w:rFonts w:ascii="宋体" w:hAnsi="宋体" w:cs="Arial"/>
          <w:kern w:val="0"/>
          <w:sz w:val="23"/>
          <w:szCs w:val="23"/>
        </w:rPr>
        <w:t>成立日期：</w:t>
      </w:r>
      <w:r>
        <w:rPr>
          <w:rFonts w:ascii="宋体" w:hAnsi="宋体" w:cs="Arial" w:hint="eastAsia"/>
          <w:kern w:val="0"/>
          <w:sz w:val="23"/>
          <w:szCs w:val="23"/>
        </w:rPr>
        <w:t>2</w:t>
      </w:r>
      <w:r>
        <w:rPr>
          <w:rFonts w:ascii="宋体" w:hAnsi="宋体" w:cs="Arial"/>
          <w:kern w:val="0"/>
          <w:sz w:val="23"/>
          <w:szCs w:val="23"/>
        </w:rPr>
        <w:t>021年</w:t>
      </w:r>
      <w:r>
        <w:rPr>
          <w:rFonts w:ascii="宋体" w:hAnsi="宋体" w:cs="Arial" w:hint="eastAsia"/>
          <w:kern w:val="0"/>
          <w:sz w:val="23"/>
          <w:szCs w:val="23"/>
        </w:rPr>
        <w:t>7</w:t>
      </w:r>
      <w:r>
        <w:rPr>
          <w:rFonts w:ascii="宋体" w:hAnsi="宋体" w:cs="Arial"/>
          <w:kern w:val="0"/>
          <w:sz w:val="23"/>
          <w:szCs w:val="23"/>
        </w:rPr>
        <w:t>月</w:t>
      </w:r>
      <w:r>
        <w:rPr>
          <w:rFonts w:ascii="宋体" w:hAnsi="宋体" w:cs="Arial" w:hint="eastAsia"/>
          <w:kern w:val="0"/>
          <w:sz w:val="23"/>
          <w:szCs w:val="23"/>
        </w:rPr>
        <w:t>2</w:t>
      </w:r>
      <w:r>
        <w:rPr>
          <w:rFonts w:ascii="宋体" w:hAnsi="宋体" w:cs="Arial"/>
          <w:kern w:val="0"/>
          <w:sz w:val="23"/>
          <w:szCs w:val="23"/>
        </w:rPr>
        <w:t>2日</w:t>
      </w:r>
    </w:p>
    <w:p w:rsidR="00476F7A" w:rsidRDefault="00E84586">
      <w:pPr>
        <w:widowControl/>
        <w:autoSpaceDE w:val="0"/>
        <w:autoSpaceDN w:val="0"/>
        <w:spacing w:line="312" w:lineRule="auto"/>
        <w:ind w:firstLineChars="200" w:firstLine="460"/>
        <w:rPr>
          <w:rFonts w:ascii="宋体" w:hAnsi="宋体" w:cs="Arial"/>
          <w:kern w:val="0"/>
          <w:sz w:val="23"/>
          <w:szCs w:val="23"/>
        </w:rPr>
      </w:pPr>
      <w:r>
        <w:rPr>
          <w:rFonts w:ascii="宋体" w:hAnsi="宋体" w:cs="Arial"/>
          <w:kern w:val="0"/>
          <w:sz w:val="23"/>
          <w:szCs w:val="23"/>
        </w:rPr>
        <w:t>法定代表人：阎小庆</w:t>
      </w:r>
    </w:p>
    <w:p w:rsidR="00476F7A" w:rsidRDefault="00E84586">
      <w:pPr>
        <w:widowControl/>
        <w:autoSpaceDE w:val="0"/>
        <w:autoSpaceDN w:val="0"/>
        <w:spacing w:line="312" w:lineRule="auto"/>
        <w:ind w:firstLineChars="200" w:firstLine="460"/>
        <w:rPr>
          <w:rFonts w:ascii="宋体" w:hAnsi="宋体" w:cs="Arial"/>
          <w:b/>
          <w:kern w:val="0"/>
          <w:sz w:val="23"/>
          <w:szCs w:val="23"/>
        </w:rPr>
      </w:pPr>
      <w:r>
        <w:rPr>
          <w:rFonts w:ascii="宋体" w:hAnsi="宋体" w:cs="Arial" w:hint="eastAsia"/>
          <w:kern w:val="0"/>
          <w:sz w:val="23"/>
          <w:szCs w:val="23"/>
        </w:rPr>
        <w:t>公司</w:t>
      </w:r>
      <w:r>
        <w:rPr>
          <w:rFonts w:ascii="宋体" w:hAnsi="宋体" w:cs="Arial"/>
          <w:kern w:val="0"/>
          <w:sz w:val="23"/>
          <w:szCs w:val="23"/>
        </w:rPr>
        <w:t>电话：400-875-5888</w:t>
      </w:r>
    </w:p>
    <w:p w:rsidR="00476F7A" w:rsidRDefault="00E84586">
      <w:pPr>
        <w:widowControl/>
        <w:autoSpaceDE w:val="0"/>
        <w:autoSpaceDN w:val="0"/>
        <w:spacing w:line="312" w:lineRule="auto"/>
        <w:ind w:firstLineChars="200" w:firstLine="460"/>
        <w:rPr>
          <w:rFonts w:ascii="宋体" w:hAnsi="宋体" w:cs="Arial"/>
          <w:b/>
          <w:kern w:val="0"/>
          <w:sz w:val="23"/>
          <w:szCs w:val="23"/>
        </w:rPr>
      </w:pPr>
      <w:r>
        <w:rPr>
          <w:rFonts w:ascii="宋体" w:hAnsi="宋体" w:cs="Arial"/>
          <w:kern w:val="0"/>
          <w:sz w:val="23"/>
          <w:szCs w:val="23"/>
        </w:rPr>
        <w:t>客户服务统一咨询电话：</w:t>
      </w:r>
      <w:bookmarkStart w:id="20" w:name="_Hlk126327187"/>
      <w:r>
        <w:rPr>
          <w:rFonts w:ascii="宋体" w:hAnsi="宋体" w:cs="Arial"/>
          <w:kern w:val="0"/>
          <w:sz w:val="23"/>
          <w:szCs w:val="23"/>
        </w:rPr>
        <w:t>400-875-5888</w:t>
      </w:r>
      <w:bookmarkEnd w:id="20"/>
    </w:p>
    <w:p w:rsidR="00476F7A" w:rsidRDefault="00E84586">
      <w:pPr>
        <w:widowControl/>
        <w:autoSpaceDE w:val="0"/>
        <w:autoSpaceDN w:val="0"/>
        <w:spacing w:line="312" w:lineRule="auto"/>
        <w:ind w:firstLineChars="200" w:firstLine="460"/>
        <w:rPr>
          <w:rFonts w:ascii="宋体" w:hAnsi="宋体" w:cs="Arial"/>
          <w:kern w:val="0"/>
          <w:sz w:val="23"/>
          <w:szCs w:val="23"/>
        </w:rPr>
      </w:pPr>
      <w:r>
        <w:rPr>
          <w:rFonts w:ascii="宋体" w:hAnsi="宋体" w:cs="Arial"/>
          <w:kern w:val="0"/>
          <w:sz w:val="23"/>
          <w:szCs w:val="23"/>
        </w:rPr>
        <w:t>注册资本：</w:t>
      </w:r>
      <w:r>
        <w:rPr>
          <w:rFonts w:ascii="宋体" w:hAnsi="宋体" w:cs="Arial" w:hint="eastAsia"/>
          <w:kern w:val="0"/>
          <w:sz w:val="23"/>
          <w:szCs w:val="23"/>
        </w:rPr>
        <w:t>人民币</w:t>
      </w:r>
      <w:r>
        <w:rPr>
          <w:rFonts w:ascii="宋体" w:hAnsi="宋体" w:cs="Arial"/>
          <w:kern w:val="0"/>
          <w:sz w:val="23"/>
          <w:szCs w:val="23"/>
        </w:rPr>
        <w:t>55</w:t>
      </w:r>
      <w:r>
        <w:rPr>
          <w:rFonts w:ascii="宋体" w:hAnsi="宋体" w:cs="Arial" w:hint="eastAsia"/>
          <w:kern w:val="0"/>
          <w:sz w:val="23"/>
          <w:szCs w:val="23"/>
        </w:rPr>
        <w:t>,</w:t>
      </w:r>
      <w:r>
        <w:rPr>
          <w:rFonts w:ascii="宋体" w:hAnsi="宋体" w:cs="Arial"/>
          <w:kern w:val="0"/>
          <w:sz w:val="23"/>
          <w:szCs w:val="23"/>
        </w:rPr>
        <w:t>0</w:t>
      </w:r>
      <w:r>
        <w:rPr>
          <w:rFonts w:ascii="宋体" w:hAnsi="宋体" w:cs="Arial" w:hint="eastAsia"/>
          <w:kern w:val="0"/>
          <w:sz w:val="23"/>
          <w:szCs w:val="23"/>
        </w:rPr>
        <w:t>00万元</w:t>
      </w:r>
    </w:p>
    <w:p w:rsidR="00476F7A" w:rsidRDefault="00E84586">
      <w:pPr>
        <w:widowControl/>
        <w:autoSpaceDE w:val="0"/>
        <w:autoSpaceDN w:val="0"/>
        <w:spacing w:line="312" w:lineRule="auto"/>
        <w:ind w:firstLineChars="200" w:firstLine="460"/>
        <w:rPr>
          <w:rFonts w:ascii="宋体" w:hAnsi="宋体" w:cs="Arial"/>
          <w:kern w:val="0"/>
          <w:sz w:val="23"/>
          <w:szCs w:val="23"/>
        </w:rPr>
      </w:pPr>
      <w:r>
        <w:rPr>
          <w:rFonts w:ascii="宋体" w:hAnsi="宋体" w:cs="Arial"/>
          <w:kern w:val="0"/>
          <w:sz w:val="23"/>
          <w:szCs w:val="23"/>
        </w:rPr>
        <w:t>股权结构：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9"/>
        <w:gridCol w:w="2554"/>
      </w:tblGrid>
      <w:tr w:rsidR="00476F7A">
        <w:trPr>
          <w:jc w:val="center"/>
        </w:trPr>
        <w:tc>
          <w:tcPr>
            <w:tcW w:w="4739" w:type="dxa"/>
          </w:tcPr>
          <w:p w:rsidR="00476F7A" w:rsidRDefault="00E84586">
            <w:pPr>
              <w:spacing w:line="312" w:lineRule="auto"/>
              <w:jc w:val="center"/>
              <w:rPr>
                <w:rFonts w:ascii="宋体" w:hAnsi="宋体" w:cs="Arial"/>
                <w:kern w:val="0"/>
                <w:sz w:val="23"/>
                <w:szCs w:val="23"/>
              </w:rPr>
            </w:pPr>
            <w:r>
              <w:rPr>
                <w:rFonts w:ascii="宋体" w:hAnsi="宋体" w:cs="Arial"/>
                <w:kern w:val="0"/>
                <w:sz w:val="23"/>
                <w:szCs w:val="23"/>
              </w:rPr>
              <w:t>股东名称</w:t>
            </w:r>
          </w:p>
        </w:tc>
        <w:tc>
          <w:tcPr>
            <w:tcW w:w="2554" w:type="dxa"/>
          </w:tcPr>
          <w:p w:rsidR="00476F7A" w:rsidRDefault="00E84586">
            <w:pPr>
              <w:spacing w:line="312" w:lineRule="auto"/>
              <w:jc w:val="center"/>
              <w:rPr>
                <w:rFonts w:ascii="宋体" w:hAnsi="宋体" w:cs="Arial"/>
                <w:kern w:val="0"/>
                <w:sz w:val="23"/>
                <w:szCs w:val="23"/>
              </w:rPr>
            </w:pPr>
            <w:r>
              <w:rPr>
                <w:rFonts w:ascii="宋体" w:hAnsi="宋体" w:cs="Arial"/>
                <w:kern w:val="0"/>
                <w:sz w:val="23"/>
                <w:szCs w:val="23"/>
              </w:rPr>
              <w:t>出资比例</w:t>
            </w:r>
          </w:p>
        </w:tc>
      </w:tr>
      <w:tr w:rsidR="00476F7A">
        <w:trPr>
          <w:jc w:val="center"/>
        </w:trPr>
        <w:tc>
          <w:tcPr>
            <w:tcW w:w="4739" w:type="dxa"/>
          </w:tcPr>
          <w:p w:rsidR="00476F7A" w:rsidRDefault="00E84586">
            <w:pPr>
              <w:spacing w:line="312" w:lineRule="auto"/>
              <w:jc w:val="center"/>
              <w:rPr>
                <w:rFonts w:ascii="宋体" w:hAnsi="宋体" w:cs="Arial"/>
                <w:kern w:val="0"/>
                <w:sz w:val="23"/>
                <w:szCs w:val="23"/>
              </w:rPr>
            </w:pPr>
            <w:r>
              <w:rPr>
                <w:rFonts w:ascii="宋体" w:hAnsi="宋体" w:cs="Arial" w:hint="eastAsia"/>
                <w:kern w:val="0"/>
                <w:sz w:val="23"/>
                <w:szCs w:val="23"/>
              </w:rPr>
              <w:t>路博迈投资顾问有限公司</w:t>
            </w:r>
          </w:p>
          <w:p w:rsidR="00476F7A" w:rsidRDefault="00E84586">
            <w:pPr>
              <w:spacing w:line="312" w:lineRule="auto"/>
              <w:jc w:val="center"/>
              <w:rPr>
                <w:rFonts w:ascii="宋体" w:hAnsi="宋体" w:cs="Arial"/>
                <w:kern w:val="0"/>
                <w:sz w:val="23"/>
                <w:szCs w:val="23"/>
              </w:rPr>
            </w:pPr>
            <w:r>
              <w:rPr>
                <w:rFonts w:ascii="宋体" w:hAnsi="宋体" w:cs="Arial" w:hint="eastAsia"/>
                <w:kern w:val="0"/>
                <w:sz w:val="23"/>
                <w:szCs w:val="23"/>
              </w:rPr>
              <w:t>（Neuberger Berman Investment</w:t>
            </w:r>
          </w:p>
          <w:p w:rsidR="00476F7A" w:rsidRDefault="00E84586">
            <w:pPr>
              <w:spacing w:line="312" w:lineRule="auto"/>
              <w:jc w:val="center"/>
              <w:rPr>
                <w:rFonts w:ascii="宋体" w:hAnsi="宋体" w:cs="Arial"/>
                <w:kern w:val="0"/>
                <w:sz w:val="23"/>
                <w:szCs w:val="23"/>
              </w:rPr>
            </w:pPr>
            <w:r>
              <w:rPr>
                <w:rFonts w:ascii="宋体" w:hAnsi="宋体" w:cs="Arial" w:hint="eastAsia"/>
                <w:kern w:val="0"/>
                <w:sz w:val="23"/>
                <w:szCs w:val="23"/>
              </w:rPr>
              <w:t>Advisers LLC）</w:t>
            </w:r>
          </w:p>
        </w:tc>
        <w:tc>
          <w:tcPr>
            <w:tcW w:w="2554" w:type="dxa"/>
            <w:vAlign w:val="center"/>
          </w:tcPr>
          <w:p w:rsidR="00476F7A" w:rsidRDefault="00E84586">
            <w:pPr>
              <w:spacing w:line="312" w:lineRule="auto"/>
              <w:jc w:val="center"/>
              <w:rPr>
                <w:rFonts w:ascii="宋体" w:hAnsi="宋体" w:cs="Arial"/>
                <w:kern w:val="0"/>
                <w:sz w:val="23"/>
                <w:szCs w:val="23"/>
              </w:rPr>
            </w:pPr>
            <w:r>
              <w:rPr>
                <w:rFonts w:ascii="宋体" w:hAnsi="宋体" w:cs="Arial" w:hint="eastAsia"/>
                <w:kern w:val="0"/>
                <w:sz w:val="23"/>
                <w:szCs w:val="23"/>
              </w:rPr>
              <w:t>1</w:t>
            </w:r>
            <w:r>
              <w:rPr>
                <w:rFonts w:ascii="宋体" w:hAnsi="宋体" w:cs="Arial"/>
                <w:kern w:val="0"/>
                <w:sz w:val="23"/>
                <w:szCs w:val="23"/>
              </w:rPr>
              <w:t>00</w:t>
            </w:r>
            <w:r>
              <w:rPr>
                <w:rFonts w:ascii="宋体" w:hAnsi="宋体" w:cs="Arial" w:hint="eastAsia"/>
                <w:kern w:val="0"/>
                <w:sz w:val="23"/>
                <w:szCs w:val="23"/>
              </w:rPr>
              <w:t>%</w:t>
            </w:r>
          </w:p>
        </w:tc>
      </w:tr>
    </w:tbl>
    <w:p w:rsidR="00476F7A" w:rsidRDefault="00476F7A">
      <w:pPr>
        <w:adjustRightInd w:val="0"/>
        <w:snapToGrid w:val="0"/>
        <w:spacing w:line="312" w:lineRule="auto"/>
        <w:ind w:firstLineChars="200" w:firstLine="460"/>
        <w:rPr>
          <w:rFonts w:ascii="宋体" w:hAnsi="宋体" w:cs="Arial"/>
          <w:kern w:val="0"/>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（二）基金托管人</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widowControl/>
        <w:adjustRightInd w:val="0"/>
        <w:snapToGrid w:val="0"/>
        <w:spacing w:line="312" w:lineRule="auto"/>
        <w:ind w:firstLine="480"/>
        <w:rPr>
          <w:rFonts w:ascii="宋体" w:hAnsi="宋体"/>
          <w:color w:val="000000"/>
          <w:kern w:val="0"/>
          <w:sz w:val="23"/>
          <w:szCs w:val="23"/>
        </w:rPr>
      </w:pPr>
      <w:r>
        <w:rPr>
          <w:rFonts w:ascii="宋体" w:hAnsi="宋体"/>
          <w:color w:val="000000"/>
          <w:kern w:val="0"/>
          <w:sz w:val="23"/>
          <w:szCs w:val="23"/>
        </w:rPr>
        <w:t>名称：中国工商银行股份有限公司</w:t>
      </w:r>
    </w:p>
    <w:p w:rsidR="00476F7A" w:rsidRDefault="00E84586">
      <w:pPr>
        <w:widowControl/>
        <w:adjustRightInd w:val="0"/>
        <w:snapToGrid w:val="0"/>
        <w:spacing w:line="312" w:lineRule="auto"/>
        <w:ind w:firstLine="480"/>
        <w:rPr>
          <w:rFonts w:ascii="宋体" w:hAnsi="宋体"/>
          <w:color w:val="000000"/>
          <w:kern w:val="0"/>
          <w:sz w:val="23"/>
          <w:szCs w:val="23"/>
        </w:rPr>
      </w:pPr>
      <w:r>
        <w:rPr>
          <w:rFonts w:ascii="宋体" w:hAnsi="宋体" w:hint="eastAsia"/>
          <w:color w:val="000000"/>
          <w:kern w:val="0"/>
          <w:sz w:val="23"/>
          <w:szCs w:val="23"/>
        </w:rPr>
        <w:t>住所：北京市西城区复兴门内大街55号</w:t>
      </w:r>
    </w:p>
    <w:p w:rsidR="00476F7A" w:rsidRDefault="00E84586">
      <w:pPr>
        <w:widowControl/>
        <w:adjustRightInd w:val="0"/>
        <w:snapToGrid w:val="0"/>
        <w:spacing w:line="312" w:lineRule="auto"/>
        <w:ind w:firstLine="480"/>
        <w:rPr>
          <w:rFonts w:ascii="宋体" w:hAnsi="宋体"/>
          <w:color w:val="000000"/>
          <w:kern w:val="0"/>
          <w:sz w:val="23"/>
          <w:szCs w:val="23"/>
        </w:rPr>
      </w:pPr>
      <w:r>
        <w:rPr>
          <w:rFonts w:ascii="宋体" w:hAnsi="宋体" w:hint="eastAsia"/>
          <w:color w:val="000000"/>
          <w:kern w:val="0"/>
          <w:sz w:val="23"/>
          <w:szCs w:val="23"/>
        </w:rPr>
        <w:t>法定代表人：廖林</w:t>
      </w:r>
    </w:p>
    <w:p w:rsidR="00476F7A" w:rsidRDefault="00E84586">
      <w:pPr>
        <w:widowControl/>
        <w:adjustRightInd w:val="0"/>
        <w:snapToGrid w:val="0"/>
        <w:spacing w:line="312" w:lineRule="auto"/>
        <w:ind w:firstLine="480"/>
        <w:rPr>
          <w:rFonts w:ascii="宋体" w:hAnsi="宋体"/>
          <w:color w:val="000000"/>
          <w:kern w:val="0"/>
          <w:sz w:val="23"/>
          <w:szCs w:val="23"/>
        </w:rPr>
      </w:pPr>
      <w:r>
        <w:rPr>
          <w:rFonts w:ascii="宋体" w:hAnsi="宋体" w:hint="eastAsia"/>
          <w:color w:val="000000"/>
          <w:kern w:val="0"/>
          <w:sz w:val="23"/>
          <w:szCs w:val="23"/>
        </w:rPr>
        <w:t>成立时间：1984年1月1日</w:t>
      </w:r>
    </w:p>
    <w:p w:rsidR="00476F7A" w:rsidRDefault="00E84586">
      <w:pPr>
        <w:widowControl/>
        <w:adjustRightInd w:val="0"/>
        <w:snapToGrid w:val="0"/>
        <w:spacing w:line="312" w:lineRule="auto"/>
        <w:ind w:firstLine="480"/>
        <w:rPr>
          <w:rFonts w:ascii="宋体" w:hAnsi="宋体"/>
          <w:color w:val="000000"/>
          <w:kern w:val="0"/>
          <w:sz w:val="23"/>
          <w:szCs w:val="23"/>
        </w:rPr>
      </w:pPr>
      <w:r>
        <w:rPr>
          <w:rFonts w:ascii="宋体" w:hAnsi="宋体" w:hint="eastAsia"/>
          <w:color w:val="000000"/>
          <w:kern w:val="0"/>
          <w:sz w:val="23"/>
          <w:szCs w:val="23"/>
        </w:rPr>
        <w:t>注册资本：人民币35,640,625.7089万元</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（三）销售机构</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numPr>
          <w:ilvl w:val="0"/>
          <w:numId w:val="5"/>
        </w:numPr>
        <w:adjustRightInd w:val="0"/>
        <w:snapToGrid w:val="0"/>
        <w:spacing w:line="312" w:lineRule="auto"/>
        <w:rPr>
          <w:rFonts w:ascii="宋体" w:hAnsi="宋体" w:cs="Arial"/>
          <w:sz w:val="23"/>
          <w:szCs w:val="23"/>
        </w:rPr>
      </w:pPr>
      <w:r>
        <w:rPr>
          <w:rFonts w:ascii="宋体" w:hAnsi="宋体" w:cs="Arial"/>
          <w:sz w:val="23"/>
          <w:szCs w:val="23"/>
        </w:rPr>
        <w:t>直销机构</w:t>
      </w:r>
    </w:p>
    <w:p w:rsidR="00476F7A" w:rsidRDefault="00476F7A">
      <w:pPr>
        <w:adjustRightInd w:val="0"/>
        <w:snapToGrid w:val="0"/>
        <w:spacing w:line="312" w:lineRule="auto"/>
        <w:ind w:left="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路博迈基金管理（中国）有限公司</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住所：</w:t>
      </w:r>
      <w:r>
        <w:rPr>
          <w:rFonts w:ascii="宋体" w:hAnsi="宋体" w:cs="Arial" w:hint="eastAsia"/>
          <w:sz w:val="23"/>
          <w:szCs w:val="23"/>
        </w:rPr>
        <w:t>中国（上海）自由贸易试验区世纪大道88号30层11单元</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办公地址：</w:t>
      </w:r>
      <w:r>
        <w:rPr>
          <w:rFonts w:ascii="宋体" w:hAnsi="宋体" w:cs="Arial" w:hint="eastAsia"/>
          <w:sz w:val="23"/>
          <w:szCs w:val="23"/>
        </w:rPr>
        <w:t>中国上海市静安区石门一路288号香港兴业中心2座705-7</w:t>
      </w:r>
      <w:r>
        <w:rPr>
          <w:rFonts w:ascii="宋体" w:hAnsi="宋体" w:cs="Arial"/>
          <w:sz w:val="23"/>
          <w:szCs w:val="23"/>
        </w:rPr>
        <w:t>10</w:t>
      </w:r>
      <w:r>
        <w:rPr>
          <w:rFonts w:ascii="宋体" w:hAnsi="宋体" w:cs="Arial" w:hint="eastAsia"/>
          <w:sz w:val="23"/>
          <w:szCs w:val="23"/>
        </w:rPr>
        <w:t>室</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法定代表人：阎小庆</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成立日期：2021年</w:t>
      </w:r>
      <w:r>
        <w:rPr>
          <w:rFonts w:ascii="宋体" w:hAnsi="宋体" w:cs="Arial" w:hint="eastAsia"/>
          <w:sz w:val="23"/>
          <w:szCs w:val="23"/>
        </w:rPr>
        <w:t>7</w:t>
      </w:r>
      <w:r>
        <w:rPr>
          <w:rFonts w:ascii="宋体" w:hAnsi="宋体" w:cs="Arial"/>
          <w:sz w:val="23"/>
          <w:szCs w:val="23"/>
        </w:rPr>
        <w:t>月</w:t>
      </w:r>
      <w:r>
        <w:rPr>
          <w:rFonts w:ascii="宋体" w:hAnsi="宋体" w:cs="Arial" w:hint="eastAsia"/>
          <w:sz w:val="23"/>
          <w:szCs w:val="23"/>
        </w:rPr>
        <w:t>2</w:t>
      </w:r>
      <w:r>
        <w:rPr>
          <w:rFonts w:ascii="宋体" w:hAnsi="宋体" w:cs="Arial"/>
          <w:sz w:val="23"/>
          <w:szCs w:val="23"/>
        </w:rPr>
        <w:t>2日</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直销网点：</w:t>
      </w:r>
      <w:r>
        <w:rPr>
          <w:rFonts w:ascii="宋体" w:hAnsi="宋体" w:cs="Arial" w:hint="eastAsia"/>
          <w:sz w:val="23"/>
          <w:szCs w:val="23"/>
        </w:rPr>
        <w:t>直销中心</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直销中心地址：</w:t>
      </w:r>
      <w:r>
        <w:rPr>
          <w:rFonts w:ascii="宋体" w:hAnsi="宋体" w:cs="Arial" w:hint="eastAsia"/>
          <w:sz w:val="23"/>
          <w:szCs w:val="23"/>
        </w:rPr>
        <w:t>中国上海市静安区石门一路288号香港兴业中心2座705-7</w:t>
      </w:r>
      <w:r>
        <w:rPr>
          <w:rFonts w:ascii="宋体" w:hAnsi="宋体" w:cs="Arial"/>
          <w:sz w:val="23"/>
          <w:szCs w:val="23"/>
        </w:rPr>
        <w:t>10</w:t>
      </w:r>
      <w:r>
        <w:rPr>
          <w:rFonts w:ascii="宋体" w:hAnsi="宋体" w:cs="Arial" w:hint="eastAsia"/>
          <w:sz w:val="23"/>
          <w:szCs w:val="23"/>
        </w:rPr>
        <w:t>室</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客户服务统一咨询电话：400-875-5888</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公司网站：www.nbchina.com</w:t>
      </w:r>
    </w:p>
    <w:p w:rsidR="00476F7A" w:rsidRDefault="00E84586" w:rsidP="002C55FB">
      <w:pPr>
        <w:adjustRightInd w:val="0"/>
        <w:snapToGrid w:val="0"/>
        <w:spacing w:beforeLines="50" w:line="312" w:lineRule="auto"/>
        <w:ind w:firstLineChars="200" w:firstLine="460"/>
        <w:rPr>
          <w:rFonts w:ascii="宋体" w:hAnsi="宋体" w:cs="Arial"/>
          <w:sz w:val="23"/>
          <w:szCs w:val="23"/>
        </w:rPr>
        <w:pPrChange w:id="21" w:author="ZHONGM" w:date="2025-11-28T00:03:00Z">
          <w:pPr>
            <w:adjustRightInd w:val="0"/>
            <w:snapToGrid w:val="0"/>
            <w:spacing w:beforeLines="50" w:line="312" w:lineRule="auto"/>
            <w:ind w:firstLineChars="200" w:firstLine="460"/>
          </w:pPr>
        </w:pPrChange>
      </w:pPr>
      <w:r>
        <w:rPr>
          <w:rFonts w:ascii="宋体" w:hAnsi="宋体" w:cs="Arial" w:hint="eastAsia"/>
          <w:sz w:val="23"/>
          <w:szCs w:val="23"/>
        </w:rPr>
        <w:t>基金管理人暂未开通网上交易，投资者可通过基金管理人指定的销售机构或至基金管理人的直销网点购买本基金。除技术条件允许且经基金管理人认可外，基金管理人的直销柜台交易仅接受机构投资者。</w:t>
      </w:r>
    </w:p>
    <w:p w:rsidR="00476F7A" w:rsidRDefault="00476F7A" w:rsidP="002C55FB">
      <w:pPr>
        <w:adjustRightInd w:val="0"/>
        <w:snapToGrid w:val="0"/>
        <w:spacing w:beforeLines="50" w:line="312" w:lineRule="auto"/>
        <w:ind w:firstLineChars="200" w:firstLine="460"/>
        <w:rPr>
          <w:rFonts w:ascii="宋体" w:hAnsi="宋体" w:cs="Arial"/>
          <w:sz w:val="23"/>
          <w:szCs w:val="23"/>
        </w:rPr>
        <w:pPrChange w:id="22" w:author="ZHONGM" w:date="2025-11-28T00:03:00Z">
          <w:pPr>
            <w:adjustRightInd w:val="0"/>
            <w:snapToGrid w:val="0"/>
            <w:spacing w:beforeLines="50" w:line="312" w:lineRule="auto"/>
            <w:ind w:firstLineChars="200" w:firstLine="460"/>
          </w:pPr>
        </w:pPrChange>
      </w:pPr>
    </w:p>
    <w:p w:rsidR="00476F7A" w:rsidRDefault="00E84586">
      <w:pPr>
        <w:numPr>
          <w:ilvl w:val="0"/>
          <w:numId w:val="5"/>
        </w:numPr>
        <w:adjustRightInd w:val="0"/>
        <w:snapToGrid w:val="0"/>
        <w:spacing w:line="312" w:lineRule="auto"/>
        <w:rPr>
          <w:rFonts w:ascii="宋体" w:hAnsi="宋体" w:cs="Arial"/>
          <w:color w:val="000000"/>
          <w:kern w:val="0"/>
          <w:sz w:val="23"/>
          <w:szCs w:val="23"/>
        </w:rPr>
      </w:pPr>
      <w:r>
        <w:rPr>
          <w:rFonts w:ascii="宋体" w:hAnsi="宋体" w:cs="Arial"/>
          <w:color w:val="000000"/>
          <w:kern w:val="0"/>
          <w:sz w:val="23"/>
          <w:szCs w:val="23"/>
        </w:rPr>
        <w:t>其他销售机构</w:t>
      </w:r>
    </w:p>
    <w:p w:rsidR="00476F7A" w:rsidRDefault="00476F7A">
      <w:pPr>
        <w:adjustRightInd w:val="0"/>
        <w:snapToGrid w:val="0"/>
        <w:spacing w:line="312" w:lineRule="auto"/>
        <w:rPr>
          <w:rFonts w:ascii="宋体" w:hAnsi="宋体" w:cs="Arial"/>
          <w:color w:val="000000"/>
          <w:kern w:val="0"/>
          <w:sz w:val="23"/>
          <w:szCs w:val="23"/>
        </w:rPr>
      </w:pPr>
    </w:p>
    <w:p w:rsidR="00476F7A" w:rsidRDefault="00E84586">
      <w:pPr>
        <w:adjustRightInd w:val="0"/>
        <w:snapToGrid w:val="0"/>
        <w:spacing w:line="312" w:lineRule="auto"/>
        <w:ind w:firstLineChars="200" w:firstLine="460"/>
        <w:rPr>
          <w:rFonts w:ascii="宋体" w:hAnsi="宋体" w:cs="Arial"/>
          <w:color w:val="000000"/>
          <w:kern w:val="0"/>
          <w:sz w:val="23"/>
          <w:szCs w:val="23"/>
        </w:rPr>
      </w:pPr>
      <w:r>
        <w:rPr>
          <w:rFonts w:ascii="宋体" w:hAnsi="宋体" w:cs="Arial" w:hint="eastAsia"/>
          <w:color w:val="000000"/>
          <w:kern w:val="0"/>
          <w:sz w:val="23"/>
          <w:szCs w:val="23"/>
        </w:rPr>
        <w:t>本基金销售机构名单及联系方式详见管理人网站</w:t>
      </w:r>
      <w:r>
        <w:rPr>
          <w:rFonts w:ascii="宋体" w:hAnsi="宋体" w:cs="Arial" w:hint="eastAsia"/>
          <w:sz w:val="23"/>
          <w:szCs w:val="23"/>
        </w:rPr>
        <w:t>（www.nbchina.com）</w:t>
      </w:r>
      <w:r>
        <w:rPr>
          <w:rFonts w:ascii="宋体" w:hAnsi="宋体" w:cs="Arial" w:hint="eastAsia"/>
          <w:color w:val="000000"/>
          <w:kern w:val="0"/>
          <w:sz w:val="23"/>
          <w:szCs w:val="23"/>
        </w:rPr>
        <w:t>,</w:t>
      </w:r>
      <w:r>
        <w:rPr>
          <w:rFonts w:ascii="宋体" w:hAnsi="宋体" w:cs="Arial"/>
          <w:color w:val="000000"/>
          <w:kern w:val="0"/>
          <w:sz w:val="23"/>
          <w:szCs w:val="23"/>
        </w:rPr>
        <w:t>基金管理人可根据《中华人民共和国证券投资基金法》、《公开募集证券投资基金运作管理办法》、《公开募集证券投资基金销售机构监督管理办法》和《基金合同》等的规定，选择其他符合要求的机构销售本基金，并在基金管理人网站</w:t>
      </w:r>
      <w:r>
        <w:rPr>
          <w:rFonts w:ascii="宋体" w:hAnsi="宋体" w:cs="Arial" w:hint="eastAsia"/>
          <w:sz w:val="23"/>
          <w:szCs w:val="23"/>
        </w:rPr>
        <w:t>（www.nbchina.com）</w:t>
      </w:r>
      <w:r>
        <w:rPr>
          <w:rFonts w:ascii="宋体" w:hAnsi="宋体" w:cs="Arial"/>
          <w:color w:val="000000"/>
          <w:kern w:val="0"/>
          <w:sz w:val="23"/>
          <w:szCs w:val="23"/>
        </w:rPr>
        <w:t>公示。</w:t>
      </w:r>
    </w:p>
    <w:p w:rsidR="00476F7A" w:rsidRDefault="00476F7A">
      <w:pPr>
        <w:adjustRightInd w:val="0"/>
        <w:snapToGrid w:val="0"/>
        <w:spacing w:line="312" w:lineRule="auto"/>
        <w:ind w:firstLineChars="200" w:firstLine="460"/>
        <w:rPr>
          <w:rFonts w:ascii="宋体" w:hAnsi="宋体" w:cs="Arial"/>
          <w:color w:val="000000"/>
          <w:kern w:val="0"/>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（四）登记机构</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名称：</w:t>
      </w:r>
      <w:r>
        <w:rPr>
          <w:rFonts w:ascii="宋体" w:hAnsi="宋体" w:cs="Arial"/>
          <w:kern w:val="0"/>
          <w:sz w:val="23"/>
          <w:szCs w:val="23"/>
        </w:rPr>
        <w:t>路博迈基金管理（中国）有限公司</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住所：</w:t>
      </w:r>
      <w:r>
        <w:rPr>
          <w:rFonts w:ascii="宋体" w:hAnsi="宋体" w:cs="Arial" w:hint="eastAsia"/>
          <w:kern w:val="0"/>
          <w:sz w:val="23"/>
          <w:szCs w:val="23"/>
        </w:rPr>
        <w:t>中国（上海）自由贸易试验区世纪大道88号30层11单元</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办公地址：</w:t>
      </w:r>
      <w:r>
        <w:rPr>
          <w:rFonts w:ascii="宋体" w:hAnsi="宋体" w:cs="Arial" w:hint="eastAsia"/>
          <w:kern w:val="0"/>
          <w:sz w:val="23"/>
          <w:szCs w:val="23"/>
        </w:rPr>
        <w:t>中国上海市静安区石门一路288号香港兴业中心2座705-7</w:t>
      </w:r>
      <w:r>
        <w:rPr>
          <w:rFonts w:ascii="宋体" w:hAnsi="宋体" w:cs="Arial"/>
          <w:kern w:val="0"/>
          <w:sz w:val="23"/>
          <w:szCs w:val="23"/>
        </w:rPr>
        <w:t>10</w:t>
      </w:r>
      <w:r>
        <w:rPr>
          <w:rFonts w:ascii="宋体" w:hAnsi="宋体" w:cs="Arial" w:hint="eastAsia"/>
          <w:kern w:val="0"/>
          <w:sz w:val="23"/>
          <w:szCs w:val="23"/>
        </w:rPr>
        <w:t>室</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法定代表人：</w:t>
      </w:r>
      <w:r>
        <w:rPr>
          <w:rFonts w:ascii="宋体" w:hAnsi="宋体" w:cs="Arial"/>
          <w:kern w:val="0"/>
          <w:sz w:val="23"/>
          <w:szCs w:val="23"/>
        </w:rPr>
        <w:t>阎小庆</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成立日期：</w:t>
      </w:r>
      <w:r>
        <w:rPr>
          <w:rFonts w:ascii="宋体" w:hAnsi="宋体" w:cs="Arial" w:hint="eastAsia"/>
          <w:kern w:val="0"/>
          <w:sz w:val="23"/>
          <w:szCs w:val="23"/>
        </w:rPr>
        <w:t>2</w:t>
      </w:r>
      <w:r>
        <w:rPr>
          <w:rFonts w:ascii="宋体" w:hAnsi="宋体" w:cs="Arial"/>
          <w:kern w:val="0"/>
          <w:sz w:val="23"/>
          <w:szCs w:val="23"/>
        </w:rPr>
        <w:t>021年</w:t>
      </w:r>
      <w:r>
        <w:rPr>
          <w:rFonts w:ascii="宋体" w:hAnsi="宋体" w:cs="Arial" w:hint="eastAsia"/>
          <w:kern w:val="0"/>
          <w:sz w:val="23"/>
          <w:szCs w:val="23"/>
        </w:rPr>
        <w:t>7</w:t>
      </w:r>
      <w:r>
        <w:rPr>
          <w:rFonts w:ascii="宋体" w:hAnsi="宋体" w:cs="Arial"/>
          <w:kern w:val="0"/>
          <w:sz w:val="23"/>
          <w:szCs w:val="23"/>
        </w:rPr>
        <w:t>月</w:t>
      </w:r>
      <w:r>
        <w:rPr>
          <w:rFonts w:ascii="宋体" w:hAnsi="宋体" w:cs="Arial" w:hint="eastAsia"/>
          <w:kern w:val="0"/>
          <w:sz w:val="23"/>
          <w:szCs w:val="23"/>
        </w:rPr>
        <w:t>2</w:t>
      </w:r>
      <w:r>
        <w:rPr>
          <w:rFonts w:ascii="宋体" w:hAnsi="宋体" w:cs="Arial"/>
          <w:kern w:val="0"/>
          <w:sz w:val="23"/>
          <w:szCs w:val="23"/>
        </w:rPr>
        <w:t>2日</w:t>
      </w:r>
    </w:p>
    <w:p w:rsidR="00476F7A" w:rsidRDefault="00E84586">
      <w:pPr>
        <w:adjustRightInd w:val="0"/>
        <w:snapToGrid w:val="0"/>
        <w:spacing w:line="312" w:lineRule="auto"/>
        <w:ind w:firstLineChars="200" w:firstLine="460"/>
        <w:rPr>
          <w:rFonts w:ascii="宋体" w:hAnsi="宋体" w:cs="Arial"/>
          <w:kern w:val="0"/>
          <w:sz w:val="23"/>
          <w:szCs w:val="23"/>
        </w:rPr>
      </w:pPr>
      <w:r>
        <w:rPr>
          <w:rFonts w:ascii="宋体" w:hAnsi="宋体" w:cs="Arial"/>
          <w:sz w:val="23"/>
          <w:szCs w:val="23"/>
        </w:rPr>
        <w:t>联系电话：</w:t>
      </w:r>
      <w:r>
        <w:rPr>
          <w:rFonts w:ascii="宋体" w:hAnsi="宋体" w:cs="Arial" w:hint="eastAsia"/>
          <w:kern w:val="0"/>
          <w:sz w:val="23"/>
          <w:szCs w:val="23"/>
        </w:rPr>
        <w:t>4</w:t>
      </w:r>
      <w:r>
        <w:rPr>
          <w:rFonts w:ascii="宋体" w:hAnsi="宋体" w:cs="Arial"/>
          <w:kern w:val="0"/>
          <w:sz w:val="23"/>
          <w:szCs w:val="23"/>
        </w:rPr>
        <w:t>00</w:t>
      </w:r>
      <w:r>
        <w:rPr>
          <w:rFonts w:ascii="宋体" w:hAnsi="宋体" w:cs="Arial" w:hint="eastAsia"/>
          <w:kern w:val="0"/>
          <w:sz w:val="23"/>
          <w:szCs w:val="23"/>
        </w:rPr>
        <w:t>-</w:t>
      </w:r>
      <w:r>
        <w:rPr>
          <w:rFonts w:ascii="宋体" w:hAnsi="宋体" w:cs="Arial"/>
          <w:kern w:val="0"/>
          <w:sz w:val="23"/>
          <w:szCs w:val="23"/>
        </w:rPr>
        <w:t>875</w:t>
      </w:r>
      <w:r>
        <w:rPr>
          <w:rFonts w:ascii="宋体" w:hAnsi="宋体" w:cs="Arial" w:hint="eastAsia"/>
          <w:kern w:val="0"/>
          <w:sz w:val="23"/>
          <w:szCs w:val="23"/>
        </w:rPr>
        <w:t>-</w:t>
      </w:r>
      <w:r>
        <w:rPr>
          <w:rFonts w:ascii="宋体" w:hAnsi="宋体" w:cs="Arial"/>
          <w:kern w:val="0"/>
          <w:sz w:val="23"/>
          <w:szCs w:val="23"/>
        </w:rPr>
        <w:t>5888</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（五）基金服务机构</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名称：国泰海通证券股份有限公司</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住所：中国（上海）自由贸易试验区商城路618号</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办公地址：上海市静安区新闸路669号19楼</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法定代表人：朱健</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成立日期：1999年8月18日</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联系人：丛艳</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联系电话：</w:t>
      </w:r>
      <w:r>
        <w:rPr>
          <w:rFonts w:ascii="宋体" w:hAnsi="宋体" w:cs="Arial"/>
          <w:sz w:val="23"/>
          <w:szCs w:val="23"/>
        </w:rPr>
        <w:t>021-</w:t>
      </w:r>
      <w:r w:rsidRPr="00E84586">
        <w:rPr>
          <w:rFonts w:ascii="宋体" w:hAnsi="宋体" w:cs="Arial"/>
          <w:sz w:val="23"/>
          <w:szCs w:val="23"/>
        </w:rPr>
        <w:t>38677336</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w:t>
      </w:r>
      <w:r>
        <w:rPr>
          <w:rFonts w:ascii="宋体" w:hAnsi="宋体" w:cs="Arial" w:hint="eastAsia"/>
          <w:sz w:val="23"/>
          <w:szCs w:val="23"/>
        </w:rPr>
        <w:t>六</w:t>
      </w:r>
      <w:r>
        <w:rPr>
          <w:rFonts w:ascii="宋体" w:hAnsi="宋体" w:cs="Arial"/>
          <w:sz w:val="23"/>
          <w:szCs w:val="23"/>
        </w:rPr>
        <w:t>）出具法律意见书的律师事务所</w:t>
      </w:r>
    </w:p>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名称：上海市通力律师事务所</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住所：上海市银城中路68号时代金融中心19楼</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办公地址：上海市银城中路68号时代金融中心19楼</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负责人：韩炯</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电话：（021）3135 8666</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传真：（021）3135 8600</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联系人：陈颖华</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经办律师：吕红、陈颖华</w:t>
      </w:r>
    </w:p>
    <w:p w:rsidR="00476F7A" w:rsidRDefault="00476F7A" w:rsidP="002C55FB">
      <w:pPr>
        <w:adjustRightInd w:val="0"/>
        <w:snapToGrid w:val="0"/>
        <w:spacing w:beforeLines="50" w:line="312" w:lineRule="auto"/>
        <w:ind w:firstLineChars="200" w:firstLine="460"/>
        <w:rPr>
          <w:rFonts w:ascii="宋体" w:hAnsi="宋体" w:cs="Arial"/>
          <w:sz w:val="23"/>
          <w:szCs w:val="23"/>
        </w:rPr>
        <w:pPrChange w:id="23" w:author="ZHONGM" w:date="2025-11-28T00:03:00Z">
          <w:pPr>
            <w:adjustRightInd w:val="0"/>
            <w:snapToGrid w:val="0"/>
            <w:spacing w:beforeLines="50" w:line="312" w:lineRule="auto"/>
            <w:ind w:firstLineChars="200" w:firstLine="460"/>
          </w:pPr>
        </w:pPrChange>
      </w:pPr>
    </w:p>
    <w:p w:rsidR="00476F7A" w:rsidRDefault="00E84586" w:rsidP="002C55FB">
      <w:pPr>
        <w:adjustRightInd w:val="0"/>
        <w:snapToGrid w:val="0"/>
        <w:spacing w:beforeLines="50" w:line="312" w:lineRule="auto"/>
        <w:ind w:firstLineChars="200" w:firstLine="460"/>
        <w:rPr>
          <w:rFonts w:ascii="宋体" w:hAnsi="宋体" w:cs="Arial"/>
          <w:sz w:val="23"/>
          <w:szCs w:val="23"/>
        </w:rPr>
        <w:pPrChange w:id="24" w:author="ZHONGM" w:date="2025-11-28T00:03:00Z">
          <w:pPr>
            <w:adjustRightInd w:val="0"/>
            <w:snapToGrid w:val="0"/>
            <w:spacing w:beforeLines="50" w:line="312" w:lineRule="auto"/>
            <w:ind w:firstLineChars="200" w:firstLine="460"/>
          </w:pPr>
        </w:pPrChange>
      </w:pPr>
      <w:r>
        <w:rPr>
          <w:rFonts w:ascii="宋体" w:hAnsi="宋体" w:cs="Arial"/>
          <w:sz w:val="23"/>
          <w:szCs w:val="23"/>
        </w:rPr>
        <w:t>（</w:t>
      </w:r>
      <w:r>
        <w:rPr>
          <w:rFonts w:ascii="宋体" w:hAnsi="宋体" w:cs="Arial" w:hint="eastAsia"/>
          <w:sz w:val="23"/>
          <w:szCs w:val="23"/>
        </w:rPr>
        <w:t>七</w:t>
      </w:r>
      <w:r>
        <w:rPr>
          <w:rFonts w:ascii="宋体" w:hAnsi="宋体" w:cs="Arial"/>
          <w:sz w:val="23"/>
          <w:szCs w:val="23"/>
        </w:rPr>
        <w:t>）审计基金财产的会计师事务所及经办注册会计师</w:t>
      </w:r>
    </w:p>
    <w:bookmarkEnd w:id="19"/>
    <w:p w:rsidR="00476F7A" w:rsidRDefault="00476F7A">
      <w:pPr>
        <w:adjustRightInd w:val="0"/>
        <w:snapToGrid w:val="0"/>
        <w:spacing w:line="312" w:lineRule="auto"/>
        <w:ind w:firstLineChars="200" w:firstLine="460"/>
        <w:rPr>
          <w:rFonts w:ascii="宋体" w:hAnsi="宋体" w:cs="Arial"/>
          <w:sz w:val="23"/>
          <w:szCs w:val="23"/>
        </w:rPr>
      </w:pP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名称：</w:t>
      </w:r>
      <w:r>
        <w:rPr>
          <w:rFonts w:ascii="宋体" w:hAnsi="宋体" w:cs="Arial" w:hint="eastAsia"/>
          <w:sz w:val="23"/>
          <w:szCs w:val="23"/>
        </w:rPr>
        <w:t>毕马威华振会计师事务所(特殊普通合伙)</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注册地址：</w:t>
      </w:r>
      <w:r>
        <w:rPr>
          <w:rFonts w:ascii="宋体" w:hAnsi="宋体" w:cs="Arial" w:hint="eastAsia"/>
          <w:sz w:val="23"/>
          <w:szCs w:val="23"/>
        </w:rPr>
        <w:t>中国</w:t>
      </w:r>
      <w:r>
        <w:rPr>
          <w:rFonts w:ascii="宋体" w:hAnsi="宋体" w:cs="Arial"/>
          <w:sz w:val="23"/>
          <w:szCs w:val="23"/>
        </w:rPr>
        <w:t>北京市东城区东长安街1号东方广场毕马威大楼8</w:t>
      </w:r>
      <w:r>
        <w:rPr>
          <w:rFonts w:ascii="宋体" w:hAnsi="宋体" w:cs="Arial" w:hint="eastAsia"/>
          <w:sz w:val="23"/>
          <w:szCs w:val="23"/>
        </w:rPr>
        <w:t>楼</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办公地址：</w:t>
      </w:r>
      <w:r>
        <w:rPr>
          <w:rFonts w:ascii="宋体" w:hAnsi="宋体" w:cs="Arial" w:hint="eastAsia"/>
          <w:sz w:val="23"/>
          <w:szCs w:val="23"/>
        </w:rPr>
        <w:t>中国上海市静安区中国工商西路1266号恒隆广场二期写字楼25楼</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hint="eastAsia"/>
          <w:sz w:val="23"/>
          <w:szCs w:val="23"/>
        </w:rPr>
        <w:t>合伙事务执行人：邹俊</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经办注册会计师：</w:t>
      </w:r>
      <w:bookmarkStart w:id="25" w:name="_Ref311709492"/>
      <w:r>
        <w:rPr>
          <w:rFonts w:ascii="宋体" w:hAnsi="宋体" w:cs="Arial" w:hint="eastAsia"/>
          <w:sz w:val="23"/>
          <w:szCs w:val="23"/>
        </w:rPr>
        <w:t>王国蓓</w:t>
      </w:r>
      <w:bookmarkEnd w:id="25"/>
      <w:r>
        <w:rPr>
          <w:rFonts w:ascii="宋体" w:hAnsi="宋体" w:cs="Arial" w:hint="eastAsia"/>
          <w:sz w:val="23"/>
          <w:szCs w:val="23"/>
        </w:rPr>
        <w:t>、欧梦溦</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电话：021-2212 2888</w:t>
      </w:r>
    </w:p>
    <w:p w:rsidR="00476F7A" w:rsidRDefault="00E84586">
      <w:pPr>
        <w:adjustRightInd w:val="0"/>
        <w:snapToGrid w:val="0"/>
        <w:spacing w:line="312" w:lineRule="auto"/>
        <w:ind w:firstLineChars="200" w:firstLine="460"/>
        <w:rPr>
          <w:rFonts w:ascii="宋体" w:hAnsi="宋体" w:cs="Arial"/>
          <w:sz w:val="23"/>
          <w:szCs w:val="23"/>
        </w:rPr>
      </w:pPr>
      <w:r>
        <w:rPr>
          <w:rFonts w:ascii="宋体" w:hAnsi="宋体" w:cs="Arial"/>
          <w:sz w:val="23"/>
          <w:szCs w:val="23"/>
        </w:rPr>
        <w:t>联系人：</w:t>
      </w:r>
      <w:r>
        <w:rPr>
          <w:rFonts w:ascii="宋体" w:hAnsi="宋体" w:cs="Arial" w:hint="eastAsia"/>
          <w:sz w:val="23"/>
          <w:szCs w:val="23"/>
        </w:rPr>
        <w:t>欧梦溦</w:t>
      </w:r>
    </w:p>
    <w:p w:rsidR="00476F7A" w:rsidRDefault="00476F7A">
      <w:pPr>
        <w:adjustRightInd w:val="0"/>
        <w:snapToGrid w:val="0"/>
        <w:spacing w:line="312" w:lineRule="auto"/>
        <w:rPr>
          <w:rFonts w:ascii="宋体" w:hAnsi="宋体" w:cs="Arial"/>
          <w:bCs/>
          <w:sz w:val="23"/>
          <w:szCs w:val="23"/>
        </w:rPr>
      </w:pPr>
    </w:p>
    <w:p w:rsidR="00476F7A" w:rsidRDefault="00476F7A">
      <w:pPr>
        <w:adjustRightInd w:val="0"/>
        <w:snapToGrid w:val="0"/>
        <w:spacing w:line="312" w:lineRule="auto"/>
        <w:rPr>
          <w:rFonts w:ascii="宋体" w:hAnsi="宋体" w:cs="Arial"/>
          <w:bCs/>
          <w:sz w:val="23"/>
          <w:szCs w:val="23"/>
        </w:rPr>
      </w:pPr>
    </w:p>
    <w:p w:rsidR="00476F7A" w:rsidRDefault="00476F7A">
      <w:pPr>
        <w:adjustRightInd w:val="0"/>
        <w:snapToGrid w:val="0"/>
        <w:spacing w:line="312" w:lineRule="auto"/>
        <w:rPr>
          <w:rFonts w:ascii="宋体" w:hAnsi="宋体" w:cs="Arial"/>
          <w:bCs/>
          <w:sz w:val="23"/>
          <w:szCs w:val="23"/>
        </w:rPr>
      </w:pPr>
    </w:p>
    <w:p w:rsidR="00476F7A" w:rsidRDefault="00476F7A">
      <w:pPr>
        <w:adjustRightInd w:val="0"/>
        <w:snapToGrid w:val="0"/>
        <w:spacing w:line="312" w:lineRule="auto"/>
        <w:ind w:firstLineChars="200" w:firstLine="460"/>
        <w:jc w:val="right"/>
        <w:rPr>
          <w:rFonts w:ascii="宋体" w:hAnsi="宋体" w:cs="Arial"/>
          <w:sz w:val="23"/>
          <w:szCs w:val="23"/>
        </w:rPr>
      </w:pPr>
    </w:p>
    <w:p w:rsidR="00476F7A" w:rsidRDefault="00476F7A">
      <w:pPr>
        <w:adjustRightInd w:val="0"/>
        <w:snapToGrid w:val="0"/>
        <w:spacing w:line="312" w:lineRule="auto"/>
        <w:ind w:firstLineChars="200" w:firstLine="460"/>
        <w:jc w:val="right"/>
        <w:rPr>
          <w:rFonts w:ascii="宋体" w:hAnsi="宋体" w:cs="Arial"/>
          <w:sz w:val="23"/>
          <w:szCs w:val="23"/>
        </w:rPr>
      </w:pPr>
    </w:p>
    <w:p w:rsidR="00476F7A" w:rsidRDefault="00E84586">
      <w:pPr>
        <w:adjustRightInd w:val="0"/>
        <w:snapToGrid w:val="0"/>
        <w:spacing w:line="312" w:lineRule="auto"/>
        <w:ind w:firstLineChars="200" w:firstLine="460"/>
        <w:jc w:val="right"/>
        <w:rPr>
          <w:rFonts w:ascii="宋体" w:hAnsi="宋体" w:cs="Arial"/>
          <w:sz w:val="23"/>
          <w:szCs w:val="23"/>
        </w:rPr>
      </w:pPr>
      <w:r>
        <w:rPr>
          <w:rFonts w:ascii="宋体" w:hAnsi="宋体" w:cs="Arial"/>
          <w:sz w:val="23"/>
          <w:szCs w:val="23"/>
        </w:rPr>
        <w:t>路博迈基金管理（中国）有限公司</w:t>
      </w:r>
    </w:p>
    <w:p w:rsidR="00476F7A" w:rsidRDefault="00E84586">
      <w:pPr>
        <w:adjustRightInd w:val="0"/>
        <w:snapToGrid w:val="0"/>
        <w:spacing w:line="312" w:lineRule="auto"/>
        <w:ind w:right="690" w:firstLineChars="200" w:firstLine="460"/>
        <w:jc w:val="right"/>
        <w:rPr>
          <w:rFonts w:ascii="宋体" w:hAnsi="宋体" w:cs="Arial"/>
          <w:sz w:val="23"/>
          <w:szCs w:val="23"/>
        </w:rPr>
      </w:pPr>
      <w:r>
        <w:rPr>
          <w:rFonts w:ascii="宋体" w:hAnsi="宋体"/>
          <w:sz w:val="23"/>
          <w:szCs w:val="23"/>
        </w:rPr>
        <w:t>2025</w:t>
      </w:r>
      <w:r>
        <w:rPr>
          <w:rFonts w:ascii="宋体" w:hAnsi="宋体" w:cs="Arial"/>
          <w:sz w:val="23"/>
          <w:szCs w:val="23"/>
        </w:rPr>
        <w:t>年</w:t>
      </w:r>
      <w:r>
        <w:rPr>
          <w:rFonts w:ascii="宋体" w:hAnsi="宋体"/>
          <w:sz w:val="23"/>
          <w:szCs w:val="23"/>
        </w:rPr>
        <w:t>1</w:t>
      </w:r>
      <w:r>
        <w:rPr>
          <w:rFonts w:ascii="宋体" w:hAnsi="宋体" w:hint="eastAsia"/>
          <w:sz w:val="23"/>
          <w:szCs w:val="23"/>
        </w:rPr>
        <w:t>1</w:t>
      </w:r>
      <w:r>
        <w:rPr>
          <w:rFonts w:ascii="宋体" w:hAnsi="宋体" w:cs="Arial"/>
          <w:sz w:val="23"/>
          <w:szCs w:val="23"/>
        </w:rPr>
        <w:t>月</w:t>
      </w:r>
      <w:r>
        <w:rPr>
          <w:rFonts w:ascii="宋体" w:hAnsi="宋体" w:cs="Arial" w:hint="eastAsia"/>
          <w:sz w:val="23"/>
          <w:szCs w:val="23"/>
        </w:rPr>
        <w:t>2</w:t>
      </w:r>
      <w:r>
        <w:rPr>
          <w:rFonts w:ascii="宋体" w:hAnsi="宋体"/>
          <w:sz w:val="23"/>
          <w:szCs w:val="23"/>
        </w:rPr>
        <w:t>8</w:t>
      </w:r>
      <w:r>
        <w:rPr>
          <w:rFonts w:ascii="宋体" w:hAnsi="宋体" w:cs="Arial"/>
          <w:sz w:val="23"/>
          <w:szCs w:val="23"/>
        </w:rPr>
        <w:t>日</w:t>
      </w:r>
    </w:p>
    <w:p w:rsidR="00476F7A" w:rsidRDefault="00476F7A"/>
    <w:sectPr w:rsidR="00476F7A" w:rsidSect="009224A4">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A98" w:rsidRDefault="00E84586">
      <w:r>
        <w:separator/>
      </w:r>
    </w:p>
  </w:endnote>
  <w:endnote w:type="continuationSeparator" w:id="0">
    <w:p w:rsidR="00784A98" w:rsidRDefault="00E84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default"/>
    <w:sig w:usb0="00000000" w:usb1="00000000" w:usb2="00000000" w:usb3="00000000" w:csb0="00040000" w:csb1="00000000"/>
  </w:font>
  <w:font w:name="方正仿宋简体">
    <w:altName w:val="宋体"/>
    <w:charset w:val="00"/>
    <w:family w:val="auto"/>
    <w:pitch w:val="default"/>
    <w:sig w:usb0="00000000" w:usb1="00000000" w:usb2="00000000" w:usb3="00000000" w:csb0="00000000" w:csb1="00000000"/>
  </w:font>
  <w:font w:name="方正大标宋简体">
    <w:altName w:val="宋体"/>
    <w:charset w:val="86"/>
    <w:family w:val="auto"/>
    <w:pitch w:val="default"/>
    <w:sig w:usb0="00000000" w:usb1="00000000" w:usb2="00000000" w:usb3="00000000" w:csb0="00040000" w:csb1="00000000"/>
  </w:font>
  <w:font w:name="方正楷体简体">
    <w:altName w:val="汉仪楷体简"/>
    <w:charset w:val="86"/>
    <w:family w:val="auto"/>
    <w:pitch w:val="default"/>
    <w:sig w:usb0="00000000" w:usb1="00000000" w:usb2="00000000" w:usb3="00000000" w:csb0="00040000" w:csb1="00000000"/>
  </w:font>
  <w:font w:name="方正黑体简体">
    <w:altName w:val="黑体"/>
    <w:charset w:val="86"/>
    <w:family w:val="roma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7A" w:rsidRDefault="009224A4">
    <w:pPr>
      <w:pStyle w:val="ab"/>
      <w:jc w:val="center"/>
      <w:rPr>
        <w:rFonts w:ascii="宋体" w:hAnsi="宋体"/>
        <w:sz w:val="21"/>
      </w:rPr>
    </w:pPr>
    <w:r>
      <w:rPr>
        <w:rFonts w:ascii="宋体" w:hAnsi="宋体"/>
        <w:sz w:val="21"/>
      </w:rPr>
      <w:fldChar w:fldCharType="begin"/>
    </w:r>
    <w:r w:rsidR="00E84586">
      <w:rPr>
        <w:rFonts w:ascii="宋体" w:hAnsi="宋体"/>
        <w:sz w:val="21"/>
      </w:rPr>
      <w:instrText xml:space="preserve"> PAGE   \* MERGEFORMAT </w:instrText>
    </w:r>
    <w:r>
      <w:rPr>
        <w:rFonts w:ascii="宋体" w:hAnsi="宋体"/>
        <w:sz w:val="21"/>
      </w:rPr>
      <w:fldChar w:fldCharType="separate"/>
    </w:r>
    <w:r w:rsidR="00E84586">
      <w:rPr>
        <w:rFonts w:ascii="宋体" w:hAnsi="宋体"/>
        <w:sz w:val="21"/>
        <w:lang w:val="zh-CN"/>
      </w:rPr>
      <w:t>1</w:t>
    </w:r>
    <w:r>
      <w:rPr>
        <w:rFonts w:ascii="宋体" w:hAnsi="宋体"/>
        <w:sz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7A" w:rsidRDefault="00476F7A">
    <w:pPr>
      <w:pStyle w:val="ab"/>
      <w:jc w:val="center"/>
    </w:pPr>
  </w:p>
  <w:p w:rsidR="00476F7A" w:rsidRDefault="00476F7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7A" w:rsidRDefault="009224A4">
    <w:pPr>
      <w:pStyle w:val="ab"/>
      <w:jc w:val="center"/>
    </w:pPr>
    <w:r>
      <w:fldChar w:fldCharType="begin"/>
    </w:r>
    <w:r w:rsidR="00E84586">
      <w:instrText>PAGE   \* MERGEFORMAT</w:instrText>
    </w:r>
    <w:r>
      <w:fldChar w:fldCharType="separate"/>
    </w:r>
    <w:r w:rsidR="002C55FB" w:rsidRPr="002C55FB">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A98" w:rsidRDefault="00E84586">
      <w:r>
        <w:separator/>
      </w:r>
    </w:p>
  </w:footnote>
  <w:footnote w:type="continuationSeparator" w:id="0">
    <w:p w:rsidR="00784A98" w:rsidRDefault="00E84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7A" w:rsidRDefault="00476F7A">
    <w:pPr>
      <w:pStyle w:val="ac"/>
      <w:tabs>
        <w:tab w:val="clear" w:pos="8306"/>
        <w:tab w:val="right" w:pos="8222"/>
      </w:tabs>
      <w:ind w:right="84"/>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7A" w:rsidRDefault="00E84586">
    <w:pPr>
      <w:pStyle w:val="ac"/>
      <w:jc w:val="both"/>
      <w:rPr>
        <w:color w:val="000000"/>
      </w:rPr>
    </w:pPr>
    <w:r>
      <w:rPr>
        <w:rFonts w:hint="eastAsia"/>
        <w:color w:val="000000"/>
      </w:rPr>
      <w:t>路博迈港股通科技股票型证券投资基金</w:t>
    </w:r>
    <w:r>
      <w:rPr>
        <w:rFonts w:hint="eastAsia"/>
        <w:color w:val="000000"/>
      </w:rPr>
      <w:t xml:space="preserve"> </w:t>
    </w:r>
    <w:r>
      <w:tab/>
      <w:t xml:space="preserve">                                         </w:t>
    </w:r>
    <w:r>
      <w:rPr>
        <w:rFonts w:hint="eastAsia"/>
      </w:rPr>
      <w:t>基金份额</w:t>
    </w:r>
    <w:r>
      <w:t>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67BA"/>
    <w:multiLevelType w:val="multilevel"/>
    <w:tmpl w:val="2B4367BA"/>
    <w:lvl w:ilvl="0">
      <w:start w:val="1"/>
      <w:numFmt w:val="japaneseCounting"/>
      <w:lvlText w:val="（%1）"/>
      <w:lvlJc w:val="left"/>
      <w:pPr>
        <w:ind w:left="1180" w:hanging="720"/>
      </w:pPr>
      <w:rPr>
        <w:rFonts w:hint="default"/>
      </w:rPr>
    </w:lvl>
    <w:lvl w:ilvl="1">
      <w:start w:val="1"/>
      <w:numFmt w:val="lowerLetter"/>
      <w:lvlText w:val="%2)"/>
      <w:lvlJc w:val="left"/>
      <w:pPr>
        <w:ind w:left="1340" w:hanging="440"/>
      </w:pPr>
    </w:lvl>
    <w:lvl w:ilvl="2">
      <w:start w:val="1"/>
      <w:numFmt w:val="lowerRoman"/>
      <w:lvlText w:val="%3."/>
      <w:lvlJc w:val="right"/>
      <w:pPr>
        <w:ind w:left="1780" w:hanging="440"/>
      </w:pPr>
    </w:lvl>
    <w:lvl w:ilvl="3">
      <w:start w:val="1"/>
      <w:numFmt w:val="decimal"/>
      <w:lvlText w:val="%4."/>
      <w:lvlJc w:val="left"/>
      <w:pPr>
        <w:ind w:left="2220" w:hanging="440"/>
      </w:pPr>
    </w:lvl>
    <w:lvl w:ilvl="4">
      <w:start w:val="1"/>
      <w:numFmt w:val="lowerLetter"/>
      <w:lvlText w:val="%5)"/>
      <w:lvlJc w:val="left"/>
      <w:pPr>
        <w:ind w:left="2660" w:hanging="440"/>
      </w:pPr>
    </w:lvl>
    <w:lvl w:ilvl="5">
      <w:start w:val="1"/>
      <w:numFmt w:val="lowerRoman"/>
      <w:lvlText w:val="%6."/>
      <w:lvlJc w:val="right"/>
      <w:pPr>
        <w:ind w:left="3100" w:hanging="440"/>
      </w:pPr>
    </w:lvl>
    <w:lvl w:ilvl="6">
      <w:start w:val="1"/>
      <w:numFmt w:val="decimal"/>
      <w:lvlText w:val="%7."/>
      <w:lvlJc w:val="left"/>
      <w:pPr>
        <w:ind w:left="3540" w:hanging="440"/>
      </w:pPr>
    </w:lvl>
    <w:lvl w:ilvl="7">
      <w:start w:val="1"/>
      <w:numFmt w:val="lowerLetter"/>
      <w:lvlText w:val="%8)"/>
      <w:lvlJc w:val="left"/>
      <w:pPr>
        <w:ind w:left="3980" w:hanging="440"/>
      </w:pPr>
    </w:lvl>
    <w:lvl w:ilvl="8">
      <w:start w:val="1"/>
      <w:numFmt w:val="lowerRoman"/>
      <w:lvlText w:val="%9."/>
      <w:lvlJc w:val="right"/>
      <w:pPr>
        <w:ind w:left="4420" w:hanging="440"/>
      </w:pPr>
    </w:lvl>
  </w:abstractNum>
  <w:abstractNum w:abstractNumId="1">
    <w:nsid w:val="3DD72C1A"/>
    <w:multiLevelType w:val="multilevel"/>
    <w:tmpl w:val="3DD72C1A"/>
    <w:lvl w:ilvl="0">
      <w:start w:val="1"/>
      <w:numFmt w:val="decimal"/>
      <w:lvlText w:val="%1、"/>
      <w:lvlJc w:val="left"/>
      <w:pPr>
        <w:ind w:left="827" w:hanging="367"/>
      </w:pPr>
      <w:rPr>
        <w:rFonts w:hint="default"/>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2">
    <w:nsid w:val="56110D43"/>
    <w:multiLevelType w:val="multilevel"/>
    <w:tmpl w:val="56110D43"/>
    <w:lvl w:ilvl="0">
      <w:start w:val="1"/>
      <w:numFmt w:val="decimal"/>
      <w:lvlText w:val="%1、"/>
      <w:lvlJc w:val="left"/>
      <w:pPr>
        <w:ind w:left="820" w:hanging="360"/>
      </w:pPr>
      <w:rPr>
        <w:rFonts w:hint="default"/>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3">
    <w:nsid w:val="57826BC7"/>
    <w:multiLevelType w:val="multilevel"/>
    <w:tmpl w:val="57826BC7"/>
    <w:lvl w:ilvl="0">
      <w:start w:val="1"/>
      <w:numFmt w:val="chineseCountingThousand"/>
      <w:lvlText w:val="(%1)"/>
      <w:lvlJc w:val="left"/>
      <w:pPr>
        <w:ind w:left="880" w:hanging="420"/>
      </w:p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4">
    <w:nsid w:val="60A84D78"/>
    <w:multiLevelType w:val="multilevel"/>
    <w:tmpl w:val="60A84D78"/>
    <w:lvl w:ilvl="0">
      <w:start w:val="1"/>
      <w:numFmt w:val="decimal"/>
      <w:lvlText w:val="（%1）"/>
      <w:lvlJc w:val="left"/>
      <w:pPr>
        <w:ind w:left="1180" w:hanging="720"/>
      </w:pPr>
      <w:rPr>
        <w:rFonts w:hint="default"/>
      </w:rPr>
    </w:lvl>
    <w:lvl w:ilvl="1">
      <w:start w:val="1"/>
      <w:numFmt w:val="lowerLetter"/>
      <w:lvlText w:val="%2)"/>
      <w:lvlJc w:val="left"/>
      <w:pPr>
        <w:ind w:left="1340" w:hanging="440"/>
      </w:pPr>
    </w:lvl>
    <w:lvl w:ilvl="2">
      <w:start w:val="1"/>
      <w:numFmt w:val="lowerRoman"/>
      <w:lvlText w:val="%3."/>
      <w:lvlJc w:val="right"/>
      <w:pPr>
        <w:ind w:left="1780" w:hanging="440"/>
      </w:pPr>
    </w:lvl>
    <w:lvl w:ilvl="3">
      <w:start w:val="1"/>
      <w:numFmt w:val="decimal"/>
      <w:lvlText w:val="%4."/>
      <w:lvlJc w:val="left"/>
      <w:pPr>
        <w:ind w:left="2220" w:hanging="440"/>
      </w:pPr>
    </w:lvl>
    <w:lvl w:ilvl="4">
      <w:start w:val="1"/>
      <w:numFmt w:val="lowerLetter"/>
      <w:lvlText w:val="%5)"/>
      <w:lvlJc w:val="left"/>
      <w:pPr>
        <w:ind w:left="2660" w:hanging="440"/>
      </w:pPr>
    </w:lvl>
    <w:lvl w:ilvl="5">
      <w:start w:val="1"/>
      <w:numFmt w:val="lowerRoman"/>
      <w:lvlText w:val="%6."/>
      <w:lvlJc w:val="right"/>
      <w:pPr>
        <w:ind w:left="3100" w:hanging="440"/>
      </w:pPr>
    </w:lvl>
    <w:lvl w:ilvl="6">
      <w:start w:val="1"/>
      <w:numFmt w:val="decimal"/>
      <w:lvlText w:val="%7."/>
      <w:lvlJc w:val="left"/>
      <w:pPr>
        <w:ind w:left="3540" w:hanging="440"/>
      </w:pPr>
    </w:lvl>
    <w:lvl w:ilvl="7">
      <w:start w:val="1"/>
      <w:numFmt w:val="lowerLetter"/>
      <w:lvlText w:val="%8)"/>
      <w:lvlJc w:val="left"/>
      <w:pPr>
        <w:ind w:left="3980" w:hanging="440"/>
      </w:pPr>
    </w:lvl>
    <w:lvl w:ilvl="8">
      <w:start w:val="1"/>
      <w:numFmt w:val="lowerRoman"/>
      <w:lvlText w:val="%9."/>
      <w:lvlJc w:val="right"/>
      <w:pPr>
        <w:ind w:left="4420"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3925"/>
    <w:rsid w:val="00000F94"/>
    <w:rsid w:val="00001806"/>
    <w:rsid w:val="0000280A"/>
    <w:rsid w:val="000069C0"/>
    <w:rsid w:val="00007186"/>
    <w:rsid w:val="000076C6"/>
    <w:rsid w:val="00011710"/>
    <w:rsid w:val="000123F1"/>
    <w:rsid w:val="00017185"/>
    <w:rsid w:val="0002102B"/>
    <w:rsid w:val="000220CA"/>
    <w:rsid w:val="00023C96"/>
    <w:rsid w:val="000262EE"/>
    <w:rsid w:val="00026EA1"/>
    <w:rsid w:val="00026ED4"/>
    <w:rsid w:val="00027674"/>
    <w:rsid w:val="00030CA3"/>
    <w:rsid w:val="00031086"/>
    <w:rsid w:val="000326D0"/>
    <w:rsid w:val="000328C3"/>
    <w:rsid w:val="000349C1"/>
    <w:rsid w:val="00034BEF"/>
    <w:rsid w:val="0003614F"/>
    <w:rsid w:val="00037E48"/>
    <w:rsid w:val="00040952"/>
    <w:rsid w:val="000411AF"/>
    <w:rsid w:val="000411B6"/>
    <w:rsid w:val="000429F7"/>
    <w:rsid w:val="000440D8"/>
    <w:rsid w:val="00044355"/>
    <w:rsid w:val="00051480"/>
    <w:rsid w:val="0005398D"/>
    <w:rsid w:val="00055047"/>
    <w:rsid w:val="0005555D"/>
    <w:rsid w:val="000555FD"/>
    <w:rsid w:val="0005603F"/>
    <w:rsid w:val="00060020"/>
    <w:rsid w:val="0006185D"/>
    <w:rsid w:val="000624BE"/>
    <w:rsid w:val="00063563"/>
    <w:rsid w:val="00073E2C"/>
    <w:rsid w:val="00074679"/>
    <w:rsid w:val="0007748E"/>
    <w:rsid w:val="00083C08"/>
    <w:rsid w:val="00085349"/>
    <w:rsid w:val="00091702"/>
    <w:rsid w:val="00091FEE"/>
    <w:rsid w:val="000966EB"/>
    <w:rsid w:val="00096FC6"/>
    <w:rsid w:val="00097654"/>
    <w:rsid w:val="00097787"/>
    <w:rsid w:val="000A3395"/>
    <w:rsid w:val="000A4732"/>
    <w:rsid w:val="000A6749"/>
    <w:rsid w:val="000B07CD"/>
    <w:rsid w:val="000B0821"/>
    <w:rsid w:val="000B0BDC"/>
    <w:rsid w:val="000B1521"/>
    <w:rsid w:val="000B361D"/>
    <w:rsid w:val="000B5082"/>
    <w:rsid w:val="000C07B2"/>
    <w:rsid w:val="000C242A"/>
    <w:rsid w:val="000C4B8C"/>
    <w:rsid w:val="000C5E2C"/>
    <w:rsid w:val="000C6968"/>
    <w:rsid w:val="000C746F"/>
    <w:rsid w:val="000D07F5"/>
    <w:rsid w:val="000D1D8F"/>
    <w:rsid w:val="000D3085"/>
    <w:rsid w:val="000D3AAC"/>
    <w:rsid w:val="000D79B7"/>
    <w:rsid w:val="000E042E"/>
    <w:rsid w:val="000E31B1"/>
    <w:rsid w:val="000E35CD"/>
    <w:rsid w:val="000E4057"/>
    <w:rsid w:val="000E5028"/>
    <w:rsid w:val="000E7A74"/>
    <w:rsid w:val="000F05C9"/>
    <w:rsid w:val="000F1238"/>
    <w:rsid w:val="000F128D"/>
    <w:rsid w:val="000F4FC7"/>
    <w:rsid w:val="000F5C5C"/>
    <w:rsid w:val="000F76A3"/>
    <w:rsid w:val="00106554"/>
    <w:rsid w:val="001073A5"/>
    <w:rsid w:val="00112B1A"/>
    <w:rsid w:val="00114056"/>
    <w:rsid w:val="0011468A"/>
    <w:rsid w:val="0011572E"/>
    <w:rsid w:val="00115E1A"/>
    <w:rsid w:val="00117533"/>
    <w:rsid w:val="0011790B"/>
    <w:rsid w:val="00122475"/>
    <w:rsid w:val="001227C7"/>
    <w:rsid w:val="00123B0B"/>
    <w:rsid w:val="00123F0C"/>
    <w:rsid w:val="00127E5B"/>
    <w:rsid w:val="00130845"/>
    <w:rsid w:val="00130A9D"/>
    <w:rsid w:val="00130F0F"/>
    <w:rsid w:val="00131975"/>
    <w:rsid w:val="00131EAB"/>
    <w:rsid w:val="00132F2E"/>
    <w:rsid w:val="00136B82"/>
    <w:rsid w:val="001404D5"/>
    <w:rsid w:val="0014138F"/>
    <w:rsid w:val="00142C95"/>
    <w:rsid w:val="00143FD3"/>
    <w:rsid w:val="0015098C"/>
    <w:rsid w:val="00152B20"/>
    <w:rsid w:val="00153040"/>
    <w:rsid w:val="00156375"/>
    <w:rsid w:val="001570FA"/>
    <w:rsid w:val="00157609"/>
    <w:rsid w:val="0016158E"/>
    <w:rsid w:val="00161A89"/>
    <w:rsid w:val="0016262F"/>
    <w:rsid w:val="00162A3A"/>
    <w:rsid w:val="00162C71"/>
    <w:rsid w:val="001636CF"/>
    <w:rsid w:val="0016457F"/>
    <w:rsid w:val="00166778"/>
    <w:rsid w:val="001702EF"/>
    <w:rsid w:val="001704BD"/>
    <w:rsid w:val="00171D1C"/>
    <w:rsid w:val="00171D20"/>
    <w:rsid w:val="00172C14"/>
    <w:rsid w:val="00173925"/>
    <w:rsid w:val="00174FBE"/>
    <w:rsid w:val="001751B5"/>
    <w:rsid w:val="00175584"/>
    <w:rsid w:val="00180216"/>
    <w:rsid w:val="00180D89"/>
    <w:rsid w:val="00181C45"/>
    <w:rsid w:val="00183CA3"/>
    <w:rsid w:val="00190C84"/>
    <w:rsid w:val="00193E4D"/>
    <w:rsid w:val="00194BF2"/>
    <w:rsid w:val="00196C68"/>
    <w:rsid w:val="001A0C10"/>
    <w:rsid w:val="001A1675"/>
    <w:rsid w:val="001A2454"/>
    <w:rsid w:val="001A2DB0"/>
    <w:rsid w:val="001A3778"/>
    <w:rsid w:val="001A45BC"/>
    <w:rsid w:val="001A5732"/>
    <w:rsid w:val="001A76DF"/>
    <w:rsid w:val="001B047A"/>
    <w:rsid w:val="001B2A95"/>
    <w:rsid w:val="001B2C0B"/>
    <w:rsid w:val="001B435C"/>
    <w:rsid w:val="001B4939"/>
    <w:rsid w:val="001B539D"/>
    <w:rsid w:val="001B61FC"/>
    <w:rsid w:val="001B64F8"/>
    <w:rsid w:val="001B695E"/>
    <w:rsid w:val="001C1E8E"/>
    <w:rsid w:val="001C2DDE"/>
    <w:rsid w:val="001C6845"/>
    <w:rsid w:val="001C7D57"/>
    <w:rsid w:val="001D4A79"/>
    <w:rsid w:val="001D5092"/>
    <w:rsid w:val="001D5170"/>
    <w:rsid w:val="001D5637"/>
    <w:rsid w:val="001D620A"/>
    <w:rsid w:val="001E0D17"/>
    <w:rsid w:val="001E21CD"/>
    <w:rsid w:val="001E61EE"/>
    <w:rsid w:val="001E731A"/>
    <w:rsid w:val="001E7EB3"/>
    <w:rsid w:val="001F0E09"/>
    <w:rsid w:val="001F1AD1"/>
    <w:rsid w:val="001F2C6C"/>
    <w:rsid w:val="001F2D9B"/>
    <w:rsid w:val="001F326D"/>
    <w:rsid w:val="001F45B3"/>
    <w:rsid w:val="001F75E7"/>
    <w:rsid w:val="00204B83"/>
    <w:rsid w:val="00205363"/>
    <w:rsid w:val="0020686C"/>
    <w:rsid w:val="002130DB"/>
    <w:rsid w:val="0021414C"/>
    <w:rsid w:val="00215C8B"/>
    <w:rsid w:val="002173A1"/>
    <w:rsid w:val="00217D65"/>
    <w:rsid w:val="00217FD6"/>
    <w:rsid w:val="002210F6"/>
    <w:rsid w:val="00221E07"/>
    <w:rsid w:val="002234E0"/>
    <w:rsid w:val="00226D83"/>
    <w:rsid w:val="002329E4"/>
    <w:rsid w:val="00233E9E"/>
    <w:rsid w:val="00234A99"/>
    <w:rsid w:val="00235361"/>
    <w:rsid w:val="00240E59"/>
    <w:rsid w:val="002410C5"/>
    <w:rsid w:val="00241631"/>
    <w:rsid w:val="00242E99"/>
    <w:rsid w:val="00244F31"/>
    <w:rsid w:val="00251D55"/>
    <w:rsid w:val="002520A8"/>
    <w:rsid w:val="00252C27"/>
    <w:rsid w:val="00256270"/>
    <w:rsid w:val="00256656"/>
    <w:rsid w:val="00256E05"/>
    <w:rsid w:val="002614EB"/>
    <w:rsid w:val="002622F6"/>
    <w:rsid w:val="00264668"/>
    <w:rsid w:val="00265395"/>
    <w:rsid w:val="002658D4"/>
    <w:rsid w:val="00270503"/>
    <w:rsid w:val="00271657"/>
    <w:rsid w:val="00271C0E"/>
    <w:rsid w:val="00272213"/>
    <w:rsid w:val="002731CD"/>
    <w:rsid w:val="0027402F"/>
    <w:rsid w:val="00274345"/>
    <w:rsid w:val="00277592"/>
    <w:rsid w:val="0028074B"/>
    <w:rsid w:val="00281199"/>
    <w:rsid w:val="002914CE"/>
    <w:rsid w:val="00291925"/>
    <w:rsid w:val="00292300"/>
    <w:rsid w:val="00292A91"/>
    <w:rsid w:val="0029323D"/>
    <w:rsid w:val="00295861"/>
    <w:rsid w:val="002A4299"/>
    <w:rsid w:val="002A4ABB"/>
    <w:rsid w:val="002A56A8"/>
    <w:rsid w:val="002A6347"/>
    <w:rsid w:val="002A72C6"/>
    <w:rsid w:val="002B05C0"/>
    <w:rsid w:val="002B1BFD"/>
    <w:rsid w:val="002B40B3"/>
    <w:rsid w:val="002B5C6A"/>
    <w:rsid w:val="002B5FF0"/>
    <w:rsid w:val="002B6EB8"/>
    <w:rsid w:val="002B6FDC"/>
    <w:rsid w:val="002B72B9"/>
    <w:rsid w:val="002C093A"/>
    <w:rsid w:val="002C55FB"/>
    <w:rsid w:val="002C66B9"/>
    <w:rsid w:val="002C6A97"/>
    <w:rsid w:val="002C78A7"/>
    <w:rsid w:val="002D1624"/>
    <w:rsid w:val="002D1F3B"/>
    <w:rsid w:val="002D239E"/>
    <w:rsid w:val="002D2641"/>
    <w:rsid w:val="002D2B33"/>
    <w:rsid w:val="002D3EB9"/>
    <w:rsid w:val="002D49BA"/>
    <w:rsid w:val="002D4FEA"/>
    <w:rsid w:val="002D55B0"/>
    <w:rsid w:val="002E280F"/>
    <w:rsid w:val="002E4E97"/>
    <w:rsid w:val="002E58A9"/>
    <w:rsid w:val="002E5B77"/>
    <w:rsid w:val="002E5D77"/>
    <w:rsid w:val="002F0CD6"/>
    <w:rsid w:val="002F1795"/>
    <w:rsid w:val="002F3CA9"/>
    <w:rsid w:val="002F4A6D"/>
    <w:rsid w:val="002F58EF"/>
    <w:rsid w:val="003009B3"/>
    <w:rsid w:val="00300AC9"/>
    <w:rsid w:val="00303771"/>
    <w:rsid w:val="00303DEC"/>
    <w:rsid w:val="003057AD"/>
    <w:rsid w:val="00311421"/>
    <w:rsid w:val="00311724"/>
    <w:rsid w:val="00312227"/>
    <w:rsid w:val="00313FE6"/>
    <w:rsid w:val="003142CE"/>
    <w:rsid w:val="00315CA9"/>
    <w:rsid w:val="00317771"/>
    <w:rsid w:val="00320CB1"/>
    <w:rsid w:val="00321E98"/>
    <w:rsid w:val="00322180"/>
    <w:rsid w:val="0032288B"/>
    <w:rsid w:val="00325143"/>
    <w:rsid w:val="003263CC"/>
    <w:rsid w:val="00326878"/>
    <w:rsid w:val="00331D86"/>
    <w:rsid w:val="003343E6"/>
    <w:rsid w:val="00337D56"/>
    <w:rsid w:val="003406D3"/>
    <w:rsid w:val="003422C9"/>
    <w:rsid w:val="00345481"/>
    <w:rsid w:val="003511B6"/>
    <w:rsid w:val="0035144B"/>
    <w:rsid w:val="00352C8F"/>
    <w:rsid w:val="00352E9D"/>
    <w:rsid w:val="00353030"/>
    <w:rsid w:val="003538C6"/>
    <w:rsid w:val="00355796"/>
    <w:rsid w:val="00362A22"/>
    <w:rsid w:val="00365DCA"/>
    <w:rsid w:val="003665F6"/>
    <w:rsid w:val="00366BE3"/>
    <w:rsid w:val="00367D1A"/>
    <w:rsid w:val="003712F8"/>
    <w:rsid w:val="00381643"/>
    <w:rsid w:val="00381A73"/>
    <w:rsid w:val="003828C2"/>
    <w:rsid w:val="00383268"/>
    <w:rsid w:val="00384B0A"/>
    <w:rsid w:val="0038760D"/>
    <w:rsid w:val="003908AA"/>
    <w:rsid w:val="0039229D"/>
    <w:rsid w:val="003926F9"/>
    <w:rsid w:val="00392B50"/>
    <w:rsid w:val="00395A09"/>
    <w:rsid w:val="00396627"/>
    <w:rsid w:val="00397362"/>
    <w:rsid w:val="003A350F"/>
    <w:rsid w:val="003A3C73"/>
    <w:rsid w:val="003A5368"/>
    <w:rsid w:val="003B00CB"/>
    <w:rsid w:val="003B06DA"/>
    <w:rsid w:val="003B1BB7"/>
    <w:rsid w:val="003B2E0F"/>
    <w:rsid w:val="003B3252"/>
    <w:rsid w:val="003B50F5"/>
    <w:rsid w:val="003C3555"/>
    <w:rsid w:val="003C5755"/>
    <w:rsid w:val="003D0A03"/>
    <w:rsid w:val="003E1F5E"/>
    <w:rsid w:val="003E20B9"/>
    <w:rsid w:val="003E3021"/>
    <w:rsid w:val="003E45C7"/>
    <w:rsid w:val="003E46EF"/>
    <w:rsid w:val="003E5ED0"/>
    <w:rsid w:val="003E64A9"/>
    <w:rsid w:val="003E7CA1"/>
    <w:rsid w:val="003F10F7"/>
    <w:rsid w:val="003F1827"/>
    <w:rsid w:val="003F29AA"/>
    <w:rsid w:val="003F38CA"/>
    <w:rsid w:val="003F52ED"/>
    <w:rsid w:val="003F74DE"/>
    <w:rsid w:val="003F76A5"/>
    <w:rsid w:val="00400E2B"/>
    <w:rsid w:val="004015A5"/>
    <w:rsid w:val="00401A4F"/>
    <w:rsid w:val="00402873"/>
    <w:rsid w:val="0040294B"/>
    <w:rsid w:val="004037F5"/>
    <w:rsid w:val="004056FD"/>
    <w:rsid w:val="00406BF2"/>
    <w:rsid w:val="004070BE"/>
    <w:rsid w:val="0040767D"/>
    <w:rsid w:val="004101F1"/>
    <w:rsid w:val="00416989"/>
    <w:rsid w:val="00420B54"/>
    <w:rsid w:val="004218C3"/>
    <w:rsid w:val="0042285E"/>
    <w:rsid w:val="00426638"/>
    <w:rsid w:val="004270D4"/>
    <w:rsid w:val="00427B52"/>
    <w:rsid w:val="00427BC9"/>
    <w:rsid w:val="00430CCD"/>
    <w:rsid w:val="00432CE3"/>
    <w:rsid w:val="00433368"/>
    <w:rsid w:val="004346FF"/>
    <w:rsid w:val="00435242"/>
    <w:rsid w:val="0043642F"/>
    <w:rsid w:val="00437A6F"/>
    <w:rsid w:val="00437E3F"/>
    <w:rsid w:val="00441402"/>
    <w:rsid w:val="00442A10"/>
    <w:rsid w:val="00446072"/>
    <w:rsid w:val="0044728C"/>
    <w:rsid w:val="004500D0"/>
    <w:rsid w:val="00455DCE"/>
    <w:rsid w:val="0045796F"/>
    <w:rsid w:val="004601B6"/>
    <w:rsid w:val="00460325"/>
    <w:rsid w:val="0046051E"/>
    <w:rsid w:val="0046402A"/>
    <w:rsid w:val="004663CE"/>
    <w:rsid w:val="0046753D"/>
    <w:rsid w:val="00470BE9"/>
    <w:rsid w:val="00474205"/>
    <w:rsid w:val="004759E1"/>
    <w:rsid w:val="00476705"/>
    <w:rsid w:val="00476DD8"/>
    <w:rsid w:val="00476F7A"/>
    <w:rsid w:val="0047724D"/>
    <w:rsid w:val="004814C0"/>
    <w:rsid w:val="0048191A"/>
    <w:rsid w:val="004833D6"/>
    <w:rsid w:val="00483CAA"/>
    <w:rsid w:val="00485CAD"/>
    <w:rsid w:val="00487072"/>
    <w:rsid w:val="00490D5F"/>
    <w:rsid w:val="00491A2A"/>
    <w:rsid w:val="00492406"/>
    <w:rsid w:val="0049277B"/>
    <w:rsid w:val="00493656"/>
    <w:rsid w:val="00494B84"/>
    <w:rsid w:val="0049503B"/>
    <w:rsid w:val="00495857"/>
    <w:rsid w:val="00495CCC"/>
    <w:rsid w:val="00495E39"/>
    <w:rsid w:val="004A33BF"/>
    <w:rsid w:val="004A6123"/>
    <w:rsid w:val="004A717E"/>
    <w:rsid w:val="004B0D60"/>
    <w:rsid w:val="004B35D6"/>
    <w:rsid w:val="004B3E63"/>
    <w:rsid w:val="004B4554"/>
    <w:rsid w:val="004B58E9"/>
    <w:rsid w:val="004C080E"/>
    <w:rsid w:val="004C0B43"/>
    <w:rsid w:val="004C4A15"/>
    <w:rsid w:val="004C4A28"/>
    <w:rsid w:val="004C78E9"/>
    <w:rsid w:val="004C7E41"/>
    <w:rsid w:val="004D0217"/>
    <w:rsid w:val="004D1A3E"/>
    <w:rsid w:val="004D1A85"/>
    <w:rsid w:val="004D1B44"/>
    <w:rsid w:val="004D22D3"/>
    <w:rsid w:val="004D2A9B"/>
    <w:rsid w:val="004D2F4B"/>
    <w:rsid w:val="004D30EA"/>
    <w:rsid w:val="004D4635"/>
    <w:rsid w:val="004D4D60"/>
    <w:rsid w:val="004D50C9"/>
    <w:rsid w:val="004D7731"/>
    <w:rsid w:val="004E1C2E"/>
    <w:rsid w:val="004E2485"/>
    <w:rsid w:val="004E482B"/>
    <w:rsid w:val="004F0D67"/>
    <w:rsid w:val="004F116D"/>
    <w:rsid w:val="004F374B"/>
    <w:rsid w:val="004F60B3"/>
    <w:rsid w:val="004F7F71"/>
    <w:rsid w:val="005017F8"/>
    <w:rsid w:val="00501CD0"/>
    <w:rsid w:val="005032E0"/>
    <w:rsid w:val="00503A1F"/>
    <w:rsid w:val="00506001"/>
    <w:rsid w:val="00507ACD"/>
    <w:rsid w:val="0051073D"/>
    <w:rsid w:val="00512AA7"/>
    <w:rsid w:val="00513364"/>
    <w:rsid w:val="00515937"/>
    <w:rsid w:val="005165EC"/>
    <w:rsid w:val="00520D93"/>
    <w:rsid w:val="00522BC9"/>
    <w:rsid w:val="0052396B"/>
    <w:rsid w:val="005239EE"/>
    <w:rsid w:val="00525133"/>
    <w:rsid w:val="0052594B"/>
    <w:rsid w:val="00525A7E"/>
    <w:rsid w:val="0052715C"/>
    <w:rsid w:val="00530FFE"/>
    <w:rsid w:val="005312B8"/>
    <w:rsid w:val="005342A3"/>
    <w:rsid w:val="00534C9B"/>
    <w:rsid w:val="0053592F"/>
    <w:rsid w:val="00540640"/>
    <w:rsid w:val="00542987"/>
    <w:rsid w:val="0054374A"/>
    <w:rsid w:val="00543D1D"/>
    <w:rsid w:val="005448EE"/>
    <w:rsid w:val="00545128"/>
    <w:rsid w:val="00547BA4"/>
    <w:rsid w:val="005508A2"/>
    <w:rsid w:val="00553295"/>
    <w:rsid w:val="00554524"/>
    <w:rsid w:val="00555084"/>
    <w:rsid w:val="005562C5"/>
    <w:rsid w:val="0055702C"/>
    <w:rsid w:val="00561C59"/>
    <w:rsid w:val="00563B7A"/>
    <w:rsid w:val="00563EA7"/>
    <w:rsid w:val="00565A25"/>
    <w:rsid w:val="005675DD"/>
    <w:rsid w:val="00567CAD"/>
    <w:rsid w:val="00567CF5"/>
    <w:rsid w:val="00567EF8"/>
    <w:rsid w:val="00570131"/>
    <w:rsid w:val="005721F1"/>
    <w:rsid w:val="00572912"/>
    <w:rsid w:val="00574295"/>
    <w:rsid w:val="005758E7"/>
    <w:rsid w:val="00580151"/>
    <w:rsid w:val="005811DE"/>
    <w:rsid w:val="005823E8"/>
    <w:rsid w:val="00584DB3"/>
    <w:rsid w:val="00585AE8"/>
    <w:rsid w:val="00585C60"/>
    <w:rsid w:val="00586F61"/>
    <w:rsid w:val="0058755E"/>
    <w:rsid w:val="00587C73"/>
    <w:rsid w:val="00591375"/>
    <w:rsid w:val="00591803"/>
    <w:rsid w:val="005924D7"/>
    <w:rsid w:val="00592EA6"/>
    <w:rsid w:val="005942CE"/>
    <w:rsid w:val="0059515E"/>
    <w:rsid w:val="00597DCF"/>
    <w:rsid w:val="005A2325"/>
    <w:rsid w:val="005A23A1"/>
    <w:rsid w:val="005A4FCD"/>
    <w:rsid w:val="005A59FF"/>
    <w:rsid w:val="005A5F27"/>
    <w:rsid w:val="005A5FF3"/>
    <w:rsid w:val="005A6B02"/>
    <w:rsid w:val="005B05FB"/>
    <w:rsid w:val="005B1A1D"/>
    <w:rsid w:val="005B4850"/>
    <w:rsid w:val="005B4A95"/>
    <w:rsid w:val="005B5091"/>
    <w:rsid w:val="005B73AE"/>
    <w:rsid w:val="005B76E5"/>
    <w:rsid w:val="005B7F4F"/>
    <w:rsid w:val="005C1AD2"/>
    <w:rsid w:val="005C4E30"/>
    <w:rsid w:val="005C5F2C"/>
    <w:rsid w:val="005C76E8"/>
    <w:rsid w:val="005C78DF"/>
    <w:rsid w:val="005D0BDC"/>
    <w:rsid w:val="005D13AB"/>
    <w:rsid w:val="005D1761"/>
    <w:rsid w:val="005D7416"/>
    <w:rsid w:val="005D744B"/>
    <w:rsid w:val="005E0868"/>
    <w:rsid w:val="005E4754"/>
    <w:rsid w:val="005E6C1F"/>
    <w:rsid w:val="005E7FCE"/>
    <w:rsid w:val="005F156C"/>
    <w:rsid w:val="005F249D"/>
    <w:rsid w:val="005F288C"/>
    <w:rsid w:val="005F3368"/>
    <w:rsid w:val="005F5003"/>
    <w:rsid w:val="005F535E"/>
    <w:rsid w:val="005F5D2E"/>
    <w:rsid w:val="005F788D"/>
    <w:rsid w:val="005F7BFD"/>
    <w:rsid w:val="00600BEA"/>
    <w:rsid w:val="00600E89"/>
    <w:rsid w:val="0060105F"/>
    <w:rsid w:val="00604C5B"/>
    <w:rsid w:val="006079A4"/>
    <w:rsid w:val="00613B4C"/>
    <w:rsid w:val="0061471C"/>
    <w:rsid w:val="006228E9"/>
    <w:rsid w:val="00622F5B"/>
    <w:rsid w:val="006243BE"/>
    <w:rsid w:val="006324EE"/>
    <w:rsid w:val="00632C48"/>
    <w:rsid w:val="00633637"/>
    <w:rsid w:val="006347F8"/>
    <w:rsid w:val="006377F2"/>
    <w:rsid w:val="00640A3D"/>
    <w:rsid w:val="0064131B"/>
    <w:rsid w:val="00643897"/>
    <w:rsid w:val="00643E1A"/>
    <w:rsid w:val="00645046"/>
    <w:rsid w:val="00646646"/>
    <w:rsid w:val="00650389"/>
    <w:rsid w:val="00651D3A"/>
    <w:rsid w:val="006525C4"/>
    <w:rsid w:val="00653AD4"/>
    <w:rsid w:val="00654D53"/>
    <w:rsid w:val="006556DE"/>
    <w:rsid w:val="00656244"/>
    <w:rsid w:val="006572B5"/>
    <w:rsid w:val="00662EC4"/>
    <w:rsid w:val="006637FF"/>
    <w:rsid w:val="006656B7"/>
    <w:rsid w:val="00666043"/>
    <w:rsid w:val="006671DD"/>
    <w:rsid w:val="006672E7"/>
    <w:rsid w:val="00667DCB"/>
    <w:rsid w:val="00670156"/>
    <w:rsid w:val="006706B0"/>
    <w:rsid w:val="0067174F"/>
    <w:rsid w:val="00671ADD"/>
    <w:rsid w:val="0067351B"/>
    <w:rsid w:val="006742B9"/>
    <w:rsid w:val="00675B87"/>
    <w:rsid w:val="00676D2A"/>
    <w:rsid w:val="006776D1"/>
    <w:rsid w:val="006801A1"/>
    <w:rsid w:val="00681660"/>
    <w:rsid w:val="0068292B"/>
    <w:rsid w:val="0068658B"/>
    <w:rsid w:val="00687752"/>
    <w:rsid w:val="0068790C"/>
    <w:rsid w:val="00687B85"/>
    <w:rsid w:val="00690DED"/>
    <w:rsid w:val="00691C93"/>
    <w:rsid w:val="00693231"/>
    <w:rsid w:val="00695B7F"/>
    <w:rsid w:val="00697F5E"/>
    <w:rsid w:val="006A01C9"/>
    <w:rsid w:val="006A13ED"/>
    <w:rsid w:val="006A222D"/>
    <w:rsid w:val="006A2F54"/>
    <w:rsid w:val="006A4326"/>
    <w:rsid w:val="006A46EA"/>
    <w:rsid w:val="006B3C9C"/>
    <w:rsid w:val="006B509E"/>
    <w:rsid w:val="006B5ABB"/>
    <w:rsid w:val="006B6E9B"/>
    <w:rsid w:val="006C0850"/>
    <w:rsid w:val="006C0F2F"/>
    <w:rsid w:val="006C210F"/>
    <w:rsid w:val="006C2831"/>
    <w:rsid w:val="006C3C80"/>
    <w:rsid w:val="006C44D4"/>
    <w:rsid w:val="006C691F"/>
    <w:rsid w:val="006C76B0"/>
    <w:rsid w:val="006C7C9D"/>
    <w:rsid w:val="006D23C1"/>
    <w:rsid w:val="006D27FB"/>
    <w:rsid w:val="006D3D87"/>
    <w:rsid w:val="006D5549"/>
    <w:rsid w:val="006D7870"/>
    <w:rsid w:val="006E0D01"/>
    <w:rsid w:val="006E188B"/>
    <w:rsid w:val="006E4F2C"/>
    <w:rsid w:val="006E5CDE"/>
    <w:rsid w:val="006E7966"/>
    <w:rsid w:val="006F231C"/>
    <w:rsid w:val="006F2881"/>
    <w:rsid w:val="006F3553"/>
    <w:rsid w:val="006F3840"/>
    <w:rsid w:val="006F566C"/>
    <w:rsid w:val="00700DE5"/>
    <w:rsid w:val="007012BB"/>
    <w:rsid w:val="00701EA4"/>
    <w:rsid w:val="00701FE6"/>
    <w:rsid w:val="00702251"/>
    <w:rsid w:val="007032DE"/>
    <w:rsid w:val="007041A7"/>
    <w:rsid w:val="00706908"/>
    <w:rsid w:val="00706ADD"/>
    <w:rsid w:val="00710871"/>
    <w:rsid w:val="007110D0"/>
    <w:rsid w:val="00711381"/>
    <w:rsid w:val="00711F2F"/>
    <w:rsid w:val="0071377A"/>
    <w:rsid w:val="007157D6"/>
    <w:rsid w:val="007161CC"/>
    <w:rsid w:val="0071685F"/>
    <w:rsid w:val="0072105F"/>
    <w:rsid w:val="0072150F"/>
    <w:rsid w:val="00721F2C"/>
    <w:rsid w:val="00722AAD"/>
    <w:rsid w:val="00724884"/>
    <w:rsid w:val="00724B7B"/>
    <w:rsid w:val="0073029A"/>
    <w:rsid w:val="007321ED"/>
    <w:rsid w:val="00732704"/>
    <w:rsid w:val="00734743"/>
    <w:rsid w:val="00734EC3"/>
    <w:rsid w:val="007362CB"/>
    <w:rsid w:val="007373FD"/>
    <w:rsid w:val="007452AA"/>
    <w:rsid w:val="00751268"/>
    <w:rsid w:val="00751459"/>
    <w:rsid w:val="007518E8"/>
    <w:rsid w:val="00752462"/>
    <w:rsid w:val="0075259E"/>
    <w:rsid w:val="00756AB0"/>
    <w:rsid w:val="00760AFF"/>
    <w:rsid w:val="00762BD3"/>
    <w:rsid w:val="007643D1"/>
    <w:rsid w:val="0076543D"/>
    <w:rsid w:val="00767847"/>
    <w:rsid w:val="0077047A"/>
    <w:rsid w:val="007722F6"/>
    <w:rsid w:val="007723D4"/>
    <w:rsid w:val="00773DFA"/>
    <w:rsid w:val="00774401"/>
    <w:rsid w:val="007759B3"/>
    <w:rsid w:val="00776522"/>
    <w:rsid w:val="00777573"/>
    <w:rsid w:val="00777594"/>
    <w:rsid w:val="00777E03"/>
    <w:rsid w:val="007801C9"/>
    <w:rsid w:val="007809BC"/>
    <w:rsid w:val="00784A98"/>
    <w:rsid w:val="00785339"/>
    <w:rsid w:val="00785821"/>
    <w:rsid w:val="00786D89"/>
    <w:rsid w:val="00787074"/>
    <w:rsid w:val="007918E5"/>
    <w:rsid w:val="007932AE"/>
    <w:rsid w:val="00795F4E"/>
    <w:rsid w:val="0079648B"/>
    <w:rsid w:val="0079674D"/>
    <w:rsid w:val="00796D42"/>
    <w:rsid w:val="007972F7"/>
    <w:rsid w:val="007A0A08"/>
    <w:rsid w:val="007A5577"/>
    <w:rsid w:val="007A55B8"/>
    <w:rsid w:val="007A589A"/>
    <w:rsid w:val="007A702B"/>
    <w:rsid w:val="007B018B"/>
    <w:rsid w:val="007B2FDD"/>
    <w:rsid w:val="007B30F4"/>
    <w:rsid w:val="007B5A07"/>
    <w:rsid w:val="007B6A8F"/>
    <w:rsid w:val="007B6C44"/>
    <w:rsid w:val="007C15C9"/>
    <w:rsid w:val="007C2353"/>
    <w:rsid w:val="007D0227"/>
    <w:rsid w:val="007D2A76"/>
    <w:rsid w:val="007D6E84"/>
    <w:rsid w:val="007D7474"/>
    <w:rsid w:val="007E01B2"/>
    <w:rsid w:val="007E05D8"/>
    <w:rsid w:val="007E072E"/>
    <w:rsid w:val="007E0967"/>
    <w:rsid w:val="007E1921"/>
    <w:rsid w:val="007E3098"/>
    <w:rsid w:val="007E39D9"/>
    <w:rsid w:val="007E3A35"/>
    <w:rsid w:val="007E3B0B"/>
    <w:rsid w:val="007E3F53"/>
    <w:rsid w:val="007E5728"/>
    <w:rsid w:val="007E737C"/>
    <w:rsid w:val="007E7394"/>
    <w:rsid w:val="007F04DE"/>
    <w:rsid w:val="007F06AE"/>
    <w:rsid w:val="007F3D3D"/>
    <w:rsid w:val="00800AAB"/>
    <w:rsid w:val="00800E14"/>
    <w:rsid w:val="0080165A"/>
    <w:rsid w:val="0080283B"/>
    <w:rsid w:val="00802877"/>
    <w:rsid w:val="0080420D"/>
    <w:rsid w:val="00804309"/>
    <w:rsid w:val="00804EC4"/>
    <w:rsid w:val="00806081"/>
    <w:rsid w:val="00807051"/>
    <w:rsid w:val="008070B4"/>
    <w:rsid w:val="00807A3E"/>
    <w:rsid w:val="00811E18"/>
    <w:rsid w:val="0082025D"/>
    <w:rsid w:val="00821F10"/>
    <w:rsid w:val="008229CE"/>
    <w:rsid w:val="00823857"/>
    <w:rsid w:val="00824E25"/>
    <w:rsid w:val="00824F4B"/>
    <w:rsid w:val="00826222"/>
    <w:rsid w:val="00826666"/>
    <w:rsid w:val="00827B19"/>
    <w:rsid w:val="0083068A"/>
    <w:rsid w:val="00831C02"/>
    <w:rsid w:val="00832180"/>
    <w:rsid w:val="00832A61"/>
    <w:rsid w:val="00833CC6"/>
    <w:rsid w:val="00834CC8"/>
    <w:rsid w:val="00835105"/>
    <w:rsid w:val="00840942"/>
    <w:rsid w:val="00842680"/>
    <w:rsid w:val="0084486D"/>
    <w:rsid w:val="0084500E"/>
    <w:rsid w:val="00845167"/>
    <w:rsid w:val="008465F2"/>
    <w:rsid w:val="00846825"/>
    <w:rsid w:val="00847195"/>
    <w:rsid w:val="00852F43"/>
    <w:rsid w:val="0085349A"/>
    <w:rsid w:val="008543B7"/>
    <w:rsid w:val="008557B7"/>
    <w:rsid w:val="00856254"/>
    <w:rsid w:val="0085638A"/>
    <w:rsid w:val="00860D69"/>
    <w:rsid w:val="008619A5"/>
    <w:rsid w:val="00861D61"/>
    <w:rsid w:val="00862E85"/>
    <w:rsid w:val="00864B2D"/>
    <w:rsid w:val="00865789"/>
    <w:rsid w:val="00867092"/>
    <w:rsid w:val="00870450"/>
    <w:rsid w:val="00870504"/>
    <w:rsid w:val="00870BA5"/>
    <w:rsid w:val="00871F0C"/>
    <w:rsid w:val="008728D9"/>
    <w:rsid w:val="00873D3C"/>
    <w:rsid w:val="00874E40"/>
    <w:rsid w:val="00877164"/>
    <w:rsid w:val="008815F5"/>
    <w:rsid w:val="00881E82"/>
    <w:rsid w:val="00882084"/>
    <w:rsid w:val="008832D4"/>
    <w:rsid w:val="008849F2"/>
    <w:rsid w:val="00884AE7"/>
    <w:rsid w:val="00893F3D"/>
    <w:rsid w:val="00894403"/>
    <w:rsid w:val="00894B6A"/>
    <w:rsid w:val="00896A0C"/>
    <w:rsid w:val="008979DC"/>
    <w:rsid w:val="008A053F"/>
    <w:rsid w:val="008A0CBE"/>
    <w:rsid w:val="008A35B0"/>
    <w:rsid w:val="008A7E4D"/>
    <w:rsid w:val="008B033A"/>
    <w:rsid w:val="008B54FA"/>
    <w:rsid w:val="008B5C71"/>
    <w:rsid w:val="008B6A68"/>
    <w:rsid w:val="008B6DC9"/>
    <w:rsid w:val="008C0CD1"/>
    <w:rsid w:val="008C11AD"/>
    <w:rsid w:val="008C14A8"/>
    <w:rsid w:val="008C5833"/>
    <w:rsid w:val="008C6A2A"/>
    <w:rsid w:val="008D03AE"/>
    <w:rsid w:val="008D154C"/>
    <w:rsid w:val="008D7BBD"/>
    <w:rsid w:val="008E0EE2"/>
    <w:rsid w:val="008E1147"/>
    <w:rsid w:val="008E12D6"/>
    <w:rsid w:val="008E16AF"/>
    <w:rsid w:val="008E34AC"/>
    <w:rsid w:val="008E3A88"/>
    <w:rsid w:val="008E4064"/>
    <w:rsid w:val="008E473A"/>
    <w:rsid w:val="008E5387"/>
    <w:rsid w:val="008E5E68"/>
    <w:rsid w:val="008E6234"/>
    <w:rsid w:val="008E6E7F"/>
    <w:rsid w:val="008E7F5D"/>
    <w:rsid w:val="008F0D3F"/>
    <w:rsid w:val="008F164F"/>
    <w:rsid w:val="008F293A"/>
    <w:rsid w:val="008F30C4"/>
    <w:rsid w:val="008F38A1"/>
    <w:rsid w:val="008F45A9"/>
    <w:rsid w:val="00900161"/>
    <w:rsid w:val="009011E1"/>
    <w:rsid w:val="00902D7D"/>
    <w:rsid w:val="00902E72"/>
    <w:rsid w:val="00904549"/>
    <w:rsid w:val="009047C5"/>
    <w:rsid w:val="00904F53"/>
    <w:rsid w:val="00905DD9"/>
    <w:rsid w:val="00910B21"/>
    <w:rsid w:val="009130C7"/>
    <w:rsid w:val="009137BA"/>
    <w:rsid w:val="009146D4"/>
    <w:rsid w:val="009154E2"/>
    <w:rsid w:val="009167D5"/>
    <w:rsid w:val="009176EF"/>
    <w:rsid w:val="00920679"/>
    <w:rsid w:val="009224A4"/>
    <w:rsid w:val="00923379"/>
    <w:rsid w:val="00923E9F"/>
    <w:rsid w:val="00924A53"/>
    <w:rsid w:val="00930616"/>
    <w:rsid w:val="00930A84"/>
    <w:rsid w:val="00930ABA"/>
    <w:rsid w:val="00930D96"/>
    <w:rsid w:val="009319BD"/>
    <w:rsid w:val="00931A71"/>
    <w:rsid w:val="00932EB5"/>
    <w:rsid w:val="009342A2"/>
    <w:rsid w:val="00940038"/>
    <w:rsid w:val="009404A7"/>
    <w:rsid w:val="00944AF1"/>
    <w:rsid w:val="00950E2C"/>
    <w:rsid w:val="00952206"/>
    <w:rsid w:val="0095268E"/>
    <w:rsid w:val="009526BC"/>
    <w:rsid w:val="00952EFB"/>
    <w:rsid w:val="00953D08"/>
    <w:rsid w:val="00954715"/>
    <w:rsid w:val="009547C5"/>
    <w:rsid w:val="009563F9"/>
    <w:rsid w:val="00957F9B"/>
    <w:rsid w:val="00960243"/>
    <w:rsid w:val="00960BCC"/>
    <w:rsid w:val="00962216"/>
    <w:rsid w:val="00963869"/>
    <w:rsid w:val="00964649"/>
    <w:rsid w:val="00964EE1"/>
    <w:rsid w:val="009652E8"/>
    <w:rsid w:val="00965AFD"/>
    <w:rsid w:val="00965E2B"/>
    <w:rsid w:val="00967680"/>
    <w:rsid w:val="0097132A"/>
    <w:rsid w:val="009733A7"/>
    <w:rsid w:val="009737B9"/>
    <w:rsid w:val="00973F6F"/>
    <w:rsid w:val="00975D13"/>
    <w:rsid w:val="00977866"/>
    <w:rsid w:val="00977B0D"/>
    <w:rsid w:val="0098054D"/>
    <w:rsid w:val="009812DB"/>
    <w:rsid w:val="0098196A"/>
    <w:rsid w:val="009840EB"/>
    <w:rsid w:val="00986C92"/>
    <w:rsid w:val="009941E7"/>
    <w:rsid w:val="009943E4"/>
    <w:rsid w:val="00995603"/>
    <w:rsid w:val="0099569E"/>
    <w:rsid w:val="00996655"/>
    <w:rsid w:val="00996E62"/>
    <w:rsid w:val="009970B8"/>
    <w:rsid w:val="009971B2"/>
    <w:rsid w:val="00997200"/>
    <w:rsid w:val="00997643"/>
    <w:rsid w:val="0099799A"/>
    <w:rsid w:val="009A164C"/>
    <w:rsid w:val="009A376C"/>
    <w:rsid w:val="009A3C14"/>
    <w:rsid w:val="009A49DC"/>
    <w:rsid w:val="009A7258"/>
    <w:rsid w:val="009B01EC"/>
    <w:rsid w:val="009B053D"/>
    <w:rsid w:val="009B067A"/>
    <w:rsid w:val="009B1EDF"/>
    <w:rsid w:val="009B290E"/>
    <w:rsid w:val="009B2C49"/>
    <w:rsid w:val="009B345B"/>
    <w:rsid w:val="009B37EC"/>
    <w:rsid w:val="009B58C1"/>
    <w:rsid w:val="009B58D0"/>
    <w:rsid w:val="009C0548"/>
    <w:rsid w:val="009C0EE4"/>
    <w:rsid w:val="009C0F32"/>
    <w:rsid w:val="009C2902"/>
    <w:rsid w:val="009C45BC"/>
    <w:rsid w:val="009C4926"/>
    <w:rsid w:val="009C72AB"/>
    <w:rsid w:val="009D14E5"/>
    <w:rsid w:val="009D3B25"/>
    <w:rsid w:val="009D46B8"/>
    <w:rsid w:val="009D5987"/>
    <w:rsid w:val="009D5BA0"/>
    <w:rsid w:val="009D7F95"/>
    <w:rsid w:val="009E0566"/>
    <w:rsid w:val="009E2003"/>
    <w:rsid w:val="009E4781"/>
    <w:rsid w:val="009E5018"/>
    <w:rsid w:val="009E58A5"/>
    <w:rsid w:val="009E653B"/>
    <w:rsid w:val="009E7B2F"/>
    <w:rsid w:val="009F178F"/>
    <w:rsid w:val="009F17FD"/>
    <w:rsid w:val="009F1E8B"/>
    <w:rsid w:val="009F2171"/>
    <w:rsid w:val="009F24D9"/>
    <w:rsid w:val="009F49D6"/>
    <w:rsid w:val="009F62EE"/>
    <w:rsid w:val="00A02C96"/>
    <w:rsid w:val="00A02FEE"/>
    <w:rsid w:val="00A04B90"/>
    <w:rsid w:val="00A107F1"/>
    <w:rsid w:val="00A12DB4"/>
    <w:rsid w:val="00A13B2C"/>
    <w:rsid w:val="00A14A31"/>
    <w:rsid w:val="00A15437"/>
    <w:rsid w:val="00A15BEC"/>
    <w:rsid w:val="00A16CC1"/>
    <w:rsid w:val="00A16E52"/>
    <w:rsid w:val="00A2112C"/>
    <w:rsid w:val="00A219A3"/>
    <w:rsid w:val="00A21EC5"/>
    <w:rsid w:val="00A22867"/>
    <w:rsid w:val="00A22CCD"/>
    <w:rsid w:val="00A240D3"/>
    <w:rsid w:val="00A25C08"/>
    <w:rsid w:val="00A262EC"/>
    <w:rsid w:val="00A32D49"/>
    <w:rsid w:val="00A33150"/>
    <w:rsid w:val="00A33EF1"/>
    <w:rsid w:val="00A3527F"/>
    <w:rsid w:val="00A40FCC"/>
    <w:rsid w:val="00A4235D"/>
    <w:rsid w:val="00A44847"/>
    <w:rsid w:val="00A44B76"/>
    <w:rsid w:val="00A459F9"/>
    <w:rsid w:val="00A51A8F"/>
    <w:rsid w:val="00A51E1B"/>
    <w:rsid w:val="00A521C5"/>
    <w:rsid w:val="00A52E4F"/>
    <w:rsid w:val="00A535C6"/>
    <w:rsid w:val="00A5365D"/>
    <w:rsid w:val="00A56496"/>
    <w:rsid w:val="00A60965"/>
    <w:rsid w:val="00A6106B"/>
    <w:rsid w:val="00A63A4D"/>
    <w:rsid w:val="00A647D0"/>
    <w:rsid w:val="00A65112"/>
    <w:rsid w:val="00A6563D"/>
    <w:rsid w:val="00A7009E"/>
    <w:rsid w:val="00A72490"/>
    <w:rsid w:val="00A73CA3"/>
    <w:rsid w:val="00A74397"/>
    <w:rsid w:val="00A74531"/>
    <w:rsid w:val="00A74CFC"/>
    <w:rsid w:val="00A7655C"/>
    <w:rsid w:val="00A77806"/>
    <w:rsid w:val="00A81D8E"/>
    <w:rsid w:val="00A828E3"/>
    <w:rsid w:val="00A82AA9"/>
    <w:rsid w:val="00A8541C"/>
    <w:rsid w:val="00A9407A"/>
    <w:rsid w:val="00A95779"/>
    <w:rsid w:val="00A9612E"/>
    <w:rsid w:val="00AA10FD"/>
    <w:rsid w:val="00AA286C"/>
    <w:rsid w:val="00AA3446"/>
    <w:rsid w:val="00AA53CE"/>
    <w:rsid w:val="00AA62C0"/>
    <w:rsid w:val="00AA667D"/>
    <w:rsid w:val="00AB2C71"/>
    <w:rsid w:val="00AB5AE2"/>
    <w:rsid w:val="00AB61EF"/>
    <w:rsid w:val="00AB7E18"/>
    <w:rsid w:val="00AC1C4C"/>
    <w:rsid w:val="00AC1DFA"/>
    <w:rsid w:val="00AC3643"/>
    <w:rsid w:val="00AC3893"/>
    <w:rsid w:val="00AC4BE4"/>
    <w:rsid w:val="00AC745C"/>
    <w:rsid w:val="00AC7B86"/>
    <w:rsid w:val="00AD4365"/>
    <w:rsid w:val="00AD5B51"/>
    <w:rsid w:val="00AE311F"/>
    <w:rsid w:val="00AE5BA4"/>
    <w:rsid w:val="00AE5F6E"/>
    <w:rsid w:val="00AE6DDB"/>
    <w:rsid w:val="00AE7113"/>
    <w:rsid w:val="00AE7E63"/>
    <w:rsid w:val="00AF09C7"/>
    <w:rsid w:val="00AF23C5"/>
    <w:rsid w:val="00AF2417"/>
    <w:rsid w:val="00AF4E44"/>
    <w:rsid w:val="00AF5503"/>
    <w:rsid w:val="00AF60E1"/>
    <w:rsid w:val="00B0047D"/>
    <w:rsid w:val="00B01D23"/>
    <w:rsid w:val="00B02E57"/>
    <w:rsid w:val="00B0733F"/>
    <w:rsid w:val="00B07570"/>
    <w:rsid w:val="00B101C0"/>
    <w:rsid w:val="00B11248"/>
    <w:rsid w:val="00B1275F"/>
    <w:rsid w:val="00B15602"/>
    <w:rsid w:val="00B17665"/>
    <w:rsid w:val="00B20D8F"/>
    <w:rsid w:val="00B21D00"/>
    <w:rsid w:val="00B24D08"/>
    <w:rsid w:val="00B2507C"/>
    <w:rsid w:val="00B255F5"/>
    <w:rsid w:val="00B27D40"/>
    <w:rsid w:val="00B33570"/>
    <w:rsid w:val="00B33966"/>
    <w:rsid w:val="00B369B5"/>
    <w:rsid w:val="00B3725A"/>
    <w:rsid w:val="00B402C4"/>
    <w:rsid w:val="00B41BB2"/>
    <w:rsid w:val="00B4283B"/>
    <w:rsid w:val="00B42882"/>
    <w:rsid w:val="00B43646"/>
    <w:rsid w:val="00B47F7E"/>
    <w:rsid w:val="00B535F5"/>
    <w:rsid w:val="00B5389C"/>
    <w:rsid w:val="00B550A5"/>
    <w:rsid w:val="00B56431"/>
    <w:rsid w:val="00B56C26"/>
    <w:rsid w:val="00B61136"/>
    <w:rsid w:val="00B629EE"/>
    <w:rsid w:val="00B646A2"/>
    <w:rsid w:val="00B657FF"/>
    <w:rsid w:val="00B65B58"/>
    <w:rsid w:val="00B6667B"/>
    <w:rsid w:val="00B67F36"/>
    <w:rsid w:val="00B72537"/>
    <w:rsid w:val="00B725F8"/>
    <w:rsid w:val="00B72AD8"/>
    <w:rsid w:val="00B73BB1"/>
    <w:rsid w:val="00B7420B"/>
    <w:rsid w:val="00B7472E"/>
    <w:rsid w:val="00B7565A"/>
    <w:rsid w:val="00B77B9D"/>
    <w:rsid w:val="00B84BB8"/>
    <w:rsid w:val="00B8539C"/>
    <w:rsid w:val="00B85A9A"/>
    <w:rsid w:val="00B85EBB"/>
    <w:rsid w:val="00B86F86"/>
    <w:rsid w:val="00B911D8"/>
    <w:rsid w:val="00B91E63"/>
    <w:rsid w:val="00B92453"/>
    <w:rsid w:val="00B92A95"/>
    <w:rsid w:val="00B932B4"/>
    <w:rsid w:val="00B94006"/>
    <w:rsid w:val="00B94ED5"/>
    <w:rsid w:val="00B97016"/>
    <w:rsid w:val="00B97522"/>
    <w:rsid w:val="00BA0142"/>
    <w:rsid w:val="00BA20B8"/>
    <w:rsid w:val="00BA39E8"/>
    <w:rsid w:val="00BA59FB"/>
    <w:rsid w:val="00BA7B1F"/>
    <w:rsid w:val="00BB036D"/>
    <w:rsid w:val="00BB05AE"/>
    <w:rsid w:val="00BB0D64"/>
    <w:rsid w:val="00BB45A7"/>
    <w:rsid w:val="00BB5A58"/>
    <w:rsid w:val="00BB5F04"/>
    <w:rsid w:val="00BB67B2"/>
    <w:rsid w:val="00BC318A"/>
    <w:rsid w:val="00BC332D"/>
    <w:rsid w:val="00BC41F0"/>
    <w:rsid w:val="00BC4A17"/>
    <w:rsid w:val="00BC4CB5"/>
    <w:rsid w:val="00BC6C76"/>
    <w:rsid w:val="00BC7C3A"/>
    <w:rsid w:val="00BD03DB"/>
    <w:rsid w:val="00BD1399"/>
    <w:rsid w:val="00BD4107"/>
    <w:rsid w:val="00BE0FE5"/>
    <w:rsid w:val="00BE3C62"/>
    <w:rsid w:val="00BE6B88"/>
    <w:rsid w:val="00BF34A9"/>
    <w:rsid w:val="00BF363D"/>
    <w:rsid w:val="00BF3645"/>
    <w:rsid w:val="00BF665B"/>
    <w:rsid w:val="00BF78C3"/>
    <w:rsid w:val="00C0768B"/>
    <w:rsid w:val="00C103D0"/>
    <w:rsid w:val="00C13665"/>
    <w:rsid w:val="00C138FE"/>
    <w:rsid w:val="00C13BF7"/>
    <w:rsid w:val="00C15ABB"/>
    <w:rsid w:val="00C161DE"/>
    <w:rsid w:val="00C1629F"/>
    <w:rsid w:val="00C171D1"/>
    <w:rsid w:val="00C17E04"/>
    <w:rsid w:val="00C219E4"/>
    <w:rsid w:val="00C2253E"/>
    <w:rsid w:val="00C227AD"/>
    <w:rsid w:val="00C249C6"/>
    <w:rsid w:val="00C34F66"/>
    <w:rsid w:val="00C35E3C"/>
    <w:rsid w:val="00C37C44"/>
    <w:rsid w:val="00C41642"/>
    <w:rsid w:val="00C42D34"/>
    <w:rsid w:val="00C46058"/>
    <w:rsid w:val="00C46839"/>
    <w:rsid w:val="00C50254"/>
    <w:rsid w:val="00C50408"/>
    <w:rsid w:val="00C52528"/>
    <w:rsid w:val="00C5303E"/>
    <w:rsid w:val="00C531B4"/>
    <w:rsid w:val="00C5572A"/>
    <w:rsid w:val="00C55EC6"/>
    <w:rsid w:val="00C5616A"/>
    <w:rsid w:val="00C568C2"/>
    <w:rsid w:val="00C571F7"/>
    <w:rsid w:val="00C5775C"/>
    <w:rsid w:val="00C602B5"/>
    <w:rsid w:val="00C60A0F"/>
    <w:rsid w:val="00C631A3"/>
    <w:rsid w:val="00C656FD"/>
    <w:rsid w:val="00C66EB3"/>
    <w:rsid w:val="00C67B68"/>
    <w:rsid w:val="00C70412"/>
    <w:rsid w:val="00C7279D"/>
    <w:rsid w:val="00C72FB4"/>
    <w:rsid w:val="00C73294"/>
    <w:rsid w:val="00C73DED"/>
    <w:rsid w:val="00C83ED1"/>
    <w:rsid w:val="00C84BFE"/>
    <w:rsid w:val="00C84F8F"/>
    <w:rsid w:val="00C85FA2"/>
    <w:rsid w:val="00C86A74"/>
    <w:rsid w:val="00C911C3"/>
    <w:rsid w:val="00C92C15"/>
    <w:rsid w:val="00C95647"/>
    <w:rsid w:val="00C95793"/>
    <w:rsid w:val="00C95EB5"/>
    <w:rsid w:val="00C96AB1"/>
    <w:rsid w:val="00CA09E1"/>
    <w:rsid w:val="00CA2558"/>
    <w:rsid w:val="00CA6C06"/>
    <w:rsid w:val="00CB14B6"/>
    <w:rsid w:val="00CB3050"/>
    <w:rsid w:val="00CB4CE3"/>
    <w:rsid w:val="00CB4F20"/>
    <w:rsid w:val="00CB6699"/>
    <w:rsid w:val="00CB7880"/>
    <w:rsid w:val="00CC2807"/>
    <w:rsid w:val="00CC2FBF"/>
    <w:rsid w:val="00CC3A6C"/>
    <w:rsid w:val="00CC5E13"/>
    <w:rsid w:val="00CC7D20"/>
    <w:rsid w:val="00CD22A8"/>
    <w:rsid w:val="00CD3050"/>
    <w:rsid w:val="00CD794F"/>
    <w:rsid w:val="00CE0915"/>
    <w:rsid w:val="00CE141C"/>
    <w:rsid w:val="00CE195C"/>
    <w:rsid w:val="00CE32FA"/>
    <w:rsid w:val="00CE45C9"/>
    <w:rsid w:val="00CE4755"/>
    <w:rsid w:val="00CE4FC8"/>
    <w:rsid w:val="00CE5563"/>
    <w:rsid w:val="00CF05CB"/>
    <w:rsid w:val="00CF10F3"/>
    <w:rsid w:val="00CF24E7"/>
    <w:rsid w:val="00CF2CE1"/>
    <w:rsid w:val="00CF2D55"/>
    <w:rsid w:val="00CF2F6A"/>
    <w:rsid w:val="00CF44F7"/>
    <w:rsid w:val="00CF5F64"/>
    <w:rsid w:val="00D00518"/>
    <w:rsid w:val="00D0077A"/>
    <w:rsid w:val="00D012C0"/>
    <w:rsid w:val="00D016DE"/>
    <w:rsid w:val="00D01C14"/>
    <w:rsid w:val="00D03693"/>
    <w:rsid w:val="00D03E97"/>
    <w:rsid w:val="00D12A79"/>
    <w:rsid w:val="00D14B4A"/>
    <w:rsid w:val="00D174D8"/>
    <w:rsid w:val="00D20955"/>
    <w:rsid w:val="00D22FF6"/>
    <w:rsid w:val="00D243FA"/>
    <w:rsid w:val="00D24A4B"/>
    <w:rsid w:val="00D2531B"/>
    <w:rsid w:val="00D25D5B"/>
    <w:rsid w:val="00D27858"/>
    <w:rsid w:val="00D33D82"/>
    <w:rsid w:val="00D37027"/>
    <w:rsid w:val="00D40EAD"/>
    <w:rsid w:val="00D42B0A"/>
    <w:rsid w:val="00D4352D"/>
    <w:rsid w:val="00D43CB7"/>
    <w:rsid w:val="00D444A4"/>
    <w:rsid w:val="00D445F6"/>
    <w:rsid w:val="00D457E1"/>
    <w:rsid w:val="00D45E6A"/>
    <w:rsid w:val="00D46BC7"/>
    <w:rsid w:val="00D46DB4"/>
    <w:rsid w:val="00D4704E"/>
    <w:rsid w:val="00D4764F"/>
    <w:rsid w:val="00D4799F"/>
    <w:rsid w:val="00D47B28"/>
    <w:rsid w:val="00D518CD"/>
    <w:rsid w:val="00D51933"/>
    <w:rsid w:val="00D51961"/>
    <w:rsid w:val="00D52820"/>
    <w:rsid w:val="00D537CE"/>
    <w:rsid w:val="00D542B2"/>
    <w:rsid w:val="00D54412"/>
    <w:rsid w:val="00D54BE3"/>
    <w:rsid w:val="00D565B5"/>
    <w:rsid w:val="00D604CA"/>
    <w:rsid w:val="00D61911"/>
    <w:rsid w:val="00D62EC0"/>
    <w:rsid w:val="00D63149"/>
    <w:rsid w:val="00D6464D"/>
    <w:rsid w:val="00D64A92"/>
    <w:rsid w:val="00D67DA0"/>
    <w:rsid w:val="00D7196B"/>
    <w:rsid w:val="00D720B8"/>
    <w:rsid w:val="00D77E5C"/>
    <w:rsid w:val="00D850BF"/>
    <w:rsid w:val="00D85968"/>
    <w:rsid w:val="00D878A3"/>
    <w:rsid w:val="00D90371"/>
    <w:rsid w:val="00D90F93"/>
    <w:rsid w:val="00D92182"/>
    <w:rsid w:val="00D93335"/>
    <w:rsid w:val="00D95D0C"/>
    <w:rsid w:val="00D9621B"/>
    <w:rsid w:val="00D966AA"/>
    <w:rsid w:val="00D9689B"/>
    <w:rsid w:val="00D96920"/>
    <w:rsid w:val="00D973B0"/>
    <w:rsid w:val="00DA021A"/>
    <w:rsid w:val="00DA19F0"/>
    <w:rsid w:val="00DA3184"/>
    <w:rsid w:val="00DA3911"/>
    <w:rsid w:val="00DA5794"/>
    <w:rsid w:val="00DA6201"/>
    <w:rsid w:val="00DA694F"/>
    <w:rsid w:val="00DA7092"/>
    <w:rsid w:val="00DB0D90"/>
    <w:rsid w:val="00DB1FFA"/>
    <w:rsid w:val="00DB217F"/>
    <w:rsid w:val="00DB2689"/>
    <w:rsid w:val="00DB29D0"/>
    <w:rsid w:val="00DB39E8"/>
    <w:rsid w:val="00DB535D"/>
    <w:rsid w:val="00DC4A73"/>
    <w:rsid w:val="00DC5DAB"/>
    <w:rsid w:val="00DC5F95"/>
    <w:rsid w:val="00DC70FB"/>
    <w:rsid w:val="00DD1605"/>
    <w:rsid w:val="00DD1D65"/>
    <w:rsid w:val="00DD418F"/>
    <w:rsid w:val="00DD536B"/>
    <w:rsid w:val="00DD5DB1"/>
    <w:rsid w:val="00DD77CE"/>
    <w:rsid w:val="00DE0C44"/>
    <w:rsid w:val="00DE36F7"/>
    <w:rsid w:val="00DE3E74"/>
    <w:rsid w:val="00DE722F"/>
    <w:rsid w:val="00DE76A0"/>
    <w:rsid w:val="00DF4155"/>
    <w:rsid w:val="00DF6064"/>
    <w:rsid w:val="00E00915"/>
    <w:rsid w:val="00E0299F"/>
    <w:rsid w:val="00E04C5D"/>
    <w:rsid w:val="00E052D4"/>
    <w:rsid w:val="00E05856"/>
    <w:rsid w:val="00E07D6C"/>
    <w:rsid w:val="00E10C07"/>
    <w:rsid w:val="00E12314"/>
    <w:rsid w:val="00E127A9"/>
    <w:rsid w:val="00E13B14"/>
    <w:rsid w:val="00E14B97"/>
    <w:rsid w:val="00E15018"/>
    <w:rsid w:val="00E15292"/>
    <w:rsid w:val="00E1585B"/>
    <w:rsid w:val="00E17783"/>
    <w:rsid w:val="00E17C9D"/>
    <w:rsid w:val="00E239FB"/>
    <w:rsid w:val="00E24F57"/>
    <w:rsid w:val="00E26B3D"/>
    <w:rsid w:val="00E313C9"/>
    <w:rsid w:val="00E34818"/>
    <w:rsid w:val="00E34F80"/>
    <w:rsid w:val="00E34FBB"/>
    <w:rsid w:val="00E372B2"/>
    <w:rsid w:val="00E37E17"/>
    <w:rsid w:val="00E4012D"/>
    <w:rsid w:val="00E40789"/>
    <w:rsid w:val="00E4444B"/>
    <w:rsid w:val="00E46437"/>
    <w:rsid w:val="00E46B71"/>
    <w:rsid w:val="00E47F09"/>
    <w:rsid w:val="00E50C73"/>
    <w:rsid w:val="00E53DC6"/>
    <w:rsid w:val="00E55A6C"/>
    <w:rsid w:val="00E55FCA"/>
    <w:rsid w:val="00E56A6A"/>
    <w:rsid w:val="00E61027"/>
    <w:rsid w:val="00E613BE"/>
    <w:rsid w:val="00E64439"/>
    <w:rsid w:val="00E66ED7"/>
    <w:rsid w:val="00E672EA"/>
    <w:rsid w:val="00E823AC"/>
    <w:rsid w:val="00E828C8"/>
    <w:rsid w:val="00E83375"/>
    <w:rsid w:val="00E836C9"/>
    <w:rsid w:val="00E83926"/>
    <w:rsid w:val="00E83B25"/>
    <w:rsid w:val="00E84586"/>
    <w:rsid w:val="00E871C7"/>
    <w:rsid w:val="00E91970"/>
    <w:rsid w:val="00E92393"/>
    <w:rsid w:val="00E9286E"/>
    <w:rsid w:val="00E93300"/>
    <w:rsid w:val="00E95AFC"/>
    <w:rsid w:val="00E9609E"/>
    <w:rsid w:val="00EA2E5C"/>
    <w:rsid w:val="00EA33A4"/>
    <w:rsid w:val="00EA3C49"/>
    <w:rsid w:val="00EA46B8"/>
    <w:rsid w:val="00EA4B5F"/>
    <w:rsid w:val="00EA5E6A"/>
    <w:rsid w:val="00EA7A69"/>
    <w:rsid w:val="00EB0A08"/>
    <w:rsid w:val="00EB1C11"/>
    <w:rsid w:val="00EB2839"/>
    <w:rsid w:val="00EB37FB"/>
    <w:rsid w:val="00EB4A09"/>
    <w:rsid w:val="00EB781D"/>
    <w:rsid w:val="00EC2F8F"/>
    <w:rsid w:val="00EC79C7"/>
    <w:rsid w:val="00ED4AE9"/>
    <w:rsid w:val="00ED7C34"/>
    <w:rsid w:val="00ED7C54"/>
    <w:rsid w:val="00EE1C8D"/>
    <w:rsid w:val="00EE2152"/>
    <w:rsid w:val="00EE3555"/>
    <w:rsid w:val="00EE45A6"/>
    <w:rsid w:val="00EE46FE"/>
    <w:rsid w:val="00EF177B"/>
    <w:rsid w:val="00EF2BD3"/>
    <w:rsid w:val="00EF47AD"/>
    <w:rsid w:val="00EF5AA1"/>
    <w:rsid w:val="00EF6F8A"/>
    <w:rsid w:val="00EF7220"/>
    <w:rsid w:val="00F00972"/>
    <w:rsid w:val="00F01C1D"/>
    <w:rsid w:val="00F0438C"/>
    <w:rsid w:val="00F05090"/>
    <w:rsid w:val="00F1084A"/>
    <w:rsid w:val="00F12A96"/>
    <w:rsid w:val="00F13C57"/>
    <w:rsid w:val="00F145BC"/>
    <w:rsid w:val="00F164DD"/>
    <w:rsid w:val="00F17FEA"/>
    <w:rsid w:val="00F20763"/>
    <w:rsid w:val="00F20F1D"/>
    <w:rsid w:val="00F21C38"/>
    <w:rsid w:val="00F23761"/>
    <w:rsid w:val="00F239E5"/>
    <w:rsid w:val="00F23C87"/>
    <w:rsid w:val="00F23DF2"/>
    <w:rsid w:val="00F25A3B"/>
    <w:rsid w:val="00F2633F"/>
    <w:rsid w:val="00F3190B"/>
    <w:rsid w:val="00F32124"/>
    <w:rsid w:val="00F33DAD"/>
    <w:rsid w:val="00F363CA"/>
    <w:rsid w:val="00F375AA"/>
    <w:rsid w:val="00F46FD3"/>
    <w:rsid w:val="00F47520"/>
    <w:rsid w:val="00F51271"/>
    <w:rsid w:val="00F518C8"/>
    <w:rsid w:val="00F54C26"/>
    <w:rsid w:val="00F54D9D"/>
    <w:rsid w:val="00F563CA"/>
    <w:rsid w:val="00F5775B"/>
    <w:rsid w:val="00F63790"/>
    <w:rsid w:val="00F65377"/>
    <w:rsid w:val="00F67F93"/>
    <w:rsid w:val="00F700E2"/>
    <w:rsid w:val="00F709D3"/>
    <w:rsid w:val="00F72AE7"/>
    <w:rsid w:val="00F72F70"/>
    <w:rsid w:val="00F7414E"/>
    <w:rsid w:val="00F74CF1"/>
    <w:rsid w:val="00F751AF"/>
    <w:rsid w:val="00F757CC"/>
    <w:rsid w:val="00F76587"/>
    <w:rsid w:val="00F76963"/>
    <w:rsid w:val="00F77CA3"/>
    <w:rsid w:val="00F81256"/>
    <w:rsid w:val="00F823F0"/>
    <w:rsid w:val="00F83A3B"/>
    <w:rsid w:val="00F87038"/>
    <w:rsid w:val="00F9044D"/>
    <w:rsid w:val="00F90DEF"/>
    <w:rsid w:val="00F9161B"/>
    <w:rsid w:val="00F9288C"/>
    <w:rsid w:val="00F931FB"/>
    <w:rsid w:val="00F94D98"/>
    <w:rsid w:val="00F951BF"/>
    <w:rsid w:val="00F95260"/>
    <w:rsid w:val="00F96A69"/>
    <w:rsid w:val="00F9794A"/>
    <w:rsid w:val="00FA0630"/>
    <w:rsid w:val="00FA0945"/>
    <w:rsid w:val="00FA2B7B"/>
    <w:rsid w:val="00FA6539"/>
    <w:rsid w:val="00FA7844"/>
    <w:rsid w:val="00FA7D00"/>
    <w:rsid w:val="00FB3831"/>
    <w:rsid w:val="00FB4096"/>
    <w:rsid w:val="00FB668A"/>
    <w:rsid w:val="00FC28B0"/>
    <w:rsid w:val="00FC2D3E"/>
    <w:rsid w:val="00FC3A56"/>
    <w:rsid w:val="00FC63B1"/>
    <w:rsid w:val="00FD0023"/>
    <w:rsid w:val="00FD06AD"/>
    <w:rsid w:val="00FD265A"/>
    <w:rsid w:val="00FD507F"/>
    <w:rsid w:val="00FD52A6"/>
    <w:rsid w:val="00FD6681"/>
    <w:rsid w:val="00FE0624"/>
    <w:rsid w:val="00FE0ABD"/>
    <w:rsid w:val="00FE2039"/>
    <w:rsid w:val="00FE29B5"/>
    <w:rsid w:val="00FF114F"/>
    <w:rsid w:val="00FF1BF2"/>
    <w:rsid w:val="00FF25AC"/>
    <w:rsid w:val="00FF3A05"/>
    <w:rsid w:val="00FF3AC8"/>
    <w:rsid w:val="00FF3D25"/>
    <w:rsid w:val="00FF3FE5"/>
    <w:rsid w:val="00FF45A3"/>
    <w:rsid w:val="00FF5C54"/>
    <w:rsid w:val="01AC069C"/>
    <w:rsid w:val="01FC18BB"/>
    <w:rsid w:val="032C3F20"/>
    <w:rsid w:val="03B32B6F"/>
    <w:rsid w:val="042B4904"/>
    <w:rsid w:val="047E77DA"/>
    <w:rsid w:val="04C36D98"/>
    <w:rsid w:val="054D52AB"/>
    <w:rsid w:val="060131DB"/>
    <w:rsid w:val="085F20AB"/>
    <w:rsid w:val="08855DAC"/>
    <w:rsid w:val="090E716C"/>
    <w:rsid w:val="09400D61"/>
    <w:rsid w:val="09995E68"/>
    <w:rsid w:val="0AFE60A4"/>
    <w:rsid w:val="0C14559A"/>
    <w:rsid w:val="0C3160E1"/>
    <w:rsid w:val="0DB84046"/>
    <w:rsid w:val="0E035F63"/>
    <w:rsid w:val="0F430961"/>
    <w:rsid w:val="0F47223A"/>
    <w:rsid w:val="0F4E39BC"/>
    <w:rsid w:val="0FF16376"/>
    <w:rsid w:val="10116E65"/>
    <w:rsid w:val="111B22D4"/>
    <w:rsid w:val="11431F33"/>
    <w:rsid w:val="15274A3E"/>
    <w:rsid w:val="15ED708B"/>
    <w:rsid w:val="18536BBD"/>
    <w:rsid w:val="1A3E66DA"/>
    <w:rsid w:val="1C017842"/>
    <w:rsid w:val="1C9B55BF"/>
    <w:rsid w:val="21AD513C"/>
    <w:rsid w:val="22547FDB"/>
    <w:rsid w:val="286D5B59"/>
    <w:rsid w:val="294519F1"/>
    <w:rsid w:val="29C042A8"/>
    <w:rsid w:val="29FA21CB"/>
    <w:rsid w:val="2A0A7820"/>
    <w:rsid w:val="2A0C24B8"/>
    <w:rsid w:val="2D0B62DA"/>
    <w:rsid w:val="2D806BCC"/>
    <w:rsid w:val="2EBA19A6"/>
    <w:rsid w:val="2F726933"/>
    <w:rsid w:val="3032067E"/>
    <w:rsid w:val="3715608F"/>
    <w:rsid w:val="3CD63FED"/>
    <w:rsid w:val="3D9D3031"/>
    <w:rsid w:val="3F835097"/>
    <w:rsid w:val="40543B8F"/>
    <w:rsid w:val="45FB4A6A"/>
    <w:rsid w:val="4773219A"/>
    <w:rsid w:val="49130472"/>
    <w:rsid w:val="49EE3D24"/>
    <w:rsid w:val="4CD137A7"/>
    <w:rsid w:val="4DC61155"/>
    <w:rsid w:val="51606842"/>
    <w:rsid w:val="52DD7115"/>
    <w:rsid w:val="53C66AA2"/>
    <w:rsid w:val="548C1B1F"/>
    <w:rsid w:val="57F9DC67"/>
    <w:rsid w:val="5C1C02F3"/>
    <w:rsid w:val="5C480BA0"/>
    <w:rsid w:val="5E2321AD"/>
    <w:rsid w:val="5EC362E7"/>
    <w:rsid w:val="5FAB317A"/>
    <w:rsid w:val="5FF03E2E"/>
    <w:rsid w:val="5FF8456C"/>
    <w:rsid w:val="63F51375"/>
    <w:rsid w:val="65503310"/>
    <w:rsid w:val="65DE4C23"/>
    <w:rsid w:val="66036F2E"/>
    <w:rsid w:val="67024C02"/>
    <w:rsid w:val="68D44B5F"/>
    <w:rsid w:val="68F90909"/>
    <w:rsid w:val="6A8D15A4"/>
    <w:rsid w:val="6CDA7A65"/>
    <w:rsid w:val="6D917675"/>
    <w:rsid w:val="6FB92D91"/>
    <w:rsid w:val="6FF44E55"/>
    <w:rsid w:val="704F6CEC"/>
    <w:rsid w:val="70A01773"/>
    <w:rsid w:val="721B532A"/>
    <w:rsid w:val="73757902"/>
    <w:rsid w:val="77192ACC"/>
    <w:rsid w:val="77BA5120"/>
    <w:rsid w:val="78A84701"/>
    <w:rsid w:val="78CB03DC"/>
    <w:rsid w:val="7ABF178F"/>
    <w:rsid w:val="7C6D75CA"/>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uiPriority="0" w:qFormat="1"/>
    <w:lsdException w:name="toc 8" w:semiHidden="1" w:uiPriority="0" w:unhideWhenUsed="1"/>
    <w:lsdException w:name="toc 9" w:semiHidden="1" w:uiPriority="39" w:unhideWhenUsed="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24A4"/>
    <w:pPr>
      <w:widowControl w:val="0"/>
      <w:jc w:val="both"/>
    </w:pPr>
    <w:rPr>
      <w:rFonts w:ascii="Times New Roman" w:hAnsi="Times New Roman"/>
      <w:kern w:val="2"/>
      <w:sz w:val="21"/>
      <w:szCs w:val="24"/>
    </w:rPr>
  </w:style>
  <w:style w:type="paragraph" w:styleId="1">
    <w:name w:val="heading 1"/>
    <w:basedOn w:val="a"/>
    <w:next w:val="a"/>
    <w:link w:val="1Char"/>
    <w:qFormat/>
    <w:rsid w:val="009224A4"/>
    <w:pPr>
      <w:keepNext/>
      <w:spacing w:before="240" w:after="60"/>
      <w:outlineLvl w:val="0"/>
    </w:pPr>
    <w:rPr>
      <w:rFonts w:ascii="Arial" w:hAnsi="Arial"/>
      <w:b/>
      <w:bCs/>
      <w:kern w:val="32"/>
      <w:sz w:val="32"/>
      <w:szCs w:val="32"/>
    </w:rPr>
  </w:style>
  <w:style w:type="paragraph" w:styleId="2">
    <w:name w:val="heading 2"/>
    <w:basedOn w:val="5"/>
    <w:next w:val="a0"/>
    <w:link w:val="2Char"/>
    <w:qFormat/>
    <w:rsid w:val="009224A4"/>
    <w:pPr>
      <w:adjustRightInd w:val="0"/>
      <w:ind w:right="113"/>
      <w:outlineLvl w:val="1"/>
    </w:pPr>
    <w:rPr>
      <w:rFonts w:ascii="宋体" w:hAnsi="宋体"/>
      <w:sz w:val="32"/>
      <w:szCs w:val="20"/>
    </w:rPr>
  </w:style>
  <w:style w:type="paragraph" w:styleId="3">
    <w:name w:val="heading 3"/>
    <w:basedOn w:val="a"/>
    <w:next w:val="a"/>
    <w:link w:val="3Char"/>
    <w:qFormat/>
    <w:rsid w:val="009224A4"/>
    <w:pPr>
      <w:keepNext/>
      <w:keepLines/>
      <w:spacing w:before="260" w:after="260" w:line="415" w:lineRule="auto"/>
      <w:outlineLvl w:val="2"/>
    </w:pPr>
    <w:rPr>
      <w:b/>
      <w:bCs/>
      <w:kern w:val="0"/>
      <w:sz w:val="32"/>
      <w:szCs w:val="32"/>
    </w:rPr>
  </w:style>
  <w:style w:type="paragraph" w:styleId="4">
    <w:name w:val="heading 4"/>
    <w:basedOn w:val="a"/>
    <w:next w:val="a0"/>
    <w:link w:val="4Char"/>
    <w:qFormat/>
    <w:rsid w:val="009224A4"/>
    <w:pPr>
      <w:adjustRightInd w:val="0"/>
      <w:spacing w:before="60" w:after="40" w:line="288" w:lineRule="auto"/>
      <w:textAlignment w:val="baseline"/>
      <w:outlineLvl w:val="3"/>
    </w:pPr>
    <w:rPr>
      <w:kern w:val="0"/>
      <w:sz w:val="28"/>
      <w:szCs w:val="28"/>
    </w:rPr>
  </w:style>
  <w:style w:type="paragraph" w:styleId="5">
    <w:name w:val="heading 5"/>
    <w:basedOn w:val="a"/>
    <w:next w:val="a"/>
    <w:link w:val="5Char"/>
    <w:uiPriority w:val="9"/>
    <w:qFormat/>
    <w:rsid w:val="009224A4"/>
    <w:pPr>
      <w:keepNext/>
      <w:keepLines/>
      <w:spacing w:before="280" w:after="290" w:line="376" w:lineRule="auto"/>
      <w:outlineLvl w:val="4"/>
    </w:pPr>
    <w:rPr>
      <w:b/>
      <w:bCs/>
      <w:kern w:val="0"/>
      <w:sz w:val="28"/>
      <w:szCs w:val="28"/>
    </w:rPr>
  </w:style>
  <w:style w:type="paragraph" w:styleId="6">
    <w:name w:val="heading 6"/>
    <w:basedOn w:val="a"/>
    <w:next w:val="a0"/>
    <w:link w:val="6Char"/>
    <w:qFormat/>
    <w:rsid w:val="009224A4"/>
    <w:pPr>
      <w:keepNext/>
      <w:keepLines/>
      <w:adjustRightInd w:val="0"/>
      <w:spacing w:before="240" w:after="64" w:line="319" w:lineRule="auto"/>
      <w:textAlignment w:val="baseline"/>
      <w:outlineLvl w:val="5"/>
    </w:pPr>
    <w:rPr>
      <w:rFonts w:ascii="Arial" w:eastAsia="黑体" w:hAnsi="Arial"/>
      <w:b/>
      <w:bCs/>
      <w:kern w:val="0"/>
      <w:sz w:val="20"/>
      <w:szCs w:val="20"/>
    </w:rPr>
  </w:style>
  <w:style w:type="paragraph" w:styleId="7">
    <w:name w:val="heading 7"/>
    <w:basedOn w:val="a"/>
    <w:next w:val="a0"/>
    <w:link w:val="7Char"/>
    <w:qFormat/>
    <w:rsid w:val="009224A4"/>
    <w:pPr>
      <w:keepNext/>
      <w:keepLines/>
      <w:adjustRightInd w:val="0"/>
      <w:spacing w:before="240" w:after="64" w:line="319" w:lineRule="auto"/>
      <w:textAlignment w:val="baseline"/>
      <w:outlineLvl w:val="6"/>
    </w:pPr>
    <w:rPr>
      <w:rFonts w:ascii="宋体" w:hAnsi="宋体"/>
      <w:b/>
      <w:bCs/>
      <w:kern w:val="0"/>
      <w:sz w:val="20"/>
      <w:szCs w:val="20"/>
    </w:rPr>
  </w:style>
  <w:style w:type="paragraph" w:styleId="8">
    <w:name w:val="heading 8"/>
    <w:basedOn w:val="a"/>
    <w:next w:val="a0"/>
    <w:link w:val="8Char"/>
    <w:qFormat/>
    <w:rsid w:val="009224A4"/>
    <w:pPr>
      <w:keepNext/>
      <w:keepLines/>
      <w:adjustRightInd w:val="0"/>
      <w:spacing w:before="240" w:after="64" w:line="319" w:lineRule="auto"/>
      <w:textAlignment w:val="baseline"/>
      <w:outlineLvl w:val="7"/>
    </w:pPr>
    <w:rPr>
      <w:rFonts w:ascii="Arial" w:eastAsia="黑体" w:hAnsi="Arial"/>
      <w:kern w:val="0"/>
      <w:sz w:val="20"/>
      <w:szCs w:val="20"/>
    </w:rPr>
  </w:style>
  <w:style w:type="paragraph" w:styleId="9">
    <w:name w:val="heading 9"/>
    <w:basedOn w:val="a"/>
    <w:next w:val="a0"/>
    <w:link w:val="9Char"/>
    <w:qFormat/>
    <w:rsid w:val="009224A4"/>
    <w:pPr>
      <w:keepNext/>
      <w:keepLines/>
      <w:adjustRightInd w:val="0"/>
      <w:spacing w:before="240" w:after="64" w:line="319" w:lineRule="auto"/>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9224A4"/>
    <w:pPr>
      <w:ind w:firstLineChars="200" w:firstLine="420"/>
    </w:pPr>
  </w:style>
  <w:style w:type="paragraph" w:styleId="70">
    <w:name w:val="toc 7"/>
    <w:basedOn w:val="a"/>
    <w:next w:val="a"/>
    <w:qFormat/>
    <w:rsid w:val="009224A4"/>
    <w:pPr>
      <w:ind w:leftChars="1200" w:left="2520"/>
    </w:pPr>
  </w:style>
  <w:style w:type="paragraph" w:styleId="a4">
    <w:name w:val="Document Map"/>
    <w:basedOn w:val="a"/>
    <w:link w:val="Char"/>
    <w:semiHidden/>
    <w:qFormat/>
    <w:rsid w:val="009224A4"/>
    <w:pPr>
      <w:shd w:val="clear" w:color="auto" w:fill="000080"/>
    </w:pPr>
    <w:rPr>
      <w:kern w:val="0"/>
      <w:szCs w:val="20"/>
    </w:rPr>
  </w:style>
  <w:style w:type="paragraph" w:styleId="a5">
    <w:name w:val="annotation text"/>
    <w:basedOn w:val="a"/>
    <w:link w:val="Char0"/>
    <w:uiPriority w:val="99"/>
    <w:qFormat/>
    <w:rsid w:val="009224A4"/>
    <w:pPr>
      <w:jc w:val="left"/>
    </w:pPr>
    <w:rPr>
      <w:rFonts w:ascii="Calibri" w:hAnsi="Calibri"/>
      <w:kern w:val="0"/>
      <w:szCs w:val="20"/>
    </w:rPr>
  </w:style>
  <w:style w:type="paragraph" w:styleId="a6">
    <w:name w:val="Body Text"/>
    <w:basedOn w:val="a"/>
    <w:link w:val="Char1"/>
    <w:qFormat/>
    <w:rsid w:val="009224A4"/>
    <w:rPr>
      <w:kern w:val="0"/>
      <w:sz w:val="20"/>
      <w:szCs w:val="20"/>
    </w:rPr>
  </w:style>
  <w:style w:type="paragraph" w:styleId="a7">
    <w:name w:val="Body Text Indent"/>
    <w:basedOn w:val="a"/>
    <w:link w:val="Char2"/>
    <w:unhideWhenUsed/>
    <w:qFormat/>
    <w:rsid w:val="009224A4"/>
    <w:pPr>
      <w:spacing w:after="120"/>
      <w:ind w:leftChars="200" w:left="420"/>
    </w:pPr>
  </w:style>
  <w:style w:type="paragraph" w:styleId="a8">
    <w:name w:val="Plain Text"/>
    <w:basedOn w:val="a"/>
    <w:link w:val="Char3"/>
    <w:qFormat/>
    <w:rsid w:val="009224A4"/>
    <w:rPr>
      <w:rFonts w:ascii="宋体" w:hAnsi="Courier New"/>
      <w:kern w:val="0"/>
      <w:szCs w:val="21"/>
    </w:rPr>
  </w:style>
  <w:style w:type="paragraph" w:styleId="a9">
    <w:name w:val="Date"/>
    <w:basedOn w:val="a"/>
    <w:next w:val="a"/>
    <w:link w:val="Char4"/>
    <w:qFormat/>
    <w:rsid w:val="009224A4"/>
    <w:pPr>
      <w:ind w:leftChars="2500" w:left="100"/>
    </w:pPr>
    <w:rPr>
      <w:kern w:val="0"/>
      <w:szCs w:val="20"/>
    </w:rPr>
  </w:style>
  <w:style w:type="paragraph" w:styleId="20">
    <w:name w:val="Body Text Indent 2"/>
    <w:basedOn w:val="a"/>
    <w:link w:val="2Char0"/>
    <w:qFormat/>
    <w:rsid w:val="009224A4"/>
    <w:pPr>
      <w:spacing w:line="360" w:lineRule="auto"/>
      <w:ind w:firstLineChars="200" w:firstLine="420"/>
    </w:pPr>
    <w:rPr>
      <w:rFonts w:ascii="宋体" w:hAnsi="宋体"/>
      <w:kern w:val="0"/>
      <w:szCs w:val="20"/>
    </w:rPr>
  </w:style>
  <w:style w:type="paragraph" w:styleId="aa">
    <w:name w:val="Balloon Text"/>
    <w:basedOn w:val="a"/>
    <w:link w:val="Char5"/>
    <w:semiHidden/>
    <w:qFormat/>
    <w:rsid w:val="009224A4"/>
    <w:rPr>
      <w:kern w:val="0"/>
      <w:sz w:val="18"/>
      <w:szCs w:val="18"/>
    </w:rPr>
  </w:style>
  <w:style w:type="paragraph" w:styleId="ab">
    <w:name w:val="footer"/>
    <w:basedOn w:val="a"/>
    <w:link w:val="Char6"/>
    <w:uiPriority w:val="99"/>
    <w:qFormat/>
    <w:rsid w:val="009224A4"/>
    <w:pPr>
      <w:tabs>
        <w:tab w:val="center" w:pos="4153"/>
        <w:tab w:val="right" w:pos="8306"/>
      </w:tabs>
      <w:snapToGrid w:val="0"/>
      <w:jc w:val="left"/>
    </w:pPr>
    <w:rPr>
      <w:rFonts w:ascii="Calibri" w:hAnsi="Calibri"/>
      <w:kern w:val="0"/>
      <w:sz w:val="18"/>
      <w:szCs w:val="18"/>
    </w:rPr>
  </w:style>
  <w:style w:type="paragraph" w:styleId="ac">
    <w:name w:val="header"/>
    <w:basedOn w:val="a"/>
    <w:link w:val="Char7"/>
    <w:uiPriority w:val="99"/>
    <w:qFormat/>
    <w:rsid w:val="009224A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qFormat/>
    <w:rsid w:val="009224A4"/>
    <w:pPr>
      <w:tabs>
        <w:tab w:val="right" w:leader="dot" w:pos="8296"/>
      </w:tabs>
      <w:spacing w:line="360" w:lineRule="auto"/>
    </w:pPr>
    <w:rPr>
      <w:rFonts w:hAnsi="宋体" w:cs="Arial"/>
      <w:b/>
      <w:kern w:val="0"/>
    </w:rPr>
  </w:style>
  <w:style w:type="paragraph" w:styleId="ad">
    <w:name w:val="footnote text"/>
    <w:basedOn w:val="a"/>
    <w:link w:val="Char8"/>
    <w:qFormat/>
    <w:rsid w:val="009224A4"/>
    <w:pPr>
      <w:snapToGrid w:val="0"/>
      <w:jc w:val="left"/>
    </w:pPr>
    <w:rPr>
      <w:rFonts w:ascii="Calibri" w:hAnsi="Calibri"/>
      <w:kern w:val="0"/>
      <w:sz w:val="18"/>
      <w:szCs w:val="20"/>
    </w:rPr>
  </w:style>
  <w:style w:type="paragraph" w:styleId="30">
    <w:name w:val="Body Text Indent 3"/>
    <w:basedOn w:val="a"/>
    <w:link w:val="3Char0"/>
    <w:qFormat/>
    <w:rsid w:val="009224A4"/>
    <w:pPr>
      <w:spacing w:after="120"/>
      <w:ind w:leftChars="200" w:left="420"/>
    </w:pPr>
    <w:rPr>
      <w:kern w:val="0"/>
      <w:sz w:val="16"/>
      <w:szCs w:val="16"/>
    </w:rPr>
  </w:style>
  <w:style w:type="paragraph" w:styleId="21">
    <w:name w:val="Body Text 2"/>
    <w:basedOn w:val="a"/>
    <w:link w:val="2Char1"/>
    <w:qFormat/>
    <w:rsid w:val="009224A4"/>
    <w:pPr>
      <w:jc w:val="center"/>
    </w:pPr>
    <w:rPr>
      <w:kern w:val="0"/>
      <w:sz w:val="20"/>
      <w:szCs w:val="20"/>
    </w:rPr>
  </w:style>
  <w:style w:type="paragraph" w:styleId="HTML">
    <w:name w:val="HTML Preformatted"/>
    <w:basedOn w:val="a"/>
    <w:link w:val="HTMLChar"/>
    <w:uiPriority w:val="99"/>
    <w:qFormat/>
    <w:rsid w:val="00922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0"/>
    </w:rPr>
  </w:style>
  <w:style w:type="paragraph" w:styleId="ae">
    <w:name w:val="Normal (Web)"/>
    <w:basedOn w:val="a"/>
    <w:uiPriority w:val="99"/>
    <w:unhideWhenUsed/>
    <w:qFormat/>
    <w:rsid w:val="009224A4"/>
  </w:style>
  <w:style w:type="paragraph" w:styleId="af">
    <w:name w:val="annotation subject"/>
    <w:basedOn w:val="a5"/>
    <w:next w:val="a5"/>
    <w:link w:val="Char9"/>
    <w:semiHidden/>
    <w:qFormat/>
    <w:rsid w:val="009224A4"/>
    <w:rPr>
      <w:rFonts w:ascii="Times New Roman" w:hAnsi="Times New Roman"/>
      <w:b/>
      <w:bCs/>
    </w:rPr>
  </w:style>
  <w:style w:type="table" w:styleId="af0">
    <w:name w:val="Table Grid"/>
    <w:basedOn w:val="a2"/>
    <w:uiPriority w:val="59"/>
    <w:qFormat/>
    <w:rsid w:val="00922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9224A4"/>
    <w:rPr>
      <w:b/>
      <w:bCs/>
    </w:rPr>
  </w:style>
  <w:style w:type="character" w:styleId="af2">
    <w:name w:val="page number"/>
    <w:basedOn w:val="a1"/>
    <w:qFormat/>
    <w:rsid w:val="009224A4"/>
  </w:style>
  <w:style w:type="character" w:styleId="af3">
    <w:name w:val="FollowedHyperlink"/>
    <w:qFormat/>
    <w:rsid w:val="009224A4"/>
    <w:rPr>
      <w:color w:val="800080"/>
      <w:u w:val="single"/>
    </w:rPr>
  </w:style>
  <w:style w:type="character" w:styleId="HTML0">
    <w:name w:val="HTML Typewriter"/>
    <w:qFormat/>
    <w:rsid w:val="009224A4"/>
    <w:rPr>
      <w:rFonts w:ascii="Arial Unicode MS" w:eastAsia="Courier New" w:hAnsi="Arial Unicode MS" w:cs="Courier New"/>
      <w:sz w:val="20"/>
      <w:szCs w:val="20"/>
    </w:rPr>
  </w:style>
  <w:style w:type="character" w:styleId="af4">
    <w:name w:val="Hyperlink"/>
    <w:uiPriority w:val="99"/>
    <w:qFormat/>
    <w:rsid w:val="009224A4"/>
    <w:rPr>
      <w:color w:val="0000FF"/>
      <w:u w:val="single"/>
    </w:rPr>
  </w:style>
  <w:style w:type="character" w:styleId="af5">
    <w:name w:val="annotation reference"/>
    <w:uiPriority w:val="99"/>
    <w:qFormat/>
    <w:rsid w:val="009224A4"/>
    <w:rPr>
      <w:sz w:val="21"/>
      <w:szCs w:val="21"/>
    </w:rPr>
  </w:style>
  <w:style w:type="character" w:customStyle="1" w:styleId="11">
    <w:name w:val="脚注文本字符1"/>
    <w:uiPriority w:val="99"/>
    <w:semiHidden/>
    <w:qFormat/>
    <w:rsid w:val="009224A4"/>
    <w:rPr>
      <w:rFonts w:ascii="Times New Roman" w:eastAsia="宋体" w:hAnsi="Times New Roman" w:cs="Times New Roman"/>
      <w:sz w:val="18"/>
      <w:szCs w:val="18"/>
    </w:rPr>
  </w:style>
  <w:style w:type="character" w:customStyle="1" w:styleId="2Char0">
    <w:name w:val="正文文本缩进 2 Char"/>
    <w:link w:val="20"/>
    <w:qFormat/>
    <w:rsid w:val="009224A4"/>
    <w:rPr>
      <w:rFonts w:ascii="宋体" w:hAnsi="宋体"/>
      <w:sz w:val="21"/>
    </w:rPr>
  </w:style>
  <w:style w:type="character" w:customStyle="1" w:styleId="3Char0">
    <w:name w:val="正文文本缩进 3 Char"/>
    <w:link w:val="30"/>
    <w:qFormat/>
    <w:rsid w:val="009224A4"/>
    <w:rPr>
      <w:rFonts w:ascii="Times New Roman" w:eastAsia="宋体" w:hAnsi="Times New Roman" w:cs="Times New Roman"/>
      <w:sz w:val="16"/>
      <w:szCs w:val="16"/>
    </w:rPr>
  </w:style>
  <w:style w:type="character" w:customStyle="1" w:styleId="4Char">
    <w:name w:val="标题 4 Char"/>
    <w:link w:val="4"/>
    <w:qFormat/>
    <w:rsid w:val="009224A4"/>
    <w:rPr>
      <w:rFonts w:ascii="Times New Roman" w:eastAsia="宋体" w:hAnsi="Times New Roman" w:cs="Times New Roman"/>
      <w:kern w:val="0"/>
      <w:sz w:val="28"/>
      <w:szCs w:val="28"/>
    </w:rPr>
  </w:style>
  <w:style w:type="character" w:customStyle="1" w:styleId="5Char">
    <w:name w:val="标题 5 Char"/>
    <w:link w:val="5"/>
    <w:uiPriority w:val="9"/>
    <w:semiHidden/>
    <w:qFormat/>
    <w:rsid w:val="009224A4"/>
    <w:rPr>
      <w:rFonts w:ascii="Times New Roman" w:eastAsia="宋体" w:hAnsi="Times New Roman" w:cs="Times New Roman"/>
      <w:b/>
      <w:bCs/>
      <w:sz w:val="28"/>
      <w:szCs w:val="28"/>
    </w:rPr>
  </w:style>
  <w:style w:type="character" w:customStyle="1" w:styleId="6Char">
    <w:name w:val="标题 6 Char"/>
    <w:link w:val="6"/>
    <w:qFormat/>
    <w:rsid w:val="009224A4"/>
    <w:rPr>
      <w:rFonts w:ascii="Arial" w:eastAsia="黑体" w:hAnsi="Arial" w:cs="Times New Roman"/>
      <w:b/>
      <w:bCs/>
      <w:kern w:val="0"/>
    </w:rPr>
  </w:style>
  <w:style w:type="character" w:customStyle="1" w:styleId="7Char">
    <w:name w:val="标题 7 Char"/>
    <w:link w:val="7"/>
    <w:qFormat/>
    <w:rsid w:val="009224A4"/>
    <w:rPr>
      <w:rFonts w:ascii="宋体" w:eastAsia="宋体" w:hAnsi="Times New Roman" w:cs="Times New Roman"/>
      <w:b/>
      <w:bCs/>
      <w:kern w:val="0"/>
    </w:rPr>
  </w:style>
  <w:style w:type="character" w:customStyle="1" w:styleId="8Char">
    <w:name w:val="标题 8 Char"/>
    <w:link w:val="8"/>
    <w:qFormat/>
    <w:rsid w:val="009224A4"/>
    <w:rPr>
      <w:rFonts w:ascii="Arial" w:eastAsia="黑体" w:hAnsi="Arial" w:cs="Times New Roman"/>
      <w:kern w:val="0"/>
    </w:rPr>
  </w:style>
  <w:style w:type="character" w:customStyle="1" w:styleId="9Char">
    <w:name w:val="标题 9 Char"/>
    <w:link w:val="9"/>
    <w:qFormat/>
    <w:rsid w:val="009224A4"/>
    <w:rPr>
      <w:rFonts w:ascii="Arial" w:eastAsia="黑体" w:hAnsi="Arial" w:cs="Times New Roman"/>
      <w:kern w:val="0"/>
      <w:sz w:val="21"/>
      <w:szCs w:val="21"/>
    </w:rPr>
  </w:style>
  <w:style w:type="character" w:customStyle="1" w:styleId="1Char">
    <w:name w:val="标题 1 Char"/>
    <w:link w:val="1"/>
    <w:qFormat/>
    <w:rsid w:val="009224A4"/>
    <w:rPr>
      <w:rFonts w:ascii="Arial" w:eastAsia="宋体" w:hAnsi="Arial" w:cs="Arial"/>
      <w:b/>
      <w:bCs/>
      <w:kern w:val="32"/>
      <w:sz w:val="32"/>
      <w:szCs w:val="32"/>
    </w:rPr>
  </w:style>
  <w:style w:type="character" w:customStyle="1" w:styleId="12">
    <w:name w:val="页脚字符1"/>
    <w:uiPriority w:val="99"/>
    <w:semiHidden/>
    <w:qFormat/>
    <w:rsid w:val="009224A4"/>
    <w:rPr>
      <w:rFonts w:ascii="Times New Roman" w:eastAsia="宋体" w:hAnsi="Times New Roman" w:cs="Times New Roman"/>
      <w:sz w:val="18"/>
      <w:szCs w:val="18"/>
    </w:rPr>
  </w:style>
  <w:style w:type="character" w:customStyle="1" w:styleId="13">
    <w:name w:val="纯文本字符1"/>
    <w:uiPriority w:val="99"/>
    <w:semiHidden/>
    <w:qFormat/>
    <w:rsid w:val="009224A4"/>
    <w:rPr>
      <w:rFonts w:ascii="宋体" w:eastAsia="宋体" w:hAnsi="Courier" w:cs="Times New Roman"/>
    </w:rPr>
  </w:style>
  <w:style w:type="character" w:customStyle="1" w:styleId="14">
    <w:name w:val="页眉字符1"/>
    <w:uiPriority w:val="99"/>
    <w:semiHidden/>
    <w:qFormat/>
    <w:rsid w:val="009224A4"/>
    <w:rPr>
      <w:rFonts w:ascii="Times New Roman" w:eastAsia="宋体" w:hAnsi="Times New Roman" w:cs="Times New Roman"/>
      <w:sz w:val="18"/>
      <w:szCs w:val="18"/>
    </w:rPr>
  </w:style>
  <w:style w:type="character" w:customStyle="1" w:styleId="15">
    <w:name w:val="批注文字字符1"/>
    <w:uiPriority w:val="99"/>
    <w:semiHidden/>
    <w:qFormat/>
    <w:rsid w:val="009224A4"/>
    <w:rPr>
      <w:rFonts w:ascii="Times New Roman" w:eastAsia="宋体" w:hAnsi="Times New Roman" w:cs="Times New Roman"/>
      <w:sz w:val="21"/>
    </w:rPr>
  </w:style>
  <w:style w:type="paragraph" w:customStyle="1" w:styleId="16">
    <w:name w:val="样式1"/>
    <w:basedOn w:val="a"/>
    <w:qFormat/>
    <w:rsid w:val="009224A4"/>
    <w:pPr>
      <w:ind w:left="420" w:hanging="420"/>
    </w:pPr>
  </w:style>
  <w:style w:type="paragraph" w:customStyle="1" w:styleId="17">
    <w:name w:val="1"/>
    <w:basedOn w:val="a"/>
    <w:qFormat/>
    <w:rsid w:val="009224A4"/>
  </w:style>
  <w:style w:type="table" w:customStyle="1" w:styleId="18">
    <w:name w:val="网格型1"/>
    <w:basedOn w:val="a2"/>
    <w:uiPriority w:val="59"/>
    <w:rsid w:val="009224A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未处理的提及1"/>
    <w:uiPriority w:val="99"/>
    <w:semiHidden/>
    <w:unhideWhenUsed/>
    <w:rsid w:val="009224A4"/>
    <w:rPr>
      <w:color w:val="605E5C"/>
      <w:shd w:val="clear" w:color="auto" w:fill="E1DFDD"/>
    </w:rPr>
  </w:style>
  <w:style w:type="character" w:customStyle="1" w:styleId="2Char1">
    <w:name w:val="正文文本 2 Char"/>
    <w:link w:val="21"/>
    <w:qFormat/>
    <w:rsid w:val="009224A4"/>
    <w:rPr>
      <w:rFonts w:ascii="Times New Roman" w:eastAsia="宋体" w:hAnsi="Times New Roman" w:cs="Times New Roman"/>
    </w:rPr>
  </w:style>
  <w:style w:type="character" w:customStyle="1" w:styleId="2Char">
    <w:name w:val="标题 2 Char"/>
    <w:link w:val="2"/>
    <w:qFormat/>
    <w:rsid w:val="009224A4"/>
    <w:rPr>
      <w:rFonts w:ascii="宋体" w:eastAsia="宋体" w:hAnsi="Times New Roman" w:cs="Times New Roman"/>
      <w:b/>
      <w:bCs/>
      <w:sz w:val="32"/>
      <w:szCs w:val="20"/>
    </w:rPr>
  </w:style>
  <w:style w:type="paragraph" w:customStyle="1" w:styleId="22">
    <w:name w:val="产品小标题2"/>
    <w:basedOn w:val="a"/>
    <w:next w:val="a"/>
    <w:qFormat/>
    <w:rsid w:val="009224A4"/>
    <w:pPr>
      <w:spacing w:before="120" w:line="415" w:lineRule="auto"/>
      <w:ind w:firstLineChars="200" w:firstLine="562"/>
      <w:jc w:val="left"/>
      <w:outlineLvl w:val="0"/>
    </w:pPr>
    <w:rPr>
      <w:rFonts w:ascii="仿宋_GB2312" w:eastAsia="仿宋_GB2312" w:hAnsi="仿宋_GB2312"/>
      <w:b/>
      <w:kern w:val="0"/>
      <w:sz w:val="28"/>
    </w:rPr>
  </w:style>
  <w:style w:type="character" w:customStyle="1" w:styleId="3Char">
    <w:name w:val="标题 3 Char"/>
    <w:link w:val="3"/>
    <w:qFormat/>
    <w:rsid w:val="009224A4"/>
    <w:rPr>
      <w:rFonts w:ascii="Times New Roman" w:eastAsia="宋体" w:hAnsi="Times New Roman" w:cs="Times New Roman"/>
      <w:b/>
      <w:bCs/>
      <w:sz w:val="32"/>
      <w:szCs w:val="32"/>
    </w:rPr>
  </w:style>
  <w:style w:type="paragraph" w:customStyle="1" w:styleId="31">
    <w:name w:val="3"/>
    <w:basedOn w:val="a"/>
    <w:qFormat/>
    <w:rsid w:val="009224A4"/>
  </w:style>
  <w:style w:type="paragraph" w:customStyle="1" w:styleId="32">
    <w:name w:val="产品小标题3"/>
    <w:basedOn w:val="a"/>
    <w:qFormat/>
    <w:rsid w:val="009224A4"/>
    <w:pPr>
      <w:adjustRightInd w:val="0"/>
      <w:snapToGrid w:val="0"/>
      <w:spacing w:line="360" w:lineRule="auto"/>
      <w:ind w:firstLineChars="200" w:firstLine="562"/>
      <w:outlineLvl w:val="1"/>
    </w:pPr>
    <w:rPr>
      <w:rFonts w:ascii="仿宋_GB2312" w:eastAsia="仿宋_GB2312" w:hAnsi="仿宋_GB2312"/>
      <w:b/>
      <w:kern w:val="0"/>
      <w:sz w:val="28"/>
    </w:rPr>
  </w:style>
  <w:style w:type="paragraph" w:customStyle="1" w:styleId="150">
    <w:name w:val="样式 (西文) 宋体 (中文) 华文楷体 加粗 行距: 1.5 倍行距"/>
    <w:basedOn w:val="a"/>
    <w:qFormat/>
    <w:rsid w:val="009224A4"/>
    <w:pPr>
      <w:spacing w:line="360" w:lineRule="auto"/>
      <w:ind w:firstLineChars="200" w:firstLine="420"/>
    </w:pPr>
    <w:rPr>
      <w:rFonts w:ascii="宋体" w:hAnsi="宋体" w:cs="宋体"/>
      <w:b/>
      <w:bCs/>
      <w:szCs w:val="21"/>
    </w:rPr>
  </w:style>
  <w:style w:type="character" w:customStyle="1" w:styleId="210">
    <w:name w:val="正文文本缩进 2字符1"/>
    <w:uiPriority w:val="99"/>
    <w:semiHidden/>
    <w:qFormat/>
    <w:rsid w:val="009224A4"/>
    <w:rPr>
      <w:rFonts w:ascii="Times New Roman" w:eastAsia="宋体" w:hAnsi="Times New Roman" w:cs="Times New Roman"/>
      <w:sz w:val="21"/>
    </w:rPr>
  </w:style>
  <w:style w:type="paragraph" w:customStyle="1" w:styleId="222">
    <w:name w:val="样式 样式 产品正文2 + 首行缩进:  2 字符 + 首行缩进:  2 字符"/>
    <w:basedOn w:val="a"/>
    <w:qFormat/>
    <w:rsid w:val="009224A4"/>
    <w:pPr>
      <w:autoSpaceDE w:val="0"/>
      <w:autoSpaceDN w:val="0"/>
      <w:adjustRightInd w:val="0"/>
      <w:snapToGrid w:val="0"/>
      <w:spacing w:line="360" w:lineRule="auto"/>
      <w:ind w:firstLineChars="200" w:firstLine="480"/>
    </w:pPr>
    <w:rPr>
      <w:rFonts w:ascii="仿宋_GB2312" w:eastAsia="仿宋_GB2312" w:hAnsi="仿宋_GB2312" w:cs="宋体"/>
      <w:sz w:val="24"/>
      <w:szCs w:val="20"/>
      <w:lang w:val="zh-CN"/>
    </w:rPr>
  </w:style>
  <w:style w:type="character" w:customStyle="1" w:styleId="apple-style-span">
    <w:name w:val="apple-style-span"/>
    <w:basedOn w:val="a1"/>
    <w:qFormat/>
    <w:rsid w:val="009224A4"/>
  </w:style>
  <w:style w:type="character" w:customStyle="1" w:styleId="Char">
    <w:name w:val="文档结构图 Char"/>
    <w:link w:val="a4"/>
    <w:semiHidden/>
    <w:qFormat/>
    <w:rsid w:val="009224A4"/>
    <w:rPr>
      <w:rFonts w:ascii="Times New Roman" w:eastAsia="宋体" w:hAnsi="Times New Roman" w:cs="Times New Roman"/>
      <w:sz w:val="21"/>
      <w:shd w:val="clear" w:color="auto" w:fill="000080"/>
    </w:rPr>
  </w:style>
  <w:style w:type="character" w:customStyle="1" w:styleId="Char4">
    <w:name w:val="日期 Char"/>
    <w:link w:val="a9"/>
    <w:qFormat/>
    <w:rsid w:val="009224A4"/>
    <w:rPr>
      <w:rFonts w:ascii="Times New Roman" w:eastAsia="宋体" w:hAnsi="Times New Roman" w:cs="Times New Roman"/>
      <w:sz w:val="21"/>
    </w:rPr>
  </w:style>
  <w:style w:type="character" w:customStyle="1" w:styleId="unnamed11">
    <w:name w:val="unnamed11"/>
    <w:qFormat/>
    <w:rsid w:val="009224A4"/>
    <w:rPr>
      <w:rFonts w:ascii="宋体" w:eastAsia="宋体" w:hAnsi="宋体" w:hint="eastAsia"/>
      <w:sz w:val="18"/>
      <w:szCs w:val="18"/>
    </w:rPr>
  </w:style>
  <w:style w:type="character" w:customStyle="1" w:styleId="Char2">
    <w:name w:val="正文文本缩进 Char"/>
    <w:basedOn w:val="a1"/>
    <w:link w:val="a7"/>
    <w:qFormat/>
    <w:rsid w:val="009224A4"/>
  </w:style>
  <w:style w:type="character" w:customStyle="1" w:styleId="read">
    <w:name w:val="read"/>
    <w:basedOn w:val="a1"/>
    <w:qFormat/>
    <w:rsid w:val="009224A4"/>
  </w:style>
  <w:style w:type="character" w:customStyle="1" w:styleId="Char1">
    <w:name w:val="正文文本 Char"/>
    <w:link w:val="a6"/>
    <w:qFormat/>
    <w:rsid w:val="009224A4"/>
    <w:rPr>
      <w:rFonts w:ascii="Times New Roman" w:eastAsia="宋体" w:hAnsi="Times New Roman" w:cs="Times New Roman"/>
    </w:rPr>
  </w:style>
  <w:style w:type="character" w:customStyle="1" w:styleId="z-">
    <w:name w:val="z-窗体顶端字符"/>
    <w:link w:val="z-1"/>
    <w:uiPriority w:val="99"/>
    <w:qFormat/>
    <w:rsid w:val="009224A4"/>
    <w:rPr>
      <w:rFonts w:ascii="Arial" w:eastAsia="宋体" w:hAnsi="Arial" w:cs="Arial"/>
      <w:vanish/>
      <w:kern w:val="0"/>
      <w:sz w:val="16"/>
      <w:szCs w:val="16"/>
    </w:rPr>
  </w:style>
  <w:style w:type="paragraph" w:customStyle="1" w:styleId="z-1">
    <w:name w:val="z-窗体顶端1"/>
    <w:basedOn w:val="a"/>
    <w:next w:val="a"/>
    <w:link w:val="z-"/>
    <w:uiPriority w:val="99"/>
    <w:unhideWhenUsed/>
    <w:qFormat/>
    <w:rsid w:val="009224A4"/>
    <w:pPr>
      <w:widowControl/>
      <w:pBdr>
        <w:bottom w:val="single" w:sz="6" w:space="1" w:color="auto"/>
      </w:pBdr>
      <w:jc w:val="center"/>
    </w:pPr>
    <w:rPr>
      <w:rFonts w:ascii="Arial" w:hAnsi="Arial"/>
      <w:vanish/>
      <w:kern w:val="0"/>
      <w:sz w:val="16"/>
      <w:szCs w:val="16"/>
    </w:rPr>
  </w:style>
  <w:style w:type="character" w:customStyle="1" w:styleId="HTMLChar">
    <w:name w:val="HTML 预设格式 Char"/>
    <w:link w:val="HTML"/>
    <w:uiPriority w:val="99"/>
    <w:qFormat/>
    <w:rsid w:val="009224A4"/>
    <w:rPr>
      <w:rFonts w:ascii="宋体" w:hAnsi="宋体"/>
      <w:color w:val="000000"/>
    </w:rPr>
  </w:style>
  <w:style w:type="character" w:customStyle="1" w:styleId="Char8">
    <w:name w:val="脚注文本 Char"/>
    <w:link w:val="ad"/>
    <w:qFormat/>
    <w:rsid w:val="009224A4"/>
    <w:rPr>
      <w:sz w:val="18"/>
    </w:rPr>
  </w:style>
  <w:style w:type="character" w:customStyle="1" w:styleId="Char9">
    <w:name w:val="批注主题 Char"/>
    <w:link w:val="af"/>
    <w:semiHidden/>
    <w:qFormat/>
    <w:rsid w:val="009224A4"/>
    <w:rPr>
      <w:rFonts w:ascii="Times New Roman" w:eastAsia="宋体" w:hAnsi="Times New Roman" w:cs="Times New Roman"/>
      <w:b/>
      <w:bCs/>
      <w:sz w:val="21"/>
    </w:rPr>
  </w:style>
  <w:style w:type="character" w:customStyle="1" w:styleId="Chara">
    <w:name w:val="合同标题一一 Char"/>
    <w:qFormat/>
    <w:rsid w:val="009224A4"/>
    <w:rPr>
      <w:rFonts w:ascii="宋体" w:eastAsia="宋体" w:hAnsi="宋体"/>
      <w:b/>
      <w:kern w:val="44"/>
      <w:sz w:val="24"/>
      <w:szCs w:val="24"/>
      <w:lang w:val="en-US" w:eastAsia="zh-CN" w:bidi="ar-SA"/>
    </w:rPr>
  </w:style>
  <w:style w:type="character" w:customStyle="1" w:styleId="Char0">
    <w:name w:val="批注文字 Char"/>
    <w:link w:val="a5"/>
    <w:uiPriority w:val="99"/>
    <w:qFormat/>
    <w:rsid w:val="009224A4"/>
    <w:rPr>
      <w:sz w:val="21"/>
    </w:rPr>
  </w:style>
  <w:style w:type="character" w:customStyle="1" w:styleId="Char5">
    <w:name w:val="批注框文本 Char"/>
    <w:link w:val="aa"/>
    <w:semiHidden/>
    <w:qFormat/>
    <w:rsid w:val="009224A4"/>
    <w:rPr>
      <w:rFonts w:ascii="Times New Roman" w:eastAsia="宋体" w:hAnsi="Times New Roman" w:cs="Times New Roman"/>
      <w:sz w:val="18"/>
      <w:szCs w:val="18"/>
    </w:rPr>
  </w:style>
  <w:style w:type="character" w:customStyle="1" w:styleId="style2">
    <w:name w:val="style2"/>
    <w:basedOn w:val="a1"/>
    <w:qFormat/>
    <w:rsid w:val="009224A4"/>
  </w:style>
  <w:style w:type="character" w:customStyle="1" w:styleId="Char6">
    <w:name w:val="页脚 Char"/>
    <w:link w:val="ab"/>
    <w:uiPriority w:val="99"/>
    <w:qFormat/>
    <w:rsid w:val="009224A4"/>
    <w:rPr>
      <w:sz w:val="18"/>
      <w:szCs w:val="18"/>
    </w:rPr>
  </w:style>
  <w:style w:type="character" w:customStyle="1" w:styleId="txtcontent11">
    <w:name w:val="txtcontent11"/>
    <w:qFormat/>
    <w:rsid w:val="009224A4"/>
    <w:rPr>
      <w:rFonts w:hint="default"/>
      <w:color w:val="000000"/>
      <w:spacing w:val="326"/>
      <w:sz w:val="19"/>
      <w:szCs w:val="19"/>
    </w:rPr>
  </w:style>
  <w:style w:type="character" w:customStyle="1" w:styleId="Char7">
    <w:name w:val="页眉 Char"/>
    <w:link w:val="ac"/>
    <w:uiPriority w:val="99"/>
    <w:qFormat/>
    <w:rsid w:val="009224A4"/>
    <w:rPr>
      <w:sz w:val="18"/>
      <w:szCs w:val="18"/>
    </w:rPr>
  </w:style>
  <w:style w:type="character" w:customStyle="1" w:styleId="tt11">
    <w:name w:val="tt11"/>
    <w:qFormat/>
    <w:rsid w:val="009224A4"/>
    <w:rPr>
      <w:rFonts w:ascii="宋体" w:eastAsia="宋体" w:hAnsi="宋体"/>
      <w:color w:val="000000"/>
    </w:rPr>
  </w:style>
  <w:style w:type="character" w:customStyle="1" w:styleId="z-0">
    <w:name w:val="z-窗体底端字符"/>
    <w:link w:val="z-10"/>
    <w:uiPriority w:val="99"/>
    <w:qFormat/>
    <w:rsid w:val="009224A4"/>
    <w:rPr>
      <w:rFonts w:ascii="Arial" w:eastAsia="宋体" w:hAnsi="Arial" w:cs="Arial"/>
      <w:vanish/>
      <w:kern w:val="0"/>
      <w:sz w:val="16"/>
      <w:szCs w:val="16"/>
    </w:rPr>
  </w:style>
  <w:style w:type="paragraph" w:customStyle="1" w:styleId="z-10">
    <w:name w:val="z-窗体底端1"/>
    <w:basedOn w:val="a"/>
    <w:next w:val="a"/>
    <w:link w:val="z-0"/>
    <w:uiPriority w:val="99"/>
    <w:unhideWhenUsed/>
    <w:qFormat/>
    <w:rsid w:val="009224A4"/>
    <w:pPr>
      <w:widowControl/>
      <w:pBdr>
        <w:top w:val="single" w:sz="6" w:space="1" w:color="auto"/>
      </w:pBdr>
      <w:jc w:val="center"/>
    </w:pPr>
    <w:rPr>
      <w:rFonts w:ascii="Arial" w:hAnsi="Arial"/>
      <w:vanish/>
      <w:kern w:val="0"/>
      <w:sz w:val="16"/>
      <w:szCs w:val="16"/>
    </w:rPr>
  </w:style>
  <w:style w:type="character" w:customStyle="1" w:styleId="p3">
    <w:name w:val="p3"/>
    <w:basedOn w:val="a1"/>
    <w:qFormat/>
    <w:rsid w:val="009224A4"/>
  </w:style>
  <w:style w:type="character" w:customStyle="1" w:styleId="HTML1">
    <w:name w:val="HTML 预设格式字符1"/>
    <w:uiPriority w:val="99"/>
    <w:semiHidden/>
    <w:qFormat/>
    <w:rsid w:val="009224A4"/>
    <w:rPr>
      <w:rFonts w:ascii="Courier" w:eastAsia="宋体" w:hAnsi="Courier" w:cs="Times New Roman"/>
      <w:sz w:val="20"/>
      <w:szCs w:val="20"/>
    </w:rPr>
  </w:style>
  <w:style w:type="character" w:customStyle="1" w:styleId="Char3">
    <w:name w:val="纯文本 Char"/>
    <w:link w:val="a8"/>
    <w:qFormat/>
    <w:rsid w:val="009224A4"/>
    <w:rPr>
      <w:rFonts w:ascii="宋体" w:eastAsia="宋体" w:hAnsi="Courier New"/>
      <w:sz w:val="21"/>
      <w:szCs w:val="21"/>
    </w:rPr>
  </w:style>
  <w:style w:type="paragraph" w:customStyle="1" w:styleId="af6">
    <w:name w:val="我的正文"/>
    <w:basedOn w:val="ae"/>
    <w:qFormat/>
    <w:rsid w:val="009224A4"/>
    <w:pPr>
      <w:shd w:val="clear" w:color="auto" w:fill="FFFFFF"/>
      <w:spacing w:line="520" w:lineRule="exact"/>
      <w:ind w:firstLineChars="200" w:firstLine="600"/>
      <w:jc w:val="left"/>
    </w:pPr>
    <w:rPr>
      <w:rFonts w:ascii="方正仿宋简体" w:eastAsia="方正仿宋简体" w:hAnsi="方正仿宋简体" w:cs="方正仿宋简体"/>
      <w:color w:val="000000"/>
      <w:kern w:val="0"/>
      <w:sz w:val="30"/>
      <w:szCs w:val="30"/>
      <w:lang w:val="zh-TW" w:eastAsia="zh-TW"/>
    </w:rPr>
  </w:style>
  <w:style w:type="paragraph" w:customStyle="1" w:styleId="ParaCharCharCharCharCharCharCharCharChar">
    <w:name w:val="默认段落字体 Para Char Char Char Char Char Char Char Char Char"/>
    <w:basedOn w:val="a"/>
    <w:qFormat/>
    <w:rsid w:val="009224A4"/>
    <w:pPr>
      <w:tabs>
        <w:tab w:val="left" w:pos="840"/>
      </w:tabs>
      <w:ind w:left="840" w:hanging="360"/>
    </w:pPr>
    <w:rPr>
      <w:sz w:val="24"/>
    </w:rPr>
  </w:style>
  <w:style w:type="paragraph" w:customStyle="1" w:styleId="080320">
    <w:name w:val="申请报告正文080320"/>
    <w:basedOn w:val="20"/>
    <w:qFormat/>
    <w:rsid w:val="009224A4"/>
    <w:pPr>
      <w:spacing w:beforeLines="50" w:afterLines="50"/>
    </w:pPr>
    <w:rPr>
      <w:szCs w:val="21"/>
    </w:rPr>
  </w:style>
  <w:style w:type="paragraph" w:customStyle="1" w:styleId="CharCharCharChar">
    <w:name w:val="Char Char Char Char"/>
    <w:basedOn w:val="a"/>
    <w:qFormat/>
    <w:rsid w:val="009224A4"/>
    <w:pPr>
      <w:tabs>
        <w:tab w:val="left" w:pos="360"/>
      </w:tabs>
    </w:pPr>
    <w:rPr>
      <w:sz w:val="24"/>
    </w:rPr>
  </w:style>
  <w:style w:type="paragraph" w:customStyle="1" w:styleId="080318">
    <w:name w:val="产品方案正文080318"/>
    <w:basedOn w:val="a"/>
    <w:qFormat/>
    <w:rsid w:val="009224A4"/>
    <w:pPr>
      <w:autoSpaceDE w:val="0"/>
      <w:autoSpaceDN w:val="0"/>
      <w:adjustRightInd w:val="0"/>
      <w:snapToGrid w:val="0"/>
      <w:spacing w:line="360" w:lineRule="auto"/>
      <w:ind w:firstLineChars="200" w:firstLine="200"/>
    </w:pPr>
    <w:rPr>
      <w:rFonts w:ascii="宋体" w:hAnsi="宋体" w:cs="宋体"/>
      <w:szCs w:val="20"/>
      <w:lang w:val="zh-CN"/>
    </w:rPr>
  </w:style>
  <w:style w:type="paragraph" w:customStyle="1" w:styleId="af7">
    <w:name w:val="大标题"/>
    <w:basedOn w:val="a7"/>
    <w:qFormat/>
    <w:rsid w:val="009224A4"/>
    <w:pPr>
      <w:spacing w:after="0"/>
      <w:ind w:leftChars="0" w:left="0"/>
      <w:jc w:val="center"/>
    </w:pPr>
    <w:rPr>
      <w:rFonts w:ascii="方正大标宋简体" w:eastAsia="方正大标宋简体" w:hAnsi="方正大标宋简体" w:cs="方正大标宋简体"/>
      <w:color w:val="000000"/>
      <w:sz w:val="44"/>
      <w:szCs w:val="44"/>
      <w:lang w:val="zh-TW" w:eastAsia="zh-TW"/>
    </w:rPr>
  </w:style>
  <w:style w:type="paragraph" w:customStyle="1" w:styleId="af8">
    <w:name w:val="二级标题"/>
    <w:basedOn w:val="ae"/>
    <w:qFormat/>
    <w:rsid w:val="009224A4"/>
    <w:pPr>
      <w:shd w:val="clear" w:color="auto" w:fill="FFFFFF"/>
      <w:spacing w:line="520" w:lineRule="exact"/>
      <w:ind w:firstLineChars="200" w:firstLine="600"/>
      <w:jc w:val="left"/>
    </w:pPr>
    <w:rPr>
      <w:rFonts w:ascii="方正楷体简体" w:eastAsia="方正楷体简体" w:hAnsi="方正楷体简体" w:cs="方正楷体简体"/>
      <w:color w:val="000000"/>
      <w:kern w:val="0"/>
      <w:sz w:val="30"/>
      <w:szCs w:val="30"/>
      <w:lang w:val="zh-TW" w:eastAsia="zh-TW"/>
    </w:rPr>
  </w:style>
  <w:style w:type="paragraph" w:customStyle="1" w:styleId="080402">
    <w:name w:val="080402"/>
    <w:basedOn w:val="a"/>
    <w:qFormat/>
    <w:rsid w:val="009224A4"/>
    <w:pPr>
      <w:widowControl/>
      <w:spacing w:before="100" w:beforeAutospacing="1" w:after="100" w:afterAutospacing="1"/>
      <w:jc w:val="left"/>
    </w:pPr>
    <w:rPr>
      <w:rFonts w:ascii="宋体" w:hAnsi="宋体"/>
      <w:kern w:val="0"/>
      <w:sz w:val="24"/>
      <w:szCs w:val="20"/>
    </w:rPr>
  </w:style>
  <w:style w:type="paragraph" w:customStyle="1" w:styleId="CharCharCharChar1">
    <w:name w:val="Char Char Char Char1"/>
    <w:basedOn w:val="a"/>
    <w:qFormat/>
    <w:rsid w:val="009224A4"/>
    <w:pPr>
      <w:tabs>
        <w:tab w:val="left" w:pos="360"/>
      </w:tabs>
      <w:spacing w:before="312" w:after="312" w:line="360" w:lineRule="auto"/>
    </w:pPr>
    <w:rPr>
      <w:sz w:val="24"/>
    </w:rPr>
  </w:style>
  <w:style w:type="paragraph" w:customStyle="1" w:styleId="CM3">
    <w:name w:val="CM3"/>
    <w:basedOn w:val="Default"/>
    <w:next w:val="Default"/>
    <w:qFormat/>
    <w:rsid w:val="009224A4"/>
    <w:pPr>
      <w:spacing w:line="468" w:lineRule="atLeast"/>
    </w:pPr>
    <w:rPr>
      <w:rFonts w:ascii="黑体" w:eastAsia="黑体" w:hAnsi="黑体" w:cs="黑体"/>
      <w:color w:val="auto"/>
    </w:rPr>
  </w:style>
  <w:style w:type="paragraph" w:customStyle="1" w:styleId="Default">
    <w:name w:val="Default"/>
    <w:qFormat/>
    <w:rsid w:val="009224A4"/>
    <w:pPr>
      <w:widowControl w:val="0"/>
      <w:autoSpaceDE w:val="0"/>
      <w:autoSpaceDN w:val="0"/>
      <w:adjustRightInd w:val="0"/>
    </w:pPr>
    <w:rPr>
      <w:rFonts w:ascii="宋体" w:hAnsi="Times New Roman" w:cs="宋体"/>
      <w:color w:val="000000"/>
      <w:sz w:val="24"/>
      <w:szCs w:val="24"/>
    </w:rPr>
  </w:style>
  <w:style w:type="paragraph" w:customStyle="1" w:styleId="0803180">
    <w:name w:val="产品正文080318"/>
    <w:basedOn w:val="222"/>
    <w:qFormat/>
    <w:rsid w:val="009224A4"/>
    <w:pPr>
      <w:ind w:firstLine="200"/>
    </w:pPr>
    <w:rPr>
      <w:rFonts w:ascii="宋体" w:eastAsia="宋体" w:hAnsi="宋体"/>
      <w:sz w:val="21"/>
    </w:rPr>
  </w:style>
  <w:style w:type="paragraph" w:customStyle="1" w:styleId="0804020">
    <w:name w:val="募集方案正文080402"/>
    <w:basedOn w:val="20"/>
    <w:qFormat/>
    <w:rsid w:val="009224A4"/>
    <w:rPr>
      <w:color w:val="000000"/>
    </w:rPr>
  </w:style>
  <w:style w:type="paragraph" w:customStyle="1" w:styleId="af9">
    <w:name w:val="一级标题"/>
    <w:basedOn w:val="a"/>
    <w:qFormat/>
    <w:rsid w:val="009224A4"/>
    <w:pPr>
      <w:spacing w:line="520" w:lineRule="exact"/>
      <w:ind w:firstLineChars="200" w:firstLine="600"/>
    </w:pPr>
    <w:rPr>
      <w:rFonts w:ascii="方正黑体简体" w:eastAsia="方正黑体简体" w:hAnsi="方正黑体简体" w:cs="方正黑体简体"/>
      <w:color w:val="000000"/>
      <w:sz w:val="30"/>
      <w:szCs w:val="30"/>
      <w:lang w:val="zh-TW" w:eastAsia="zh-TW"/>
    </w:rPr>
  </w:style>
  <w:style w:type="paragraph" w:customStyle="1" w:styleId="CM2">
    <w:name w:val="CM2"/>
    <w:basedOn w:val="a"/>
    <w:next w:val="a"/>
    <w:qFormat/>
    <w:rsid w:val="009224A4"/>
    <w:pPr>
      <w:autoSpaceDE w:val="0"/>
      <w:autoSpaceDN w:val="0"/>
      <w:adjustRightInd w:val="0"/>
      <w:spacing w:line="471" w:lineRule="atLeast"/>
      <w:jc w:val="left"/>
    </w:pPr>
    <w:rPr>
      <w:rFonts w:ascii="黑体" w:eastAsia="黑体" w:hAnsi="黑体" w:cs="黑体"/>
      <w:kern w:val="0"/>
      <w:sz w:val="24"/>
    </w:rPr>
  </w:style>
  <w:style w:type="paragraph" w:customStyle="1" w:styleId="xl32">
    <w:name w:val="xl32"/>
    <w:basedOn w:val="a"/>
    <w:qFormat/>
    <w:rsid w:val="009224A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hAnsi="Arial Unicode MS"/>
      <w:kern w:val="0"/>
      <w:szCs w:val="21"/>
    </w:rPr>
  </w:style>
  <w:style w:type="paragraph" w:customStyle="1" w:styleId="Style83">
    <w:name w:val="_Style 83"/>
    <w:uiPriority w:val="99"/>
    <w:unhideWhenUsed/>
    <w:qFormat/>
    <w:rsid w:val="009224A4"/>
    <w:rPr>
      <w:rFonts w:ascii="Times New Roman" w:hAnsi="Times New Roman"/>
      <w:kern w:val="2"/>
      <w:sz w:val="21"/>
      <w:szCs w:val="24"/>
    </w:rPr>
  </w:style>
  <w:style w:type="paragraph" w:customStyle="1" w:styleId="080325">
    <w:name w:val="产品标题080325"/>
    <w:basedOn w:val="1"/>
    <w:qFormat/>
    <w:rsid w:val="009224A4"/>
    <w:pPr>
      <w:spacing w:before="60" w:line="480" w:lineRule="auto"/>
      <w:jc w:val="left"/>
    </w:pPr>
    <w:rPr>
      <w:rFonts w:ascii="黑体" w:eastAsia="黑体" w:hAnsi="宋体"/>
      <w:b w:val="0"/>
      <w:kern w:val="0"/>
      <w:sz w:val="24"/>
      <w:szCs w:val="21"/>
    </w:rPr>
  </w:style>
  <w:style w:type="paragraph" w:customStyle="1" w:styleId="Listbullet">
    <w:name w:val="List_bullet"/>
    <w:basedOn w:val="a"/>
    <w:qFormat/>
    <w:rsid w:val="009224A4"/>
    <w:pPr>
      <w:widowControl/>
      <w:tabs>
        <w:tab w:val="left" w:pos="360"/>
      </w:tabs>
      <w:ind w:left="360" w:hanging="360"/>
      <w:jc w:val="left"/>
    </w:pPr>
    <w:rPr>
      <w:kern w:val="0"/>
      <w:sz w:val="24"/>
      <w:szCs w:val="20"/>
    </w:rPr>
  </w:style>
  <w:style w:type="paragraph" w:customStyle="1" w:styleId="Char10">
    <w:name w:val="Char1"/>
    <w:basedOn w:val="a"/>
    <w:qFormat/>
    <w:rsid w:val="009224A4"/>
    <w:rPr>
      <w:szCs w:val="20"/>
    </w:rPr>
  </w:style>
  <w:style w:type="paragraph" w:customStyle="1" w:styleId="figuresubinparens">
    <w:name w:val="figuresubinparens"/>
    <w:basedOn w:val="a"/>
    <w:qFormat/>
    <w:rsid w:val="009224A4"/>
    <w:pPr>
      <w:widowControl/>
      <w:spacing w:line="280" w:lineRule="atLeast"/>
      <w:jc w:val="left"/>
    </w:pPr>
    <w:rPr>
      <w:rFonts w:ascii="Arial" w:hAnsi="Arial" w:cs="Arial"/>
      <w:i/>
      <w:iCs/>
      <w:color w:val="333333"/>
      <w:kern w:val="0"/>
      <w:sz w:val="18"/>
      <w:szCs w:val="18"/>
    </w:rPr>
  </w:style>
  <w:style w:type="paragraph" w:customStyle="1" w:styleId="afa">
    <w:name w:val="产品二级小标题"/>
    <w:basedOn w:val="080318"/>
    <w:qFormat/>
    <w:rsid w:val="009224A4"/>
    <w:pPr>
      <w:ind w:firstLine="422"/>
    </w:pPr>
    <w:rPr>
      <w:b/>
      <w:bCs/>
    </w:rPr>
  </w:style>
  <w:style w:type="paragraph" w:customStyle="1" w:styleId="afb">
    <w:name w:val="压缩版正文"/>
    <w:basedOn w:val="a"/>
    <w:qFormat/>
    <w:rsid w:val="009224A4"/>
    <w:rPr>
      <w:rFonts w:ascii="仿宋_GB2312" w:eastAsia="仿宋_GB2312" w:hAnsi="仿宋_GB2312"/>
    </w:rPr>
  </w:style>
  <w:style w:type="paragraph" w:customStyle="1" w:styleId="CM13">
    <w:name w:val="CM13"/>
    <w:basedOn w:val="a"/>
    <w:next w:val="a"/>
    <w:qFormat/>
    <w:rsid w:val="009224A4"/>
    <w:pPr>
      <w:autoSpaceDE w:val="0"/>
      <w:autoSpaceDN w:val="0"/>
      <w:adjustRightInd w:val="0"/>
      <w:spacing w:line="468" w:lineRule="atLeast"/>
      <w:jc w:val="left"/>
    </w:pPr>
    <w:rPr>
      <w:rFonts w:ascii="黑体" w:eastAsia="黑体" w:hAnsi="黑体" w:cs="黑体"/>
      <w:kern w:val="0"/>
      <w:sz w:val="24"/>
    </w:rPr>
  </w:style>
  <w:style w:type="paragraph" w:customStyle="1" w:styleId="0803181">
    <w:name w:val="080318"/>
    <w:basedOn w:val="a"/>
    <w:qFormat/>
    <w:rsid w:val="009224A4"/>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rsid w:val="009224A4"/>
    <w:pPr>
      <w:widowControl/>
      <w:spacing w:before="100" w:beforeAutospacing="1" w:after="100" w:afterAutospacing="1"/>
      <w:jc w:val="left"/>
    </w:pPr>
    <w:rPr>
      <w:rFonts w:ascii="Arial" w:hAnsi="Arial" w:cs="Arial"/>
      <w:kern w:val="0"/>
      <w:szCs w:val="21"/>
    </w:rPr>
  </w:style>
  <w:style w:type="paragraph" w:customStyle="1" w:styleId="CharCharCharCharCharChar1CharCharChar">
    <w:name w:val="Char Char Char Char Char Char1 Char Char Char"/>
    <w:basedOn w:val="a"/>
    <w:qFormat/>
    <w:rsid w:val="009224A4"/>
    <w:pPr>
      <w:autoSpaceDE w:val="0"/>
      <w:autoSpaceDN w:val="0"/>
      <w:adjustRightInd w:val="0"/>
      <w:jc w:val="left"/>
      <w:textAlignment w:val="baseline"/>
    </w:pPr>
    <w:rPr>
      <w:rFonts w:ascii="宋体" w:hAnsi="宋体"/>
      <w:kern w:val="0"/>
      <w:sz w:val="34"/>
      <w:szCs w:val="20"/>
    </w:rPr>
  </w:style>
  <w:style w:type="paragraph" w:customStyle="1" w:styleId="Charb">
    <w:name w:val="Char"/>
    <w:basedOn w:val="a"/>
    <w:qFormat/>
    <w:rsid w:val="009224A4"/>
  </w:style>
  <w:style w:type="paragraph" w:customStyle="1" w:styleId="afc">
    <w:name w:val="正文所"/>
    <w:basedOn w:val="a"/>
    <w:qFormat/>
    <w:rsid w:val="009224A4"/>
    <w:pPr>
      <w:spacing w:line="360" w:lineRule="auto"/>
      <w:ind w:firstLineChars="200" w:firstLine="420"/>
    </w:pPr>
  </w:style>
  <w:style w:type="paragraph" w:customStyle="1" w:styleId="xl33">
    <w:name w:val="xl33"/>
    <w:basedOn w:val="a"/>
    <w:qFormat/>
    <w:rsid w:val="009224A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msonormal1">
    <w:name w:val="msonormal1"/>
    <w:qFormat/>
    <w:rsid w:val="009224A4"/>
    <w:pPr>
      <w:widowControl w:val="0"/>
      <w:jc w:val="both"/>
    </w:pPr>
    <w:rPr>
      <w:rFonts w:ascii="Times New Roman" w:hAnsi="Times New Roman"/>
      <w:kern w:val="2"/>
      <w:sz w:val="21"/>
    </w:rPr>
  </w:style>
  <w:style w:type="paragraph" w:customStyle="1" w:styleId="Revision1">
    <w:name w:val="Revision1"/>
    <w:uiPriority w:val="99"/>
    <w:semiHidden/>
    <w:qFormat/>
    <w:rsid w:val="009224A4"/>
    <w:rPr>
      <w:rFonts w:ascii="Times New Roman" w:hAnsi="Times New Roman"/>
      <w:kern w:val="2"/>
      <w:sz w:val="21"/>
      <w:szCs w:val="24"/>
    </w:rPr>
  </w:style>
  <w:style w:type="paragraph" w:customStyle="1" w:styleId="ParaCharCharCharCharCharChar">
    <w:name w:val="默认段落字体 Para Char Char Char Char Char Char"/>
    <w:basedOn w:val="a"/>
    <w:qFormat/>
    <w:rsid w:val="009224A4"/>
    <w:pPr>
      <w:tabs>
        <w:tab w:val="left" w:pos="840"/>
      </w:tabs>
      <w:ind w:left="840" w:hanging="360"/>
    </w:pPr>
    <w:rPr>
      <w:sz w:val="24"/>
    </w:rPr>
  </w:style>
  <w:style w:type="paragraph" w:customStyle="1" w:styleId="afd">
    <w:name w:val="产品正文"/>
    <w:basedOn w:val="222"/>
    <w:qFormat/>
    <w:rsid w:val="009224A4"/>
    <w:pPr>
      <w:ind w:firstLine="200"/>
    </w:pPr>
    <w:rPr>
      <w:rFonts w:ascii="宋体" w:eastAsia="宋体" w:hAnsi="宋体"/>
      <w:sz w:val="21"/>
    </w:rPr>
  </w:style>
  <w:style w:type="paragraph" w:styleId="afe">
    <w:name w:val="List Paragraph"/>
    <w:basedOn w:val="a"/>
    <w:uiPriority w:val="34"/>
    <w:qFormat/>
    <w:rsid w:val="009224A4"/>
    <w:pPr>
      <w:ind w:firstLineChars="200" w:firstLine="420"/>
    </w:pPr>
  </w:style>
  <w:style w:type="paragraph" w:customStyle="1" w:styleId="CharCharChar">
    <w:name w:val="Char Char Char"/>
    <w:basedOn w:val="a"/>
    <w:qFormat/>
    <w:rsid w:val="009224A4"/>
  </w:style>
  <w:style w:type="paragraph" w:customStyle="1" w:styleId="CM17">
    <w:name w:val="CM17"/>
    <w:basedOn w:val="a"/>
    <w:next w:val="a"/>
    <w:qFormat/>
    <w:rsid w:val="009224A4"/>
    <w:pPr>
      <w:autoSpaceDE w:val="0"/>
      <w:autoSpaceDN w:val="0"/>
      <w:adjustRightInd w:val="0"/>
      <w:spacing w:line="468" w:lineRule="atLeast"/>
      <w:jc w:val="left"/>
    </w:pPr>
    <w:rPr>
      <w:rFonts w:ascii="黑体" w:eastAsia="黑体" w:hAnsi="黑体" w:cs="黑体"/>
      <w:kern w:val="0"/>
      <w:sz w:val="24"/>
    </w:rPr>
  </w:style>
  <w:style w:type="paragraph" w:customStyle="1" w:styleId="aff">
    <w:name w:val="合同正文"/>
    <w:basedOn w:val="a"/>
    <w:link w:val="Charc"/>
    <w:qFormat/>
    <w:rsid w:val="009224A4"/>
    <w:pPr>
      <w:spacing w:line="360" w:lineRule="auto"/>
      <w:ind w:firstLineChars="200" w:firstLine="200"/>
    </w:pPr>
    <w:rPr>
      <w:bCs/>
      <w:sz w:val="24"/>
      <w:szCs w:val="20"/>
    </w:rPr>
  </w:style>
  <w:style w:type="character" w:customStyle="1" w:styleId="Charc">
    <w:name w:val="合同正文 Char"/>
    <w:link w:val="aff"/>
    <w:rsid w:val="009224A4"/>
    <w:rPr>
      <w:rFonts w:ascii="Times New Roman" w:hAnsi="Times New Roman"/>
      <w:bCs/>
      <w:kern w:val="2"/>
      <w:sz w:val="24"/>
    </w:rPr>
  </w:style>
  <w:style w:type="paragraph" w:customStyle="1" w:styleId="1a">
    <w:name w:val="修订1"/>
    <w:hidden/>
    <w:uiPriority w:val="99"/>
    <w:unhideWhenUsed/>
    <w:rsid w:val="009224A4"/>
    <w:rPr>
      <w:rFonts w:ascii="Times New Roman" w:hAnsi="Times New Roman"/>
      <w:kern w:val="2"/>
      <w:sz w:val="21"/>
      <w:szCs w:val="24"/>
    </w:rPr>
  </w:style>
  <w:style w:type="character" w:customStyle="1" w:styleId="23">
    <w:name w:val="未处理的提及2"/>
    <w:uiPriority w:val="99"/>
    <w:semiHidden/>
    <w:unhideWhenUsed/>
    <w:rsid w:val="009224A4"/>
    <w:rPr>
      <w:color w:val="605E5C"/>
      <w:shd w:val="clear" w:color="auto" w:fill="E1DFDD"/>
    </w:rPr>
  </w:style>
  <w:style w:type="table" w:customStyle="1" w:styleId="211">
    <w:name w:val="无格式表格 21"/>
    <w:basedOn w:val="a2"/>
    <w:uiPriority w:val="42"/>
    <w:rsid w:val="009224A4"/>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b">
    <w:name w:val="网格型浅色1"/>
    <w:basedOn w:val="a2"/>
    <w:uiPriority w:val="40"/>
    <w:rsid w:val="009224A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3506005-2C81-487F-B740-E40303D6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2690</Words>
  <Characters>15334</Characters>
  <Application>Microsoft Office Word</Application>
  <DocSecurity>4</DocSecurity>
  <Lines>127</Lines>
  <Paragraphs>35</Paragraphs>
  <ScaleCrop>false</ScaleCrop>
  <Company/>
  <LinksUpToDate>false</LinksUpToDate>
  <CharactersWithSpaces>17989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路博迈港股通科技股票型证券投资基金基金份额发售公告</dc:title>
  <dc:creator>ZHONGM</dc:creator>
  <cp:lastModifiedBy>ZHONGM</cp:lastModifiedBy>
  <cp:revision>2</cp:revision>
  <dcterms:created xsi:type="dcterms:W3CDTF">2025-11-27T16:03:00Z</dcterms:created>
  <dcterms:modified xsi:type="dcterms:W3CDTF">2025-11-27T16:03:00Z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FDEFDFE36F0AB649F1C12569286C415C_42</vt:lpwstr>
  </property>
</Properties>
</file>