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center"/>
        <w:rPr>
          <w:rFonts w:ascii="宋体" w:eastAsia="宋体" w:hAnsi="宋体" w:cs="宋体"/>
          <w:sz w:val="48"/>
          <w:szCs w:val="48"/>
          <w:lang w:eastAsia="zh-CN"/>
        </w:rPr>
      </w:pPr>
      <w:r>
        <w:rPr>
          <w:rFonts w:ascii="宋体" w:eastAsia="宋体" w:hAnsi="宋体" w:cs="宋体"/>
          <w:b/>
          <w:bCs/>
          <w:sz w:val="48"/>
          <w:szCs w:val="48"/>
          <w:lang w:eastAsia="zh-CN"/>
        </w:rPr>
        <w:t>鹏华基金管理有限公司关于鹏华丰康债券型证券投资基金2025年第2次分红公告</w:t>
      </w:r>
    </w:p>
    <w:p w:rsidR="002727E8" w:rsidRDefault="006966FE">
      <w:pPr>
        <w:jc w:val="center"/>
        <w:rPr>
          <w:sz w:val="48"/>
          <w:szCs w:val="48"/>
          <w:lang w:eastAsia="zh-CN"/>
        </w:rPr>
      </w:pPr>
      <w:r>
        <w:rPr>
          <w:rFonts w:ascii="Calibri" w:eastAsia="Calibri" w:hAnsi="Calibri" w:cs="Calibri"/>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jc w:val="both"/>
        <w:rPr>
          <w:sz w:val="21"/>
          <w:szCs w:val="21"/>
          <w:lang w:eastAsia="zh-CN"/>
        </w:rPr>
      </w:pPr>
      <w:r>
        <w:rPr>
          <w:rFonts w:eastAsia="Times New Roman"/>
          <w:sz w:val="21"/>
          <w:szCs w:val="21"/>
          <w:lang w:eastAsia="zh-CN"/>
        </w:rPr>
        <w:t> </w:t>
      </w:r>
    </w:p>
    <w:p w:rsidR="002727E8" w:rsidRDefault="006966FE">
      <w:pPr>
        <w:ind w:left="2100" w:firstLine="420"/>
        <w:jc w:val="both"/>
        <w:rPr>
          <w:sz w:val="28"/>
          <w:szCs w:val="28"/>
        </w:rPr>
      </w:pPr>
      <w:r>
        <w:rPr>
          <w:rFonts w:ascii="宋体" w:eastAsia="宋体" w:hAnsi="宋体" w:cs="宋体"/>
          <w:b/>
          <w:bCs/>
          <w:sz w:val="28"/>
          <w:szCs w:val="28"/>
          <w:lang w:eastAsia="zh-CN"/>
        </w:rPr>
        <w:t>公告送出日期：</w:t>
      </w:r>
      <w:r>
        <w:rPr>
          <w:rFonts w:eastAsia="Times New Roman"/>
          <w:sz w:val="28"/>
          <w:szCs w:val="28"/>
          <w:lang w:eastAsia="zh-CN"/>
        </w:rPr>
        <w:t>2025</w:t>
      </w:r>
      <w:r>
        <w:rPr>
          <w:rFonts w:ascii="宋体" w:eastAsia="宋体" w:hAnsi="宋体" w:cs="宋体"/>
          <w:sz w:val="28"/>
          <w:szCs w:val="28"/>
          <w:lang w:eastAsia="zh-CN"/>
        </w:rPr>
        <w:t>年</w:t>
      </w:r>
      <w:r>
        <w:rPr>
          <w:rFonts w:eastAsia="Times New Roman"/>
          <w:sz w:val="28"/>
          <w:szCs w:val="28"/>
          <w:lang w:eastAsia="zh-CN"/>
        </w:rPr>
        <w:t>11</w:t>
      </w:r>
      <w:r>
        <w:rPr>
          <w:rFonts w:ascii="宋体" w:eastAsia="宋体" w:hAnsi="宋体" w:cs="宋体"/>
          <w:sz w:val="28"/>
          <w:szCs w:val="28"/>
          <w:lang w:eastAsia="zh-CN"/>
        </w:rPr>
        <w:t>月</w:t>
      </w:r>
      <w:r>
        <w:rPr>
          <w:rFonts w:eastAsia="Times New Roman"/>
          <w:sz w:val="28"/>
          <w:szCs w:val="28"/>
          <w:lang w:eastAsia="zh-CN"/>
        </w:rPr>
        <w:t>28</w:t>
      </w:r>
      <w:r>
        <w:rPr>
          <w:rFonts w:ascii="宋体" w:eastAsia="宋体" w:hAnsi="宋体" w:cs="宋体"/>
          <w:sz w:val="28"/>
          <w:szCs w:val="28"/>
          <w:lang w:eastAsia="zh-CN"/>
        </w:rPr>
        <w:t>日</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rPr>
          <w:sz w:val="21"/>
          <w:szCs w:val="21"/>
        </w:rPr>
      </w:pPr>
      <w:r>
        <w:rPr>
          <w:rFonts w:eastAsia="Times New Roman"/>
          <w:sz w:val="21"/>
          <w:szCs w:val="21"/>
          <w:lang w:eastAsia="zh-CN"/>
        </w:rPr>
        <w:t> </w:t>
      </w:r>
    </w:p>
    <w:p w:rsidR="002727E8" w:rsidRDefault="006966FE">
      <w:pPr>
        <w:jc w:val="both"/>
      </w:pPr>
      <w:r>
        <w:rPr>
          <w:rFonts w:ascii="宋体" w:eastAsia="宋体" w:hAnsi="宋体" w:cs="宋体"/>
          <w:b/>
          <w:bCs/>
          <w:lang w:eastAsia="zh-CN"/>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678"/>
        <w:gridCol w:w="1815"/>
        <w:gridCol w:w="2433"/>
        <w:gridCol w:w="2364"/>
      </w:tblGrid>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鹏华丰康债券型证券投资基金</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鹏华丰康债券</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004127</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2017年03月17日</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上海浦东发展银行股份有限公司</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根据《中华人民共和国证券投资基金法》、《公开募集证券投资基金运作管理办法》等法律法规有关规定及《鹏华丰康债券型证券投资基金基金合同》及《鹏华丰康债券型证券投资基金招募说明书》及更新的约定</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收益分配基准日</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2025年11月21日</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有关年度分红次数的说明</w:t>
            </w:r>
          </w:p>
        </w:tc>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本次分红为2025年第2次分红</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下属分级基金的基金简称</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鹏华丰康债券A</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鹏华丰康债券C</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下属分级基金的交易代码</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004127</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019204</w:t>
            </w:r>
          </w:p>
        </w:tc>
      </w:tr>
      <w:tr w:rsidR="002727E8">
        <w:tc>
          <w:tcPr>
            <w:tcW w:w="4010"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截止基准日下属分级基金的相关指标</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基准日下属分级基金份额净值（单位：人民币元）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1.1091</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1.0293</w:t>
            </w:r>
          </w:p>
        </w:tc>
      </w:tr>
      <w:tr w:rsidR="002727E8">
        <w:tc>
          <w:tcPr>
            <w:tcW w:w="0" w:type="auto"/>
            <w:vMerge/>
            <w:tcBorders>
              <w:top w:val="single" w:sz="8" w:space="0" w:color="auto"/>
              <w:left w:val="single" w:sz="8" w:space="0" w:color="auto"/>
              <w:bottom w:val="single" w:sz="8" w:space="0" w:color="auto"/>
              <w:right w:val="single" w:sz="8" w:space="0" w:color="auto"/>
            </w:tcBorders>
            <w:vAlign w:val="center"/>
            <w:hideMark/>
          </w:tcPr>
          <w:p w:rsidR="002727E8" w:rsidRDefault="002727E8">
            <w:pPr>
              <w:rPr>
                <w:rFonts w:ascii="宋体" w:eastAsia="宋体" w:hAnsi="宋体" w:cs="宋体"/>
                <w:sz w:val="21"/>
                <w:szCs w:val="21"/>
              </w:rPr>
            </w:pP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基准日下属分级基金可供分配利润（单位：人民币元）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97,641,877.69</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6,144,098.87</w:t>
            </w:r>
          </w:p>
        </w:tc>
      </w:tr>
      <w:tr w:rsidR="002727E8">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本次下属分级基金分红方案（单位：元/10份基金份额）</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0.11</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0.042</w:t>
            </w:r>
          </w:p>
        </w:tc>
      </w:tr>
    </w:tbl>
    <w:p w:rsidR="00924C40" w:rsidRPr="00DA05F2" w:rsidRDefault="006966FE">
      <w:pPr>
        <w:spacing w:line="360" w:lineRule="auto"/>
        <w:rPr>
          <w:rFonts w:ascii="宋体" w:eastAsia="宋体" w:hAnsi="宋体" w:cs="宋体"/>
          <w:sz w:val="21"/>
          <w:szCs w:val="21"/>
          <w:lang w:eastAsia="zh-CN"/>
        </w:rPr>
      </w:pPr>
      <w:r>
        <w:rPr>
          <w:rFonts w:ascii="宋体" w:eastAsia="宋体" w:hAnsi="宋体" w:cs="宋体"/>
          <w:sz w:val="21"/>
          <w:szCs w:val="21"/>
          <w:lang w:eastAsia="zh-CN"/>
        </w:rPr>
        <w:t xml:space="preserve">注：根据《鹏华丰康债券型证券投资基金基金合同》的约定，在符合有关基金分红条件的前提下，本基金管理人可以根据实际情况进行收益分配。 </w:t>
      </w:r>
      <w:bookmarkStart w:id="0" w:name="_GoBack"/>
      <w:bookmarkEnd w:id="0"/>
    </w:p>
    <w:p w:rsidR="002727E8" w:rsidRDefault="006966FE">
      <w:pPr>
        <w:pStyle w:val="2"/>
        <w:spacing w:before="156" w:after="156" w:line="413" w:lineRule="auto"/>
        <w:ind w:left="420" w:hanging="420"/>
        <w:jc w:val="both"/>
        <w:rPr>
          <w:rFonts w:ascii="Times New Roman" w:hAnsi="Times New Roman" w:cs="Times New Roman"/>
        </w:rPr>
      </w:pPr>
      <w:r>
        <w:rPr>
          <w:rFonts w:ascii="宋体" w:eastAsia="宋体" w:hAnsi="宋体" w:cs="宋体"/>
          <w:i w:val="0"/>
          <w:iCs w:val="0"/>
          <w:sz w:val="24"/>
          <w:szCs w:val="24"/>
          <w:lang w:eastAsia="zh-CN"/>
        </w:rPr>
        <w:t>2.与分红相关的其他信息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2727E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2025年12月01日</w:t>
            </w:r>
          </w:p>
        </w:tc>
      </w:tr>
      <w:tr w:rsidR="002727E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2025年12月01日</w:t>
            </w:r>
          </w:p>
        </w:tc>
      </w:tr>
      <w:tr w:rsidR="002727E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2025年12月03日</w:t>
            </w:r>
          </w:p>
        </w:tc>
      </w:tr>
      <w:tr w:rsidR="002727E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权益登记日在本基金登记机构登记在册的本基金份额持有人。</w:t>
            </w:r>
          </w:p>
        </w:tc>
      </w:tr>
      <w:tr w:rsidR="002727E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 xml:space="preserve">1、选择红利再投资的投资者，其红利将按2025年12月01日的基金份额净值为计算基准确定再投资份额。2、选择红利再投资方式的投资者所转换的基金份额将于2025年12月02日直接计入其基金账户，2025年12月03日起可以查询、赎回。 </w:t>
            </w:r>
          </w:p>
        </w:tc>
      </w:tr>
      <w:tr w:rsidR="002727E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根据财政部、国家税务总局颁布的相关规定，基金向投资者分配的基金收益，暂免征收所得税。</w:t>
            </w:r>
          </w:p>
        </w:tc>
      </w:tr>
      <w:tr w:rsidR="002727E8">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rPr>
            </w:pPr>
            <w:r>
              <w:rPr>
                <w:rFonts w:ascii="宋体" w:eastAsia="宋体" w:hAnsi="宋体" w:cs="宋体"/>
                <w:sz w:val="21"/>
                <w:szCs w:val="21"/>
                <w:lang w:eastAsia="zh-CN"/>
              </w:rPr>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2727E8" w:rsidRDefault="006966FE">
            <w:pPr>
              <w:jc w:val="both"/>
              <w:rPr>
                <w:rFonts w:ascii="宋体" w:eastAsia="宋体" w:hAnsi="宋体" w:cs="宋体"/>
                <w:sz w:val="21"/>
                <w:szCs w:val="21"/>
                <w:lang w:eastAsia="zh-CN"/>
              </w:rPr>
            </w:pPr>
            <w:r>
              <w:rPr>
                <w:rFonts w:ascii="宋体" w:eastAsia="宋体" w:hAnsi="宋体" w:cs="宋体"/>
                <w:sz w:val="21"/>
                <w:szCs w:val="21"/>
                <w:lang w:eastAsia="zh-CN"/>
              </w:rPr>
              <w:t>1、本次分红免收分红手续费。2、选择红</w:t>
            </w:r>
            <w:r>
              <w:rPr>
                <w:rFonts w:ascii="宋体" w:eastAsia="宋体" w:hAnsi="宋体" w:cs="宋体"/>
                <w:sz w:val="21"/>
                <w:szCs w:val="21"/>
                <w:lang w:eastAsia="zh-CN"/>
              </w:rPr>
              <w:lastRenderedPageBreak/>
              <w:t>利再投资方式的投资者，其红利所转换投资的基金份额免收申购费用等红利再投资费用。</w:t>
            </w:r>
          </w:p>
        </w:tc>
      </w:tr>
    </w:tbl>
    <w:p w:rsidR="002727E8" w:rsidRDefault="006966FE">
      <w:pPr>
        <w:spacing w:line="360" w:lineRule="auto"/>
        <w:rPr>
          <w:rFonts w:ascii="宋体" w:eastAsia="宋体" w:hAnsi="宋体" w:cs="宋体"/>
          <w:sz w:val="21"/>
          <w:szCs w:val="21"/>
          <w:lang w:eastAsia="zh-CN"/>
        </w:rPr>
      </w:pPr>
      <w:r>
        <w:rPr>
          <w:rFonts w:ascii="宋体" w:eastAsia="宋体" w:hAnsi="宋体" w:cs="宋体"/>
          <w:sz w:val="21"/>
          <w:szCs w:val="21"/>
          <w:lang w:eastAsia="zh-CN"/>
        </w:rPr>
        <w:lastRenderedPageBreak/>
        <w:t xml:space="preserve">注：1、权益登记日以后（含权益登记日）申购（包括转换转入）的本基金份额不享有本次分红权益，而权益登记日申请赎回（包括转换转出）的本基金份额享有本次分红权益。 2、根据相关法律法规和基金合同约定本基金不再符合基金分红条件的，本基金管理人可另行刊登相关公告决定是否予以分红或变更分红方案，并依法履行相关程序。 </w:t>
      </w:r>
    </w:p>
    <w:p w:rsidR="002727E8" w:rsidRDefault="006966FE">
      <w:pPr>
        <w:pStyle w:val="2"/>
        <w:spacing w:before="156" w:after="156" w:line="413" w:lineRule="auto"/>
        <w:ind w:left="420" w:hanging="420"/>
        <w:jc w:val="both"/>
        <w:rPr>
          <w:rFonts w:ascii="Times New Roman" w:hAnsi="Times New Roman" w:cs="Times New Roman"/>
          <w:lang w:eastAsia="zh-CN"/>
        </w:rPr>
      </w:pPr>
      <w:r>
        <w:rPr>
          <w:rFonts w:ascii="宋体" w:eastAsia="宋体" w:hAnsi="宋体" w:cs="宋体"/>
          <w:i w:val="0"/>
          <w:iCs w:val="0"/>
          <w:sz w:val="24"/>
          <w:szCs w:val="24"/>
          <w:lang w:eastAsia="zh-CN"/>
        </w:rPr>
        <w:t>3.其他需要提示的事项</w:t>
      </w:r>
    </w:p>
    <w:p w:rsidR="002727E8" w:rsidRDefault="006966FE">
      <w:pPr>
        <w:spacing w:line="360" w:lineRule="auto"/>
        <w:ind w:firstLine="420"/>
        <w:rPr>
          <w:sz w:val="21"/>
          <w:szCs w:val="21"/>
          <w:lang w:eastAsia="zh-CN"/>
        </w:rPr>
      </w:pPr>
      <w:r>
        <w:rPr>
          <w:rFonts w:ascii="宋体" w:eastAsia="宋体" w:hAnsi="宋体" w:cs="宋体"/>
          <w:sz w:val="21"/>
          <w:szCs w:val="21"/>
          <w:lang w:eastAsia="zh-CN"/>
        </w:rPr>
        <w:t>咨询办法</w:t>
      </w:r>
    </w:p>
    <w:p w:rsidR="002727E8" w:rsidRDefault="006966FE">
      <w:pPr>
        <w:spacing w:line="360" w:lineRule="auto"/>
        <w:ind w:firstLine="420"/>
        <w:rPr>
          <w:sz w:val="21"/>
          <w:szCs w:val="21"/>
          <w:lang w:eastAsia="zh-CN"/>
        </w:rPr>
      </w:pPr>
      <w:r>
        <w:rPr>
          <w:rFonts w:ascii="宋体" w:eastAsia="宋体" w:hAnsi="宋体" w:cs="宋体"/>
          <w:sz w:val="21"/>
          <w:szCs w:val="21"/>
          <w:lang w:eastAsia="zh-CN"/>
        </w:rPr>
        <w:t>基金份额持有人欲了解本基金其它有关信息，可采取如下方法咨询：</w:t>
      </w:r>
    </w:p>
    <w:p w:rsidR="002727E8" w:rsidRDefault="006966FE">
      <w:pPr>
        <w:spacing w:line="360" w:lineRule="auto"/>
        <w:ind w:firstLine="420"/>
        <w:rPr>
          <w:sz w:val="21"/>
          <w:szCs w:val="21"/>
        </w:rPr>
      </w:pPr>
      <w:r>
        <w:rPr>
          <w:rFonts w:ascii="宋体" w:eastAsia="宋体" w:hAnsi="宋体" w:cs="宋体"/>
          <w:sz w:val="21"/>
          <w:szCs w:val="21"/>
          <w:lang w:eastAsia="zh-CN"/>
        </w:rPr>
        <w:t>1、鹏华基金管理有限公司网站:www.phfund.com.cn</w:t>
      </w:r>
    </w:p>
    <w:p w:rsidR="002727E8" w:rsidRDefault="006966FE">
      <w:pPr>
        <w:spacing w:line="360" w:lineRule="auto"/>
        <w:ind w:firstLine="420"/>
        <w:rPr>
          <w:sz w:val="21"/>
          <w:szCs w:val="21"/>
          <w:lang w:eastAsia="zh-CN"/>
        </w:rPr>
      </w:pPr>
      <w:r>
        <w:rPr>
          <w:rFonts w:ascii="宋体" w:eastAsia="宋体" w:hAnsi="宋体" w:cs="宋体"/>
          <w:sz w:val="21"/>
          <w:szCs w:val="21"/>
          <w:lang w:eastAsia="zh-CN"/>
        </w:rPr>
        <w:t>2、鹏华基金管理有限公司客户服务热线：400-6788-533；0755-82353668</w:t>
      </w:r>
    </w:p>
    <w:p w:rsidR="002727E8" w:rsidRDefault="006966FE">
      <w:pPr>
        <w:spacing w:line="360" w:lineRule="auto"/>
        <w:ind w:firstLine="420"/>
        <w:rPr>
          <w:sz w:val="21"/>
          <w:szCs w:val="21"/>
          <w:lang w:eastAsia="zh-CN"/>
        </w:rPr>
      </w:pPr>
      <w:r>
        <w:rPr>
          <w:rFonts w:ascii="宋体" w:eastAsia="宋体" w:hAnsi="宋体" w:cs="宋体"/>
          <w:sz w:val="21"/>
          <w:szCs w:val="21"/>
          <w:lang w:eastAsia="zh-CN"/>
        </w:rPr>
        <w:t>3、鹏华基金管理有限公司直销网点及本基金各销售机构的相关网点(详见本基金更新招募说明书及相关公告)。</w:t>
      </w:r>
    </w:p>
    <w:p w:rsidR="002727E8" w:rsidRDefault="006966FE">
      <w:pPr>
        <w:spacing w:line="360" w:lineRule="auto"/>
        <w:ind w:firstLine="420"/>
        <w:rPr>
          <w:sz w:val="21"/>
          <w:szCs w:val="21"/>
          <w:lang w:eastAsia="zh-CN"/>
        </w:rPr>
      </w:pPr>
      <w:r>
        <w:rPr>
          <w:rFonts w:ascii="宋体" w:eastAsia="宋体" w:hAnsi="宋体" w:cs="宋体"/>
          <w:sz w:val="21"/>
          <w:szCs w:val="21"/>
          <w:lang w:eastAsia="zh-CN"/>
        </w:rPr>
        <w:t>本基金投资者选择分红方式的重要提示</w:t>
      </w:r>
    </w:p>
    <w:p w:rsidR="002727E8" w:rsidRDefault="006966FE">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1、（1）自2013年5月24日(含)起，本公司取消账户级别分红方式，即投资者若通过账户类申请(包括开立基金账户、增开交易账户、账户资料变更)所提交的账户分红方式将不再有效；</w:t>
      </w:r>
    </w:p>
    <w:p w:rsidR="002727E8" w:rsidRDefault="006966FE">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　（2）自2013年5月24日(含)起，投资者如需设置或变更各个基金的分红方式，本公司只接受投资者通过交易类申请单独设置或变更单只基金分红方式；</w:t>
      </w:r>
    </w:p>
    <w:p w:rsidR="002727E8" w:rsidRDefault="006966FE">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　（3）本次分红方式业务规则调整对现有基金份额持有人的分红方式没有影响，投资者现持有或曾经持有的基金产品，其分红方式均保留不变。但投资者在2013年5月23日（含）之前通过账户类业务提交的账户分红方式设置，自2013年5月24日（含）起对投资者新认（申）购的其他基金产品，原设置的账户分红方式将不再生效。</w:t>
      </w:r>
    </w:p>
    <w:p w:rsidR="002727E8" w:rsidRDefault="006966FE">
      <w:pPr>
        <w:spacing w:line="360" w:lineRule="auto"/>
        <w:ind w:firstLine="420"/>
        <w:rPr>
          <w:sz w:val="21"/>
          <w:szCs w:val="21"/>
          <w:lang w:eastAsia="zh-CN"/>
        </w:rPr>
      </w:pPr>
      <w:r>
        <w:rPr>
          <w:rFonts w:ascii="宋体" w:eastAsia="宋体" w:hAnsi="宋体" w:cs="宋体"/>
          <w:sz w:val="21"/>
          <w:szCs w:val="21"/>
          <w:lang w:eastAsia="zh-CN"/>
        </w:rPr>
        <w:t>2、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2727E8" w:rsidRDefault="006966FE">
      <w:pPr>
        <w:spacing w:line="360" w:lineRule="auto"/>
        <w:ind w:firstLine="420"/>
        <w:rPr>
          <w:sz w:val="21"/>
          <w:szCs w:val="21"/>
          <w:lang w:eastAsia="zh-CN"/>
        </w:rPr>
      </w:pPr>
      <w:r>
        <w:rPr>
          <w:rFonts w:ascii="宋体" w:eastAsia="宋体" w:hAnsi="宋体" w:cs="宋体"/>
          <w:sz w:val="21"/>
          <w:szCs w:val="21"/>
          <w:lang w:eastAsia="zh-CN"/>
        </w:rPr>
        <w:t>3、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更改分红方式，最终分红方式以权益登记日之前（不含权益登记日）最后一次选择的分红方式为准。</w:t>
      </w:r>
    </w:p>
    <w:p w:rsidR="002727E8" w:rsidRDefault="006966FE">
      <w:pPr>
        <w:spacing w:line="360" w:lineRule="auto"/>
        <w:ind w:firstLine="420"/>
        <w:rPr>
          <w:sz w:val="21"/>
          <w:szCs w:val="21"/>
          <w:lang w:eastAsia="zh-CN"/>
        </w:rPr>
      </w:pPr>
      <w:r>
        <w:rPr>
          <w:rFonts w:ascii="宋体" w:eastAsia="宋体" w:hAnsi="宋体" w:cs="宋体"/>
          <w:sz w:val="21"/>
          <w:szCs w:val="21"/>
          <w:lang w:eastAsia="zh-CN"/>
        </w:rPr>
        <w:t>风险提示</w:t>
      </w:r>
    </w:p>
    <w:p w:rsidR="002727E8" w:rsidRDefault="006966FE">
      <w:pPr>
        <w:spacing w:line="360" w:lineRule="auto"/>
        <w:ind w:firstLine="420"/>
        <w:rPr>
          <w:sz w:val="21"/>
          <w:szCs w:val="21"/>
          <w:lang w:eastAsia="zh-CN"/>
        </w:rPr>
      </w:pPr>
      <w:r>
        <w:rPr>
          <w:rFonts w:ascii="宋体" w:eastAsia="宋体" w:hAnsi="宋体" w:cs="宋体"/>
          <w:sz w:val="21"/>
          <w:szCs w:val="21"/>
          <w:lang w:eastAsia="zh-CN"/>
        </w:rPr>
        <w:t>本基金分红并不因此提升或降低基金投资风险或投资收益。本公司承诺以诚实信用、勤勉尽责的原则管理和运用基金资产，但不保证基金一定盈利，也不保证最低收益。敬请投资人根据自身的风险承受能力选择相适应的基金产品进行投资，并注意投资风险。</w:t>
      </w:r>
    </w:p>
    <w:p w:rsidR="002727E8" w:rsidRDefault="006966FE">
      <w:pPr>
        <w:spacing w:line="360" w:lineRule="auto"/>
        <w:ind w:firstLine="420"/>
        <w:jc w:val="both"/>
        <w:rPr>
          <w:sz w:val="21"/>
          <w:szCs w:val="21"/>
          <w:lang w:eastAsia="zh-CN"/>
        </w:rPr>
      </w:pPr>
      <w:r>
        <w:rPr>
          <w:rFonts w:eastAsia="Times New Roman"/>
          <w:sz w:val="21"/>
          <w:szCs w:val="21"/>
          <w:lang w:eastAsia="zh-CN"/>
        </w:rPr>
        <w:t> </w:t>
      </w:r>
    </w:p>
    <w:p w:rsidR="002727E8" w:rsidRDefault="006966FE">
      <w:pPr>
        <w:spacing w:line="360" w:lineRule="auto"/>
        <w:ind w:firstLine="420"/>
        <w:jc w:val="right"/>
        <w:rPr>
          <w:sz w:val="21"/>
          <w:szCs w:val="21"/>
          <w:lang w:eastAsia="zh-CN"/>
        </w:rPr>
      </w:pPr>
      <w:r>
        <w:rPr>
          <w:rFonts w:ascii="宋体" w:eastAsia="宋体" w:hAnsi="宋体" w:cs="宋体"/>
          <w:sz w:val="21"/>
          <w:szCs w:val="21"/>
          <w:lang w:eastAsia="zh-CN"/>
        </w:rPr>
        <w:t>鹏华基金管理有限公司</w:t>
      </w:r>
    </w:p>
    <w:p w:rsidR="002727E8" w:rsidRDefault="006966FE">
      <w:pPr>
        <w:spacing w:line="360" w:lineRule="auto"/>
        <w:ind w:firstLine="420"/>
        <w:jc w:val="right"/>
        <w:rPr>
          <w:sz w:val="21"/>
          <w:szCs w:val="21"/>
          <w:lang w:eastAsia="zh-CN"/>
        </w:rPr>
      </w:pPr>
      <w:r>
        <w:rPr>
          <w:rFonts w:eastAsia="Times New Roman"/>
          <w:sz w:val="21"/>
          <w:szCs w:val="21"/>
          <w:lang w:eastAsia="zh-CN"/>
        </w:rPr>
        <w:t>2025</w:t>
      </w:r>
      <w:r>
        <w:rPr>
          <w:rFonts w:ascii="宋体" w:eastAsia="宋体" w:hAnsi="宋体" w:cs="宋体"/>
          <w:sz w:val="21"/>
          <w:szCs w:val="21"/>
          <w:lang w:eastAsia="zh-CN"/>
        </w:rPr>
        <w:t>年</w:t>
      </w:r>
      <w:r>
        <w:rPr>
          <w:rFonts w:eastAsia="Times New Roman"/>
          <w:sz w:val="21"/>
          <w:szCs w:val="21"/>
          <w:lang w:eastAsia="zh-CN"/>
        </w:rPr>
        <w:t>11</w:t>
      </w:r>
      <w:r>
        <w:rPr>
          <w:rFonts w:ascii="宋体" w:eastAsia="宋体" w:hAnsi="宋体" w:cs="宋体"/>
          <w:sz w:val="21"/>
          <w:szCs w:val="21"/>
          <w:lang w:eastAsia="zh-CN"/>
        </w:rPr>
        <w:t>月</w:t>
      </w:r>
      <w:r>
        <w:rPr>
          <w:rFonts w:eastAsia="Times New Roman"/>
          <w:sz w:val="21"/>
          <w:szCs w:val="21"/>
          <w:lang w:eastAsia="zh-CN"/>
        </w:rPr>
        <w:t>28</w:t>
      </w:r>
      <w:r>
        <w:rPr>
          <w:rFonts w:ascii="宋体" w:eastAsia="宋体" w:hAnsi="宋体" w:cs="宋体"/>
          <w:sz w:val="21"/>
          <w:szCs w:val="21"/>
          <w:lang w:eastAsia="zh-CN"/>
        </w:rPr>
        <w:t>日</w:t>
      </w:r>
    </w:p>
    <w:p w:rsidR="00A77B3E" w:rsidRDefault="00A77B3E">
      <w:pPr>
        <w:rPr>
          <w:lang w:eastAsia="zh-CN"/>
        </w:rPr>
      </w:pPr>
    </w:p>
    <w:sectPr w:rsidR="00A77B3E" w:rsidSect="00285CE5">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6FE" w:rsidRDefault="006966FE">
      <w:r>
        <w:separator/>
      </w:r>
    </w:p>
  </w:endnote>
  <w:endnote w:type="continuationSeparator" w:id="0">
    <w:p w:rsidR="006966FE" w:rsidRDefault="00696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E8" w:rsidRDefault="00285CE5">
    <w:pPr>
      <w:jc w:val="center"/>
    </w:pPr>
    <w:r>
      <w:rPr>
        <w:rFonts w:ascii="宋体" w:eastAsia="宋体" w:hAnsi="宋体" w:cs="宋体"/>
        <w:sz w:val="18"/>
      </w:rPr>
      <w:fldChar w:fldCharType="begin"/>
    </w:r>
    <w:r w:rsidR="006966FE">
      <w:rPr>
        <w:rFonts w:ascii="宋体" w:eastAsia="宋体" w:hAnsi="宋体" w:cs="宋体"/>
        <w:sz w:val="18"/>
        <w:lang w:eastAsia="zh-CN"/>
      </w:rPr>
      <w:instrText xml:space="preserve"> PAGE </w:instrText>
    </w:r>
    <w:r>
      <w:rPr>
        <w:rFonts w:ascii="宋体" w:eastAsia="宋体" w:hAnsi="宋体" w:cs="宋体"/>
        <w:sz w:val="18"/>
      </w:rPr>
      <w:fldChar w:fldCharType="separate"/>
    </w:r>
    <w:r w:rsidR="004F388D">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6FE" w:rsidRDefault="006966FE">
      <w:r>
        <w:separator/>
      </w:r>
    </w:p>
  </w:footnote>
  <w:footnote w:type="continuationSeparator" w:id="0">
    <w:p w:rsidR="006966FE" w:rsidRDefault="006966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727E8"/>
    <w:rsid w:val="00285CE5"/>
    <w:rsid w:val="004F388D"/>
    <w:rsid w:val="006966FE"/>
    <w:rsid w:val="00897F4E"/>
    <w:rsid w:val="00924C40"/>
    <w:rsid w:val="00A77B3E"/>
    <w:rsid w:val="00CA2A55"/>
    <w:rsid w:val="00DA05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CE5"/>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322</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2025-11-27T16:02:00Z</dcterms:created>
  <dcterms:modified xsi:type="dcterms:W3CDTF">2025-11-27T16:02:00Z</dcterms:modified>
</cp:coreProperties>
</file>