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203" w:rsidRDefault="00FC2A42">
      <w:pPr>
        <w:pStyle w:val="a3"/>
        <w:kinsoku w:val="0"/>
        <w:overflowPunct w:val="0"/>
        <w:spacing w:before="7" w:line="381" w:lineRule="auto"/>
        <w:ind w:left="960" w:hanging="754"/>
        <w:jc w:val="center"/>
        <w:rPr>
          <w:sz w:val="30"/>
          <w:szCs w:val="30"/>
        </w:rPr>
      </w:pPr>
      <w:r>
        <w:rPr>
          <w:rFonts w:hint="eastAsia"/>
          <w:b/>
          <w:bCs/>
          <w:sz w:val="30"/>
          <w:szCs w:val="30"/>
        </w:rPr>
        <w:t>中海基金管理有限公司关于旗下基金新增</w:t>
      </w:r>
      <w:bookmarkStart w:id="0" w:name="OLE_LINK1"/>
      <w:r w:rsidR="002542AA" w:rsidRPr="002542AA">
        <w:rPr>
          <w:rFonts w:hint="eastAsia"/>
          <w:b/>
          <w:bCs/>
          <w:sz w:val="30"/>
          <w:szCs w:val="30"/>
        </w:rPr>
        <w:t>易方达财富管理基金销售（广州）有限公司</w:t>
      </w:r>
      <w:bookmarkEnd w:id="0"/>
      <w:r>
        <w:rPr>
          <w:rFonts w:hint="eastAsia"/>
          <w:b/>
          <w:bCs/>
          <w:sz w:val="30"/>
          <w:szCs w:val="30"/>
        </w:rPr>
        <w:t>为销售机构并开通基金转换、定期定额投资业务并参加费率优惠</w:t>
      </w:r>
      <w:r w:rsidR="00B77C3B">
        <w:rPr>
          <w:rFonts w:hint="eastAsia"/>
          <w:b/>
          <w:bCs/>
          <w:sz w:val="30"/>
          <w:szCs w:val="30"/>
        </w:rPr>
        <w:t>活动</w:t>
      </w:r>
      <w:r>
        <w:rPr>
          <w:rFonts w:hint="eastAsia"/>
          <w:b/>
          <w:bCs/>
          <w:sz w:val="30"/>
          <w:szCs w:val="30"/>
        </w:rPr>
        <w:t>的公告</w:t>
      </w:r>
    </w:p>
    <w:p w:rsidR="00BD4203" w:rsidRDefault="00BD4203">
      <w:pPr>
        <w:pStyle w:val="a3"/>
        <w:kinsoku w:val="0"/>
        <w:overflowPunct w:val="0"/>
        <w:ind w:left="0"/>
        <w:rPr>
          <w:b/>
          <w:bCs/>
          <w:sz w:val="30"/>
          <w:szCs w:val="30"/>
        </w:rPr>
      </w:pPr>
    </w:p>
    <w:p w:rsidR="00BD4203" w:rsidRDefault="00BD4203">
      <w:pPr>
        <w:pStyle w:val="a3"/>
        <w:kinsoku w:val="0"/>
        <w:overflowPunct w:val="0"/>
        <w:spacing w:before="13"/>
        <w:ind w:left="0"/>
        <w:rPr>
          <w:b/>
          <w:bCs/>
        </w:rPr>
      </w:pPr>
    </w:p>
    <w:p w:rsidR="00BD4203" w:rsidRDefault="00FC2A42">
      <w:pPr>
        <w:pStyle w:val="a3"/>
        <w:kinsoku w:val="0"/>
        <w:overflowPunct w:val="0"/>
        <w:spacing w:line="360" w:lineRule="auto"/>
        <w:ind w:left="0" w:firstLineChars="200" w:firstLine="404"/>
        <w:jc w:val="both"/>
        <w:rPr>
          <w:color w:val="000000"/>
        </w:rPr>
      </w:pPr>
      <w:r>
        <w:rPr>
          <w:rFonts w:hint="eastAsia"/>
          <w:color w:val="333333"/>
          <w:spacing w:val="-4"/>
        </w:rPr>
        <w:t>根据中海基金管理有限公司（以下简称“本公司”）与</w:t>
      </w:r>
      <w:r w:rsidR="002542AA" w:rsidRPr="002542AA">
        <w:rPr>
          <w:rFonts w:hint="eastAsia"/>
          <w:color w:val="333333"/>
          <w:spacing w:val="-4"/>
        </w:rPr>
        <w:t>易方达财富管理基金销售（广州）有限公司</w:t>
      </w:r>
      <w:r>
        <w:rPr>
          <w:rFonts w:hint="eastAsia"/>
          <w:color w:val="333333"/>
          <w:spacing w:val="-4"/>
        </w:rPr>
        <w:t>（以下简称“</w:t>
      </w:r>
      <w:r w:rsidR="002542AA">
        <w:rPr>
          <w:rFonts w:hint="eastAsia"/>
          <w:color w:val="333333"/>
          <w:spacing w:val="-4"/>
        </w:rPr>
        <w:t>易方达财富</w:t>
      </w:r>
      <w:r>
        <w:rPr>
          <w:rFonts w:hint="eastAsia"/>
          <w:color w:val="333333"/>
          <w:spacing w:val="-4"/>
        </w:rPr>
        <w:t>”）签署的各项协议，现将相关业务开</w:t>
      </w:r>
      <w:r>
        <w:rPr>
          <w:rFonts w:hint="eastAsia"/>
          <w:color w:val="333333"/>
        </w:rPr>
        <w:t>通情况公告如下：</w:t>
      </w:r>
    </w:p>
    <w:p w:rsidR="00BD4203" w:rsidRDefault="00BD4203">
      <w:pPr>
        <w:pStyle w:val="a3"/>
        <w:kinsoku w:val="0"/>
        <w:overflowPunct w:val="0"/>
        <w:spacing w:before="5"/>
        <w:ind w:left="0"/>
        <w:rPr>
          <w:sz w:val="22"/>
          <w:szCs w:val="22"/>
        </w:rPr>
      </w:pPr>
    </w:p>
    <w:p w:rsidR="00BD4203" w:rsidRPr="00205D6F" w:rsidRDefault="00FC2A42" w:rsidP="00205D6F">
      <w:pPr>
        <w:pStyle w:val="a3"/>
        <w:numPr>
          <w:ilvl w:val="0"/>
          <w:numId w:val="1"/>
        </w:numPr>
        <w:kinsoku w:val="0"/>
        <w:overflowPunct w:val="0"/>
        <w:spacing w:line="360" w:lineRule="auto"/>
        <w:jc w:val="both"/>
        <w:rPr>
          <w:color w:val="333333"/>
          <w:spacing w:val="-4"/>
        </w:rPr>
      </w:pPr>
      <w:r>
        <w:rPr>
          <w:rFonts w:hint="eastAsia"/>
          <w:color w:val="333333"/>
          <w:spacing w:val="-4"/>
        </w:rPr>
        <w:t>从</w:t>
      </w:r>
      <w:r w:rsidRPr="00C73808">
        <w:rPr>
          <w:color w:val="333333"/>
          <w:spacing w:val="-4"/>
        </w:rPr>
        <w:t>202</w:t>
      </w:r>
      <w:r w:rsidR="00254FC7" w:rsidRPr="00C73808">
        <w:rPr>
          <w:rFonts w:hint="eastAsia"/>
          <w:color w:val="333333"/>
          <w:spacing w:val="-4"/>
        </w:rPr>
        <w:t>5</w:t>
      </w:r>
      <w:r w:rsidRPr="00C73808">
        <w:rPr>
          <w:rFonts w:hint="eastAsia"/>
          <w:color w:val="333333"/>
          <w:spacing w:val="-4"/>
        </w:rPr>
        <w:t>年</w:t>
      </w:r>
      <w:r w:rsidR="002542AA">
        <w:rPr>
          <w:rFonts w:hint="eastAsia"/>
          <w:color w:val="333333"/>
          <w:spacing w:val="-4"/>
        </w:rPr>
        <w:t>12</w:t>
      </w:r>
      <w:r w:rsidRPr="00C73808">
        <w:rPr>
          <w:rFonts w:hint="eastAsia"/>
          <w:color w:val="333333"/>
          <w:spacing w:val="-4"/>
        </w:rPr>
        <w:t>月</w:t>
      </w:r>
      <w:r w:rsidR="002542AA">
        <w:rPr>
          <w:rFonts w:hint="eastAsia"/>
          <w:color w:val="333333"/>
          <w:spacing w:val="-4"/>
        </w:rPr>
        <w:t>1</w:t>
      </w:r>
      <w:r w:rsidRPr="00C73808">
        <w:rPr>
          <w:rFonts w:hint="eastAsia"/>
          <w:color w:val="333333"/>
          <w:spacing w:val="-4"/>
        </w:rPr>
        <w:t>日</w:t>
      </w:r>
      <w:r w:rsidRPr="00205D6F">
        <w:rPr>
          <w:rFonts w:hint="eastAsia"/>
          <w:color w:val="333333"/>
          <w:spacing w:val="-4"/>
        </w:rPr>
        <w:t>起</w:t>
      </w:r>
      <w:r>
        <w:rPr>
          <w:rFonts w:hint="eastAsia"/>
          <w:color w:val="333333"/>
          <w:spacing w:val="-4"/>
        </w:rPr>
        <w:t>，</w:t>
      </w:r>
      <w:r w:rsidR="002542AA">
        <w:rPr>
          <w:rFonts w:hint="eastAsia"/>
          <w:color w:val="333333"/>
          <w:spacing w:val="-4"/>
        </w:rPr>
        <w:t>易方达财富</w:t>
      </w:r>
      <w:r>
        <w:rPr>
          <w:rFonts w:hint="eastAsia"/>
          <w:color w:val="333333"/>
          <w:spacing w:val="-4"/>
        </w:rPr>
        <w:t>开始代理销售本公司旗下以下基金</w:t>
      </w:r>
      <w:r>
        <w:rPr>
          <w:color w:val="333333"/>
          <w:spacing w:val="-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3924"/>
      </w:tblGrid>
      <w:tr w:rsidR="00BD4203">
        <w:trPr>
          <w:trHeight w:val="31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基金代码</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基金</w:t>
            </w:r>
            <w:r w:rsidR="0038403F">
              <w:rPr>
                <w:rFonts w:ascii="Calibri" w:eastAsia="宋体" w:hAnsi="Calibri" w:hint="eastAsia"/>
                <w:kern w:val="2"/>
                <w:sz w:val="21"/>
                <w:szCs w:val="22"/>
              </w:rPr>
              <w:t>简</w:t>
            </w:r>
            <w:r>
              <w:rPr>
                <w:rFonts w:ascii="Calibri" w:eastAsia="宋体" w:hAnsi="Calibri" w:hint="eastAsia"/>
                <w:kern w:val="2"/>
                <w:sz w:val="21"/>
                <w:szCs w:val="22"/>
              </w:rPr>
              <w:t>称</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000003</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中海可转债债券</w:t>
            </w:r>
            <w:r>
              <w:rPr>
                <w:rFonts w:ascii="Calibri" w:eastAsia="宋体" w:hAnsi="Calibri"/>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000004</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中海可转债债券</w:t>
            </w:r>
            <w:r>
              <w:rPr>
                <w:rFonts w:ascii="Calibri" w:eastAsia="宋体" w:hAnsi="Calibri"/>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000166</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中海信息产业混合</w:t>
            </w:r>
            <w:r>
              <w:rPr>
                <w:rFonts w:ascii="Calibri" w:eastAsia="宋体" w:hAnsi="Calibri" w:hint="eastAsia"/>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w:t>
            </w:r>
            <w:r>
              <w:rPr>
                <w:rFonts w:ascii="Calibri" w:eastAsia="宋体" w:hAnsi="Calibri"/>
                <w:kern w:val="2"/>
                <w:sz w:val="21"/>
                <w:szCs w:val="22"/>
              </w:rPr>
              <w:t>18848</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中海信息产业混合</w:t>
            </w:r>
            <w:r>
              <w:rPr>
                <w:rFonts w:ascii="Calibri" w:eastAsia="宋体" w:hAnsi="Calibri" w:hint="eastAsia"/>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000298</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中海纯债债券</w:t>
            </w:r>
            <w:r>
              <w:rPr>
                <w:rFonts w:ascii="Calibri" w:eastAsia="宋体" w:hAnsi="Calibri"/>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000299</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中海纯债债券</w:t>
            </w:r>
            <w:r>
              <w:rPr>
                <w:rFonts w:ascii="Calibri" w:eastAsia="宋体" w:hAnsi="Calibri"/>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000597</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中海积极收益混合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000674</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中海中短债债券</w:t>
            </w:r>
            <w:r>
              <w:rPr>
                <w:rFonts w:ascii="Calibri" w:eastAsia="宋体" w:hAnsi="Calibri" w:hint="eastAsia"/>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019648</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中海中短债债券</w:t>
            </w:r>
            <w:r>
              <w:rPr>
                <w:rFonts w:ascii="Calibri" w:eastAsia="宋体" w:hAnsi="Calibri" w:hint="eastAsia"/>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000878</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中海医药混合</w:t>
            </w:r>
            <w:r>
              <w:rPr>
                <w:rFonts w:ascii="Calibri" w:eastAsia="宋体" w:hAnsi="Calibri"/>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000879</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中海医药混合</w:t>
            </w:r>
            <w:r>
              <w:rPr>
                <w:rFonts w:ascii="Calibri" w:eastAsia="宋体" w:hAnsi="Calibri"/>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001252</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中海进取收益混合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001279</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中海积极增利混合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001574</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中海混改红利混合</w:t>
            </w:r>
            <w:r>
              <w:rPr>
                <w:rFonts w:ascii="Calibri" w:eastAsia="宋体" w:hAnsi="Calibri" w:hint="eastAsia"/>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lastRenderedPageBreak/>
              <w:t>020360</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中海混改红利混合</w:t>
            </w:r>
            <w:r>
              <w:rPr>
                <w:rFonts w:ascii="Calibri" w:eastAsia="宋体" w:hAnsi="Calibri" w:hint="eastAsia"/>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001864</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中海魅力长三角混合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002213</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中海顺鑫混合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002214</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中海沪港深价值优选混合</w:t>
            </w:r>
            <w:r>
              <w:rPr>
                <w:rFonts w:ascii="Calibri" w:eastAsia="宋体" w:hAnsi="Calibri" w:hint="eastAsia"/>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020362</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中海沪港深价值优选混合</w:t>
            </w:r>
            <w:r>
              <w:rPr>
                <w:rFonts w:ascii="Calibri" w:eastAsia="宋体" w:hAnsi="Calibri" w:hint="eastAsia"/>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002965</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中海合嘉增强收益债券</w:t>
            </w:r>
            <w:r>
              <w:rPr>
                <w:rFonts w:ascii="Calibri" w:eastAsia="宋体" w:hAnsi="Calibri"/>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002966</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中海合嘉增强收益债券</w:t>
            </w:r>
            <w:r>
              <w:rPr>
                <w:rFonts w:ascii="Calibri" w:eastAsia="宋体" w:hAnsi="Calibri"/>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005646</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中海沪港深多策略混合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011514</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中海海誉混合</w:t>
            </w:r>
            <w:r>
              <w:rPr>
                <w:rFonts w:ascii="Calibri" w:eastAsia="宋体" w:hAnsi="Calibri"/>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011515</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中海海誉混合</w:t>
            </w:r>
            <w:r>
              <w:rPr>
                <w:rFonts w:ascii="Calibri" w:eastAsia="宋体" w:hAnsi="Calibri"/>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392001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中海货币</w:t>
            </w:r>
            <w:r>
              <w:rPr>
                <w:rFonts w:ascii="Calibri" w:eastAsia="宋体" w:hAnsi="Calibri"/>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392002</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中海货币</w:t>
            </w:r>
            <w:r>
              <w:rPr>
                <w:rFonts w:ascii="Calibri" w:eastAsia="宋体" w:hAnsi="Calibri"/>
                <w:kern w:val="2"/>
                <w:sz w:val="21"/>
                <w:szCs w:val="22"/>
              </w:rPr>
              <w:t>B</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393001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中海优势混合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395001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中海稳健收益债券</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395011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中海增强收益债券</w:t>
            </w:r>
            <w:r>
              <w:rPr>
                <w:rFonts w:ascii="Calibri" w:eastAsia="宋体" w:hAnsi="Calibri"/>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395012</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中海增强收益债券</w:t>
            </w:r>
            <w:r>
              <w:rPr>
                <w:rFonts w:ascii="Calibri" w:eastAsia="宋体" w:hAnsi="Calibri"/>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398001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中海优质成长混合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398011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中海分红增利混合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398021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中海能源策略混合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398031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中海蓝筹混合</w:t>
            </w:r>
            <w:r>
              <w:rPr>
                <w:rFonts w:ascii="Calibri" w:eastAsia="宋体" w:hAnsi="Calibri" w:hint="eastAsia"/>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020361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中海蓝筹混合</w:t>
            </w:r>
            <w:r>
              <w:rPr>
                <w:rFonts w:ascii="Calibri" w:eastAsia="宋体" w:hAnsi="Calibri" w:hint="eastAsia"/>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398041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中海量化策略混合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398051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中海环保新能源混合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398061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中海消费混合</w:t>
            </w:r>
            <w:r>
              <w:rPr>
                <w:rFonts w:ascii="Calibri" w:eastAsia="宋体" w:hAnsi="Calibri" w:hint="eastAsia"/>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017915</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中海消费混合</w:t>
            </w:r>
            <w:r>
              <w:rPr>
                <w:rFonts w:ascii="Calibri" w:eastAsia="宋体" w:hAnsi="Calibri" w:hint="eastAsia"/>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399001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中海上证</w:t>
            </w:r>
            <w:r>
              <w:rPr>
                <w:rFonts w:ascii="Calibri" w:eastAsia="宋体" w:hAnsi="Calibri"/>
                <w:kern w:val="2"/>
                <w:sz w:val="21"/>
                <w:szCs w:val="22"/>
              </w:rPr>
              <w:t>50</w:t>
            </w:r>
            <w:r>
              <w:rPr>
                <w:rFonts w:ascii="Calibri" w:eastAsia="宋体" w:hAnsi="Calibri"/>
                <w:kern w:val="2"/>
                <w:sz w:val="21"/>
                <w:szCs w:val="22"/>
              </w:rPr>
              <w:t>指数增强</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lastRenderedPageBreak/>
              <w:t>399011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中海医疗保健主题股票</w:t>
            </w:r>
            <w:r>
              <w:rPr>
                <w:rFonts w:ascii="Calibri" w:eastAsia="宋体" w:hAnsi="Calibri" w:hint="eastAsia"/>
                <w:kern w:val="2"/>
                <w:sz w:val="21"/>
                <w:szCs w:val="22"/>
              </w:rPr>
              <w:t>A</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kern w:val="2"/>
                <w:sz w:val="21"/>
                <w:szCs w:val="22"/>
              </w:rPr>
              <w:t>017921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中海医疗保健主题股票</w:t>
            </w:r>
            <w:r>
              <w:rPr>
                <w:rFonts w:ascii="Calibri" w:eastAsia="宋体" w:hAnsi="Calibri" w:hint="eastAsia"/>
                <w:kern w:val="2"/>
                <w:sz w:val="21"/>
                <w:szCs w:val="22"/>
              </w:rPr>
              <w:t>C</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w:t>
            </w:r>
            <w:r>
              <w:rPr>
                <w:rFonts w:ascii="Calibri" w:eastAsia="宋体" w:hAnsi="Calibri"/>
                <w:kern w:val="2"/>
                <w:sz w:val="21"/>
                <w:szCs w:val="22"/>
              </w:rPr>
              <w:t>15986</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中海新兴成长六个月持有期混合</w:t>
            </w:r>
          </w:p>
        </w:tc>
      </w:tr>
      <w:tr w:rsidR="00BD4203">
        <w:trPr>
          <w:trHeight w:val="255"/>
          <w:jc w:val="center"/>
        </w:trPr>
        <w:tc>
          <w:tcPr>
            <w:tcW w:w="1201"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w:t>
            </w:r>
            <w:r>
              <w:rPr>
                <w:rFonts w:ascii="Calibri" w:eastAsia="宋体" w:hAnsi="Calibri"/>
                <w:kern w:val="2"/>
                <w:sz w:val="21"/>
                <w:szCs w:val="22"/>
              </w:rPr>
              <w:t>16431</w:t>
            </w:r>
          </w:p>
        </w:tc>
        <w:tc>
          <w:tcPr>
            <w:tcW w:w="3924" w:type="dxa"/>
            <w:noWrap/>
          </w:tcPr>
          <w:p w:rsidR="00BD4203" w:rsidRDefault="00FC2A42">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中海丰盈三个月定期开放债券</w:t>
            </w:r>
          </w:p>
        </w:tc>
      </w:tr>
      <w:tr w:rsidR="00034351">
        <w:trPr>
          <w:trHeight w:val="255"/>
          <w:jc w:val="center"/>
        </w:trPr>
        <w:tc>
          <w:tcPr>
            <w:tcW w:w="1201" w:type="dxa"/>
            <w:noWrap/>
          </w:tcPr>
          <w:p w:rsidR="00034351" w:rsidRDefault="002722CA">
            <w:pPr>
              <w:widowControl/>
              <w:autoSpaceDE/>
              <w:autoSpaceDN/>
              <w:adjustRightInd/>
              <w:rPr>
                <w:rFonts w:ascii="Calibri" w:eastAsia="宋体" w:hAnsi="Calibri"/>
                <w:kern w:val="2"/>
                <w:sz w:val="21"/>
                <w:szCs w:val="22"/>
              </w:rPr>
            </w:pPr>
            <w:r w:rsidRPr="002722CA">
              <w:rPr>
                <w:rFonts w:ascii="Calibri" w:eastAsia="宋体" w:hAnsi="Calibri"/>
                <w:kern w:val="2"/>
                <w:sz w:val="21"/>
                <w:szCs w:val="22"/>
              </w:rPr>
              <w:t>021941</w:t>
            </w:r>
          </w:p>
        </w:tc>
        <w:tc>
          <w:tcPr>
            <w:tcW w:w="3924" w:type="dxa"/>
            <w:noWrap/>
          </w:tcPr>
          <w:p w:rsidR="00034351" w:rsidRDefault="00FB4950">
            <w:pPr>
              <w:widowControl/>
              <w:autoSpaceDE/>
              <w:autoSpaceDN/>
              <w:adjustRightInd/>
              <w:rPr>
                <w:rFonts w:ascii="Calibri" w:eastAsia="宋体" w:hAnsi="Calibri"/>
                <w:kern w:val="2"/>
                <w:sz w:val="21"/>
                <w:szCs w:val="22"/>
              </w:rPr>
            </w:pPr>
            <w:r w:rsidRPr="00FB4950">
              <w:rPr>
                <w:rFonts w:ascii="Calibri" w:eastAsia="宋体" w:hAnsi="Calibri" w:hint="eastAsia"/>
                <w:kern w:val="2"/>
                <w:sz w:val="21"/>
                <w:szCs w:val="22"/>
              </w:rPr>
              <w:t>中海丰泽利率债</w:t>
            </w:r>
            <w:r w:rsidRPr="00FB4950">
              <w:rPr>
                <w:rFonts w:ascii="Calibri" w:eastAsia="宋体" w:hAnsi="Calibri" w:hint="eastAsia"/>
                <w:kern w:val="2"/>
                <w:sz w:val="21"/>
                <w:szCs w:val="22"/>
              </w:rPr>
              <w:t>A</w:t>
            </w:r>
          </w:p>
        </w:tc>
      </w:tr>
      <w:tr w:rsidR="00034351">
        <w:trPr>
          <w:trHeight w:val="255"/>
          <w:jc w:val="center"/>
        </w:trPr>
        <w:tc>
          <w:tcPr>
            <w:tcW w:w="1201" w:type="dxa"/>
            <w:noWrap/>
          </w:tcPr>
          <w:p w:rsidR="00034351" w:rsidRDefault="002722CA">
            <w:pPr>
              <w:widowControl/>
              <w:autoSpaceDE/>
              <w:autoSpaceDN/>
              <w:adjustRightInd/>
              <w:rPr>
                <w:rFonts w:ascii="Calibri" w:eastAsia="宋体" w:hAnsi="Calibri"/>
                <w:kern w:val="2"/>
                <w:sz w:val="21"/>
                <w:szCs w:val="22"/>
              </w:rPr>
            </w:pPr>
            <w:r w:rsidRPr="002722CA">
              <w:rPr>
                <w:rFonts w:ascii="Calibri" w:eastAsia="宋体" w:hAnsi="Calibri"/>
                <w:kern w:val="2"/>
                <w:sz w:val="21"/>
                <w:szCs w:val="22"/>
              </w:rPr>
              <w:t>021942</w:t>
            </w:r>
          </w:p>
        </w:tc>
        <w:tc>
          <w:tcPr>
            <w:tcW w:w="3924" w:type="dxa"/>
            <w:noWrap/>
          </w:tcPr>
          <w:p w:rsidR="00034351" w:rsidRDefault="00FB4950">
            <w:pPr>
              <w:widowControl/>
              <w:autoSpaceDE/>
              <w:autoSpaceDN/>
              <w:adjustRightInd/>
              <w:rPr>
                <w:rFonts w:ascii="Calibri" w:eastAsia="宋体" w:hAnsi="Calibri"/>
                <w:kern w:val="2"/>
                <w:sz w:val="21"/>
                <w:szCs w:val="22"/>
              </w:rPr>
            </w:pPr>
            <w:r w:rsidRPr="00FB4950">
              <w:rPr>
                <w:rFonts w:ascii="Calibri" w:eastAsia="宋体" w:hAnsi="Calibri" w:hint="eastAsia"/>
                <w:kern w:val="2"/>
                <w:sz w:val="21"/>
                <w:szCs w:val="22"/>
              </w:rPr>
              <w:t>中海丰泽利率债</w:t>
            </w:r>
            <w:r>
              <w:rPr>
                <w:rFonts w:ascii="Calibri" w:eastAsia="宋体" w:hAnsi="Calibri" w:hint="eastAsia"/>
                <w:kern w:val="2"/>
                <w:sz w:val="21"/>
                <w:szCs w:val="22"/>
              </w:rPr>
              <w:t>C</w:t>
            </w:r>
          </w:p>
        </w:tc>
      </w:tr>
      <w:tr w:rsidR="00254FC7">
        <w:trPr>
          <w:trHeight w:val="255"/>
          <w:jc w:val="center"/>
        </w:trPr>
        <w:tc>
          <w:tcPr>
            <w:tcW w:w="1201" w:type="dxa"/>
            <w:noWrap/>
          </w:tcPr>
          <w:p w:rsidR="00254FC7" w:rsidRPr="002722CA" w:rsidRDefault="00540C04">
            <w:pPr>
              <w:widowControl/>
              <w:autoSpaceDE/>
              <w:autoSpaceDN/>
              <w:adjustRightInd/>
              <w:rPr>
                <w:rFonts w:ascii="Calibri" w:eastAsia="宋体" w:hAnsi="Calibri"/>
                <w:kern w:val="2"/>
                <w:sz w:val="21"/>
                <w:szCs w:val="22"/>
              </w:rPr>
            </w:pPr>
            <w:r w:rsidRPr="00540C04">
              <w:rPr>
                <w:rFonts w:ascii="Calibri" w:eastAsia="宋体" w:hAnsi="Calibri"/>
                <w:kern w:val="2"/>
                <w:sz w:val="21"/>
                <w:szCs w:val="22"/>
              </w:rPr>
              <w:t>023341</w:t>
            </w:r>
          </w:p>
        </w:tc>
        <w:tc>
          <w:tcPr>
            <w:tcW w:w="3924" w:type="dxa"/>
            <w:noWrap/>
          </w:tcPr>
          <w:p w:rsidR="00254FC7" w:rsidRPr="00FB4950" w:rsidRDefault="00540C04">
            <w:pPr>
              <w:widowControl/>
              <w:autoSpaceDE/>
              <w:autoSpaceDN/>
              <w:adjustRightInd/>
              <w:rPr>
                <w:rFonts w:ascii="Calibri" w:eastAsia="宋体" w:hAnsi="Calibri"/>
                <w:kern w:val="2"/>
                <w:sz w:val="21"/>
                <w:szCs w:val="22"/>
              </w:rPr>
            </w:pPr>
            <w:r w:rsidRPr="00540C04">
              <w:rPr>
                <w:rFonts w:ascii="Calibri" w:eastAsia="宋体" w:hAnsi="Calibri" w:hint="eastAsia"/>
                <w:kern w:val="2"/>
                <w:sz w:val="21"/>
                <w:szCs w:val="22"/>
              </w:rPr>
              <w:t>中海中证</w:t>
            </w:r>
            <w:r w:rsidRPr="00540C04">
              <w:rPr>
                <w:rFonts w:ascii="Calibri" w:eastAsia="宋体" w:hAnsi="Calibri" w:hint="eastAsia"/>
                <w:kern w:val="2"/>
                <w:sz w:val="21"/>
                <w:szCs w:val="22"/>
              </w:rPr>
              <w:t>A500</w:t>
            </w:r>
            <w:r w:rsidRPr="00540C04">
              <w:rPr>
                <w:rFonts w:ascii="Calibri" w:eastAsia="宋体" w:hAnsi="Calibri" w:hint="eastAsia"/>
                <w:kern w:val="2"/>
                <w:sz w:val="21"/>
                <w:szCs w:val="22"/>
              </w:rPr>
              <w:t>指数增强</w:t>
            </w:r>
            <w:r w:rsidRPr="00540C04">
              <w:rPr>
                <w:rFonts w:ascii="Calibri" w:eastAsia="宋体" w:hAnsi="Calibri" w:hint="eastAsia"/>
                <w:kern w:val="2"/>
                <w:sz w:val="21"/>
                <w:szCs w:val="22"/>
              </w:rPr>
              <w:t>A</w:t>
            </w:r>
          </w:p>
        </w:tc>
      </w:tr>
      <w:tr w:rsidR="00254FC7">
        <w:trPr>
          <w:trHeight w:val="255"/>
          <w:jc w:val="center"/>
        </w:trPr>
        <w:tc>
          <w:tcPr>
            <w:tcW w:w="1201" w:type="dxa"/>
            <w:noWrap/>
          </w:tcPr>
          <w:p w:rsidR="00254FC7" w:rsidRPr="002722CA" w:rsidRDefault="00540C04">
            <w:pPr>
              <w:widowControl/>
              <w:autoSpaceDE/>
              <w:autoSpaceDN/>
              <w:adjustRightInd/>
              <w:rPr>
                <w:rFonts w:ascii="Calibri" w:eastAsia="宋体" w:hAnsi="Calibri"/>
                <w:kern w:val="2"/>
                <w:sz w:val="21"/>
                <w:szCs w:val="22"/>
              </w:rPr>
            </w:pPr>
            <w:r w:rsidRPr="00540C04">
              <w:rPr>
                <w:rFonts w:ascii="Calibri" w:eastAsia="宋体" w:hAnsi="Calibri"/>
                <w:kern w:val="2"/>
                <w:sz w:val="21"/>
                <w:szCs w:val="22"/>
              </w:rPr>
              <w:t>023342</w:t>
            </w:r>
          </w:p>
        </w:tc>
        <w:tc>
          <w:tcPr>
            <w:tcW w:w="3924" w:type="dxa"/>
            <w:noWrap/>
          </w:tcPr>
          <w:p w:rsidR="00254FC7" w:rsidRPr="00FB4950" w:rsidRDefault="00540C04">
            <w:pPr>
              <w:widowControl/>
              <w:autoSpaceDE/>
              <w:autoSpaceDN/>
              <w:adjustRightInd/>
              <w:rPr>
                <w:rFonts w:ascii="Calibri" w:eastAsia="宋体" w:hAnsi="Calibri"/>
                <w:kern w:val="2"/>
                <w:sz w:val="21"/>
                <w:szCs w:val="22"/>
              </w:rPr>
            </w:pPr>
            <w:r w:rsidRPr="00540C04">
              <w:rPr>
                <w:rFonts w:ascii="Calibri" w:eastAsia="宋体" w:hAnsi="Calibri" w:hint="eastAsia"/>
                <w:kern w:val="2"/>
                <w:sz w:val="21"/>
                <w:szCs w:val="22"/>
              </w:rPr>
              <w:t>中海中证</w:t>
            </w:r>
            <w:r w:rsidRPr="00540C04">
              <w:rPr>
                <w:rFonts w:ascii="Calibri" w:eastAsia="宋体" w:hAnsi="Calibri" w:hint="eastAsia"/>
                <w:kern w:val="2"/>
                <w:sz w:val="21"/>
                <w:szCs w:val="22"/>
              </w:rPr>
              <w:t>A500</w:t>
            </w:r>
            <w:r w:rsidRPr="00540C04">
              <w:rPr>
                <w:rFonts w:ascii="Calibri" w:eastAsia="宋体" w:hAnsi="Calibri" w:hint="eastAsia"/>
                <w:kern w:val="2"/>
                <w:sz w:val="21"/>
                <w:szCs w:val="22"/>
              </w:rPr>
              <w:t>指数增强</w:t>
            </w:r>
            <w:r w:rsidRPr="00540C04">
              <w:rPr>
                <w:rFonts w:ascii="Calibri" w:eastAsia="宋体" w:hAnsi="Calibri" w:hint="eastAsia"/>
                <w:kern w:val="2"/>
                <w:sz w:val="21"/>
                <w:szCs w:val="22"/>
              </w:rPr>
              <w:t>C</w:t>
            </w:r>
          </w:p>
        </w:tc>
      </w:tr>
      <w:tr w:rsidR="00540C04">
        <w:trPr>
          <w:trHeight w:val="255"/>
          <w:jc w:val="center"/>
        </w:trPr>
        <w:tc>
          <w:tcPr>
            <w:tcW w:w="1201" w:type="dxa"/>
            <w:noWrap/>
          </w:tcPr>
          <w:p w:rsidR="00540C04" w:rsidRPr="002722CA" w:rsidRDefault="00540C04">
            <w:pPr>
              <w:widowControl/>
              <w:autoSpaceDE/>
              <w:autoSpaceDN/>
              <w:adjustRightInd/>
              <w:rPr>
                <w:rFonts w:ascii="Calibri" w:eastAsia="宋体" w:hAnsi="Calibri"/>
                <w:kern w:val="2"/>
                <w:sz w:val="21"/>
                <w:szCs w:val="22"/>
              </w:rPr>
            </w:pPr>
            <w:r w:rsidRPr="00540C04">
              <w:rPr>
                <w:rFonts w:ascii="Calibri" w:eastAsia="宋体" w:hAnsi="Calibri"/>
                <w:kern w:val="2"/>
                <w:sz w:val="21"/>
                <w:szCs w:val="22"/>
              </w:rPr>
              <w:t>022995</w:t>
            </w:r>
          </w:p>
        </w:tc>
        <w:tc>
          <w:tcPr>
            <w:tcW w:w="3924" w:type="dxa"/>
            <w:noWrap/>
          </w:tcPr>
          <w:p w:rsidR="00540C04" w:rsidRPr="00FB4950" w:rsidRDefault="00540C04">
            <w:pPr>
              <w:widowControl/>
              <w:autoSpaceDE/>
              <w:autoSpaceDN/>
              <w:adjustRightInd/>
              <w:rPr>
                <w:rFonts w:ascii="Calibri" w:eastAsia="宋体" w:hAnsi="Calibri"/>
                <w:kern w:val="2"/>
                <w:sz w:val="21"/>
                <w:szCs w:val="22"/>
              </w:rPr>
            </w:pPr>
            <w:r w:rsidRPr="00540C04">
              <w:rPr>
                <w:rFonts w:ascii="Calibri" w:eastAsia="宋体" w:hAnsi="Calibri" w:hint="eastAsia"/>
                <w:kern w:val="2"/>
                <w:sz w:val="21"/>
                <w:szCs w:val="22"/>
              </w:rPr>
              <w:t>中海科技创新混合</w:t>
            </w:r>
            <w:r w:rsidRPr="00540C04">
              <w:rPr>
                <w:rFonts w:ascii="Calibri" w:eastAsia="宋体" w:hAnsi="Calibri" w:hint="eastAsia"/>
                <w:kern w:val="2"/>
                <w:sz w:val="21"/>
                <w:szCs w:val="22"/>
              </w:rPr>
              <w:t>A</w:t>
            </w:r>
          </w:p>
        </w:tc>
      </w:tr>
      <w:tr w:rsidR="00540C04">
        <w:trPr>
          <w:trHeight w:val="255"/>
          <w:jc w:val="center"/>
        </w:trPr>
        <w:tc>
          <w:tcPr>
            <w:tcW w:w="1201" w:type="dxa"/>
            <w:noWrap/>
          </w:tcPr>
          <w:p w:rsidR="00540C04" w:rsidRPr="002722CA" w:rsidRDefault="00540C04">
            <w:pPr>
              <w:widowControl/>
              <w:autoSpaceDE/>
              <w:autoSpaceDN/>
              <w:adjustRightInd/>
              <w:rPr>
                <w:rFonts w:ascii="Calibri" w:eastAsia="宋体" w:hAnsi="Calibri"/>
                <w:kern w:val="2"/>
                <w:sz w:val="21"/>
                <w:szCs w:val="22"/>
              </w:rPr>
            </w:pPr>
            <w:r w:rsidRPr="00540C04">
              <w:rPr>
                <w:rFonts w:ascii="Calibri" w:eastAsia="宋体" w:hAnsi="Calibri"/>
                <w:kern w:val="2"/>
                <w:sz w:val="21"/>
                <w:szCs w:val="22"/>
              </w:rPr>
              <w:t>022996</w:t>
            </w:r>
          </w:p>
        </w:tc>
        <w:tc>
          <w:tcPr>
            <w:tcW w:w="3924" w:type="dxa"/>
            <w:noWrap/>
          </w:tcPr>
          <w:p w:rsidR="00540C04" w:rsidRPr="00540C04" w:rsidRDefault="00540C04">
            <w:pPr>
              <w:widowControl/>
              <w:autoSpaceDE/>
              <w:autoSpaceDN/>
              <w:adjustRightInd/>
              <w:rPr>
                <w:rFonts w:ascii="Calibri" w:eastAsia="宋体" w:hAnsi="Calibri"/>
                <w:kern w:val="2"/>
                <w:sz w:val="21"/>
                <w:szCs w:val="22"/>
              </w:rPr>
            </w:pPr>
            <w:r w:rsidRPr="00540C04">
              <w:rPr>
                <w:rFonts w:ascii="Calibri" w:eastAsia="宋体" w:hAnsi="Calibri" w:hint="eastAsia"/>
                <w:kern w:val="2"/>
                <w:sz w:val="21"/>
                <w:szCs w:val="22"/>
              </w:rPr>
              <w:t>中海科技创新混合</w:t>
            </w:r>
            <w:r w:rsidRPr="00540C04">
              <w:rPr>
                <w:rFonts w:ascii="Calibri" w:eastAsia="宋体" w:hAnsi="Calibri" w:hint="eastAsia"/>
                <w:kern w:val="2"/>
                <w:sz w:val="21"/>
                <w:szCs w:val="22"/>
              </w:rPr>
              <w:t>C</w:t>
            </w:r>
          </w:p>
        </w:tc>
      </w:tr>
    </w:tbl>
    <w:p w:rsidR="00BD4203" w:rsidRDefault="00BD4203">
      <w:pPr>
        <w:pStyle w:val="a3"/>
        <w:kinsoku w:val="0"/>
        <w:overflowPunct w:val="0"/>
        <w:spacing w:line="360" w:lineRule="auto"/>
        <w:ind w:left="404"/>
        <w:jc w:val="both"/>
        <w:rPr>
          <w:color w:val="333333"/>
          <w:spacing w:val="-4"/>
        </w:rPr>
      </w:pPr>
    </w:p>
    <w:p w:rsidR="00BD4203" w:rsidRDefault="00BD4203">
      <w:pPr>
        <w:pStyle w:val="a3"/>
        <w:kinsoku w:val="0"/>
        <w:overflowPunct w:val="0"/>
        <w:spacing w:before="3"/>
        <w:ind w:left="0"/>
        <w:rPr>
          <w:sz w:val="6"/>
          <w:szCs w:val="6"/>
        </w:rPr>
      </w:pP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代理销售仅限前端收费模式，届时投资者可通过</w:t>
      </w:r>
      <w:r w:rsidR="002542AA">
        <w:rPr>
          <w:rFonts w:hint="eastAsia"/>
          <w:color w:val="333333"/>
          <w:spacing w:val="-4"/>
        </w:rPr>
        <w:t>易方达财富</w:t>
      </w:r>
      <w:r>
        <w:rPr>
          <w:rFonts w:hint="eastAsia"/>
          <w:color w:val="333333"/>
          <w:spacing w:val="-4"/>
        </w:rPr>
        <w:t>销售网点和电子交易平台办理基金开户、申购（含定投申购）、赎回、基金转换及其他相关业务，同时面向投资者推出基金申购（含定投申购）费率优惠活动。</w:t>
      </w:r>
    </w:p>
    <w:p w:rsidR="00BD4203" w:rsidRDefault="00BD4203">
      <w:pPr>
        <w:pStyle w:val="a3"/>
        <w:kinsoku w:val="0"/>
        <w:overflowPunct w:val="0"/>
        <w:spacing w:before="5"/>
        <w:ind w:left="0"/>
        <w:rPr>
          <w:sz w:val="22"/>
          <w:szCs w:val="22"/>
        </w:rPr>
      </w:pP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二、投资者通过</w:t>
      </w:r>
      <w:r w:rsidR="002542AA">
        <w:rPr>
          <w:rFonts w:hint="eastAsia"/>
          <w:color w:val="333333"/>
          <w:spacing w:val="-4"/>
        </w:rPr>
        <w:t>易方达财富</w:t>
      </w:r>
      <w:r>
        <w:rPr>
          <w:rFonts w:hint="eastAsia"/>
          <w:color w:val="333333"/>
          <w:spacing w:val="-4"/>
        </w:rPr>
        <w:t>申购（含定投申购）上述基金（限前端收费模式），可享受申购费率优惠，具体折扣费率以</w:t>
      </w:r>
      <w:r w:rsidR="002542AA">
        <w:rPr>
          <w:rFonts w:hint="eastAsia"/>
          <w:color w:val="333333"/>
          <w:spacing w:val="-4"/>
        </w:rPr>
        <w:t>易方达财富</w:t>
      </w:r>
      <w:r>
        <w:rPr>
          <w:rFonts w:hint="eastAsia"/>
          <w:color w:val="333333"/>
          <w:spacing w:val="-4"/>
        </w:rPr>
        <w:t>活动为准。各基金原费率参见各基金相关法律文件及最新业务公告。</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费率优惠期限内，如本公司新增通过</w:t>
      </w:r>
      <w:r w:rsidR="002542AA">
        <w:rPr>
          <w:rFonts w:hint="eastAsia"/>
          <w:color w:val="333333"/>
          <w:spacing w:val="-4"/>
        </w:rPr>
        <w:t>易方达财富</w:t>
      </w:r>
      <w:r>
        <w:rPr>
          <w:rFonts w:hint="eastAsia"/>
          <w:color w:val="333333"/>
          <w:spacing w:val="-4"/>
        </w:rPr>
        <w:t>销售的基金，则自该基金在</w:t>
      </w:r>
      <w:r w:rsidR="002542AA">
        <w:rPr>
          <w:rFonts w:hint="eastAsia"/>
          <w:color w:val="333333"/>
          <w:spacing w:val="-4"/>
        </w:rPr>
        <w:t>易方达财富</w:t>
      </w:r>
      <w:r>
        <w:rPr>
          <w:rFonts w:hint="eastAsia"/>
          <w:color w:val="333333"/>
          <w:spacing w:val="-4"/>
        </w:rPr>
        <w:t>开放申购（含定投申购）业务之日起，将同时参与上述费率优惠活动，费率优惠时间或规则如有变更，均以</w:t>
      </w:r>
      <w:r w:rsidR="002542AA">
        <w:rPr>
          <w:rFonts w:hint="eastAsia"/>
          <w:color w:val="333333"/>
          <w:spacing w:val="-4"/>
        </w:rPr>
        <w:t>易方达财富</w:t>
      </w:r>
      <w:r>
        <w:rPr>
          <w:rFonts w:hint="eastAsia"/>
          <w:color w:val="333333"/>
          <w:spacing w:val="-4"/>
        </w:rPr>
        <w:t>的安排和规定为准，本公司不再另行公告。</w:t>
      </w:r>
    </w:p>
    <w:p w:rsidR="00BD4203" w:rsidRDefault="00BD4203">
      <w:pPr>
        <w:pStyle w:val="a3"/>
        <w:kinsoku w:val="0"/>
        <w:overflowPunct w:val="0"/>
        <w:spacing w:line="288" w:lineRule="auto"/>
        <w:ind w:right="110" w:firstLine="419"/>
        <w:jc w:val="both"/>
        <w:rPr>
          <w:sz w:val="20"/>
          <w:szCs w:val="20"/>
        </w:rPr>
      </w:pP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三、本公司将同时在</w:t>
      </w:r>
      <w:r w:rsidR="002542AA">
        <w:rPr>
          <w:rFonts w:hint="eastAsia"/>
          <w:color w:val="333333"/>
          <w:spacing w:val="-4"/>
        </w:rPr>
        <w:t>易方达财富</w:t>
      </w:r>
      <w:r>
        <w:rPr>
          <w:rFonts w:hint="eastAsia"/>
          <w:color w:val="333333"/>
          <w:spacing w:val="-4"/>
        </w:rPr>
        <w:t>开通上述基金定期定额投资业务，相关业务规则如下：</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1</w:t>
      </w:r>
      <w:r>
        <w:rPr>
          <w:rFonts w:hint="eastAsia"/>
          <w:color w:val="333333"/>
          <w:spacing w:val="-4"/>
        </w:rPr>
        <w:t>、定期定额投资业务是指投资者通过指定销售机构提出固定日期和固定金额的扣款和申购申请，由指定销售机构在约定扣款日为投资者自动完成扣款及基金申购申请的一种长期投资方式。</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2</w:t>
      </w:r>
      <w:r>
        <w:rPr>
          <w:rFonts w:hint="eastAsia"/>
          <w:color w:val="333333"/>
          <w:spacing w:val="-4"/>
        </w:rPr>
        <w:t>、扣款金额投资者可与</w:t>
      </w:r>
      <w:r w:rsidR="002542AA">
        <w:rPr>
          <w:rFonts w:hint="eastAsia"/>
          <w:color w:val="333333"/>
          <w:spacing w:val="-4"/>
        </w:rPr>
        <w:t>易方达财富</w:t>
      </w:r>
      <w:r>
        <w:rPr>
          <w:rFonts w:hint="eastAsia"/>
          <w:color w:val="333333"/>
          <w:spacing w:val="-4"/>
        </w:rPr>
        <w:t>约定每期固定扣款金额。</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3</w:t>
      </w:r>
      <w:r>
        <w:rPr>
          <w:rFonts w:hint="eastAsia"/>
          <w:color w:val="333333"/>
          <w:spacing w:val="-4"/>
        </w:rPr>
        <w:t>、扣款日期</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投资者可与</w:t>
      </w:r>
      <w:r w:rsidR="002542AA">
        <w:rPr>
          <w:rFonts w:hint="eastAsia"/>
          <w:color w:val="333333"/>
          <w:spacing w:val="-4"/>
        </w:rPr>
        <w:t>易方达财富</w:t>
      </w:r>
      <w:r>
        <w:rPr>
          <w:rFonts w:hint="eastAsia"/>
          <w:color w:val="333333"/>
          <w:spacing w:val="-4"/>
        </w:rPr>
        <w:t>约定固定扣款日期，固定扣款日期应遵循</w:t>
      </w:r>
      <w:r w:rsidR="002542AA">
        <w:rPr>
          <w:rFonts w:hint="eastAsia"/>
          <w:color w:val="333333"/>
          <w:spacing w:val="-4"/>
        </w:rPr>
        <w:t>易方达财富</w:t>
      </w:r>
      <w:r>
        <w:rPr>
          <w:rFonts w:hint="eastAsia"/>
          <w:color w:val="333333"/>
          <w:spacing w:val="-4"/>
        </w:rPr>
        <w:t>的规定。</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4</w:t>
      </w:r>
      <w:r>
        <w:rPr>
          <w:rFonts w:hint="eastAsia"/>
          <w:color w:val="333333"/>
          <w:spacing w:val="-4"/>
        </w:rPr>
        <w:t>、业务规则</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投资者通过</w:t>
      </w:r>
      <w:r w:rsidR="002542AA">
        <w:rPr>
          <w:rFonts w:hint="eastAsia"/>
          <w:color w:val="333333"/>
          <w:spacing w:val="-4"/>
        </w:rPr>
        <w:t>易方达财富</w:t>
      </w:r>
      <w:r>
        <w:rPr>
          <w:rFonts w:hint="eastAsia"/>
          <w:color w:val="333333"/>
          <w:spacing w:val="-4"/>
        </w:rPr>
        <w:t>办理上述基金的定期定额投资业务，相关流程和业务规则遵循</w:t>
      </w:r>
      <w:r w:rsidR="002542AA">
        <w:rPr>
          <w:rFonts w:hint="eastAsia"/>
          <w:color w:val="333333"/>
          <w:spacing w:val="-4"/>
        </w:rPr>
        <w:t>易方达财富</w:t>
      </w:r>
      <w:r>
        <w:rPr>
          <w:rFonts w:hint="eastAsia"/>
          <w:color w:val="333333"/>
          <w:spacing w:val="-4"/>
        </w:rPr>
        <w:t>的有关规定。</w:t>
      </w:r>
    </w:p>
    <w:p w:rsidR="00BD4203" w:rsidRDefault="00BD4203">
      <w:pPr>
        <w:pStyle w:val="a3"/>
        <w:kinsoku w:val="0"/>
        <w:overflowPunct w:val="0"/>
        <w:spacing w:line="360" w:lineRule="auto"/>
        <w:ind w:left="0" w:firstLineChars="200" w:firstLine="404"/>
        <w:jc w:val="both"/>
        <w:rPr>
          <w:color w:val="333333"/>
          <w:spacing w:val="-4"/>
        </w:rPr>
      </w:pP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四、投资者可通过以下途径咨询有关详情</w:t>
      </w:r>
    </w:p>
    <w:p w:rsidR="00BD4203" w:rsidRPr="00617647" w:rsidRDefault="00FC2A42">
      <w:pPr>
        <w:pStyle w:val="a3"/>
        <w:kinsoku w:val="0"/>
        <w:overflowPunct w:val="0"/>
        <w:spacing w:line="360" w:lineRule="auto"/>
        <w:ind w:left="0" w:firstLineChars="200" w:firstLine="404"/>
        <w:jc w:val="both"/>
        <w:rPr>
          <w:color w:val="333333"/>
          <w:spacing w:val="-4"/>
        </w:rPr>
      </w:pPr>
      <w:r w:rsidRPr="00617647">
        <w:rPr>
          <w:rFonts w:hint="eastAsia"/>
          <w:color w:val="333333"/>
          <w:spacing w:val="-4"/>
        </w:rPr>
        <w:t>1</w:t>
      </w:r>
      <w:r w:rsidRPr="00617647">
        <w:rPr>
          <w:rFonts w:hint="eastAsia"/>
          <w:color w:val="333333"/>
          <w:spacing w:val="-4"/>
        </w:rPr>
        <w:t>、</w:t>
      </w:r>
      <w:r w:rsidR="002542AA" w:rsidRPr="002542AA">
        <w:rPr>
          <w:rFonts w:hint="eastAsia"/>
          <w:color w:val="333333"/>
          <w:spacing w:val="-4"/>
        </w:rPr>
        <w:t>易方达财富管理基金销售（广州）有限公司</w:t>
      </w:r>
    </w:p>
    <w:p w:rsidR="00BD4203" w:rsidRDefault="00FC2A42">
      <w:pPr>
        <w:pStyle w:val="a3"/>
        <w:kinsoku w:val="0"/>
        <w:overflowPunct w:val="0"/>
        <w:spacing w:line="360" w:lineRule="auto"/>
        <w:ind w:left="0" w:firstLineChars="200" w:firstLine="404"/>
        <w:jc w:val="both"/>
        <w:rPr>
          <w:color w:val="333333"/>
          <w:spacing w:val="-4"/>
        </w:rPr>
      </w:pPr>
      <w:r w:rsidRPr="00C73808">
        <w:rPr>
          <w:rFonts w:hint="eastAsia"/>
          <w:color w:val="333333"/>
          <w:spacing w:val="-4"/>
        </w:rPr>
        <w:t>客</w:t>
      </w:r>
      <w:r w:rsidRPr="00C73808">
        <w:rPr>
          <w:rFonts w:hint="eastAsia"/>
          <w:color w:val="333333"/>
          <w:spacing w:val="-4"/>
        </w:rPr>
        <w:t>服电话：</w:t>
      </w:r>
      <w:r w:rsidR="00323503" w:rsidRPr="00323503">
        <w:rPr>
          <w:color w:val="333333"/>
          <w:spacing w:val="-4"/>
        </w:rPr>
        <w:t>4001608888</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2</w:t>
      </w:r>
      <w:r>
        <w:rPr>
          <w:rFonts w:hint="eastAsia"/>
          <w:color w:val="333333"/>
          <w:spacing w:val="-4"/>
        </w:rPr>
        <w:t>、本公司</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客户服务电话：</w:t>
      </w:r>
      <w:r>
        <w:rPr>
          <w:rFonts w:hint="eastAsia"/>
          <w:color w:val="333333"/>
          <w:spacing w:val="-4"/>
        </w:rPr>
        <w:t>400-888-9788</w:t>
      </w:r>
      <w:r>
        <w:rPr>
          <w:rFonts w:hint="eastAsia"/>
          <w:color w:val="333333"/>
          <w:spacing w:val="-4"/>
        </w:rPr>
        <w:t>（免长途话费）</w:t>
      </w: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公司网址：</w:t>
      </w:r>
      <w:r>
        <w:rPr>
          <w:rFonts w:hint="eastAsia"/>
          <w:color w:val="333333"/>
          <w:spacing w:val="-4"/>
        </w:rPr>
        <w:t>www.zhfund.com</w:t>
      </w:r>
    </w:p>
    <w:p w:rsidR="00BD4203" w:rsidRDefault="00BD4203">
      <w:pPr>
        <w:pStyle w:val="a3"/>
        <w:kinsoku w:val="0"/>
        <w:overflowPunct w:val="0"/>
        <w:ind w:left="0"/>
        <w:rPr>
          <w:sz w:val="20"/>
          <w:szCs w:val="20"/>
        </w:rPr>
      </w:pP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投资者欲了解上述基金详情，请仔细阅读上述基金的基金合同、招募说明书等相关文件，或致电本公司客户服务电话（</w:t>
      </w:r>
      <w:r>
        <w:rPr>
          <w:color w:val="333333"/>
          <w:spacing w:val="-4"/>
        </w:rPr>
        <w:t>400-888-9788</w:t>
      </w:r>
      <w:r>
        <w:rPr>
          <w:rFonts w:hint="eastAsia"/>
          <w:color w:val="333333"/>
          <w:spacing w:val="-4"/>
        </w:rPr>
        <w:t>），或登陆本公司网站（</w:t>
      </w:r>
      <w:hyperlink r:id="rId8" w:history="1">
        <w:r w:rsidR="00BD4203">
          <w:rPr>
            <w:color w:val="333333"/>
            <w:spacing w:val="-4"/>
          </w:rPr>
          <w:t>www.zhfund.com</w:t>
        </w:r>
      </w:hyperlink>
      <w:r>
        <w:rPr>
          <w:rFonts w:hint="eastAsia"/>
          <w:color w:val="333333"/>
          <w:spacing w:val="-4"/>
        </w:rPr>
        <w:t>）查询。</w:t>
      </w:r>
    </w:p>
    <w:p w:rsidR="00BD4203" w:rsidRDefault="00BD4203">
      <w:pPr>
        <w:pStyle w:val="a3"/>
        <w:kinsoku w:val="0"/>
        <w:overflowPunct w:val="0"/>
        <w:spacing w:line="360" w:lineRule="auto"/>
        <w:ind w:left="0" w:firstLineChars="200" w:firstLine="404"/>
        <w:jc w:val="both"/>
        <w:rPr>
          <w:color w:val="333333"/>
          <w:spacing w:val="-4"/>
        </w:rPr>
      </w:pPr>
    </w:p>
    <w:p w:rsidR="00BD4203" w:rsidRDefault="00FC2A42">
      <w:pPr>
        <w:pStyle w:val="a3"/>
        <w:kinsoku w:val="0"/>
        <w:overflowPunct w:val="0"/>
        <w:spacing w:line="360" w:lineRule="auto"/>
        <w:ind w:left="0" w:firstLineChars="200" w:firstLine="404"/>
        <w:jc w:val="both"/>
        <w:rPr>
          <w:color w:val="333333"/>
          <w:spacing w:val="-4"/>
        </w:rPr>
      </w:pPr>
      <w:r>
        <w:rPr>
          <w:rFonts w:hint="eastAsia"/>
          <w:color w:val="333333"/>
          <w:spacing w:val="-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BD4203" w:rsidRDefault="00BD4203">
      <w:pPr>
        <w:pStyle w:val="a3"/>
        <w:kinsoku w:val="0"/>
        <w:overflowPunct w:val="0"/>
        <w:spacing w:line="360" w:lineRule="auto"/>
        <w:ind w:left="0" w:firstLineChars="200" w:firstLine="404"/>
        <w:jc w:val="both"/>
        <w:rPr>
          <w:color w:val="333333"/>
          <w:spacing w:val="-4"/>
        </w:rPr>
      </w:pPr>
    </w:p>
    <w:p w:rsidR="00BD4203" w:rsidRDefault="00FC2A42">
      <w:pPr>
        <w:pStyle w:val="a3"/>
        <w:kinsoku w:val="0"/>
        <w:overflowPunct w:val="0"/>
        <w:spacing w:line="360" w:lineRule="auto"/>
        <w:ind w:left="0" w:firstLineChars="200" w:firstLine="420"/>
        <w:jc w:val="both"/>
        <w:rPr>
          <w:color w:val="000000"/>
        </w:rPr>
      </w:pPr>
      <w:r>
        <w:rPr>
          <w:rFonts w:hint="eastAsia"/>
          <w:color w:val="333333"/>
        </w:rPr>
        <w:t>特此公告。</w:t>
      </w:r>
    </w:p>
    <w:p w:rsidR="00BD4203" w:rsidRDefault="00BD4203">
      <w:pPr>
        <w:pStyle w:val="a3"/>
        <w:kinsoku w:val="0"/>
        <w:overflowPunct w:val="0"/>
        <w:ind w:left="0"/>
        <w:rPr>
          <w:sz w:val="20"/>
          <w:szCs w:val="20"/>
        </w:rPr>
      </w:pPr>
    </w:p>
    <w:p w:rsidR="00BD4203" w:rsidRDefault="00BD4203">
      <w:pPr>
        <w:pStyle w:val="a3"/>
        <w:kinsoku w:val="0"/>
        <w:overflowPunct w:val="0"/>
        <w:ind w:left="0"/>
        <w:rPr>
          <w:sz w:val="20"/>
          <w:szCs w:val="20"/>
        </w:rPr>
      </w:pPr>
    </w:p>
    <w:p w:rsidR="00BD4203" w:rsidRDefault="00BD4203">
      <w:pPr>
        <w:pStyle w:val="a3"/>
        <w:kinsoku w:val="0"/>
        <w:overflowPunct w:val="0"/>
        <w:ind w:left="0"/>
        <w:rPr>
          <w:sz w:val="20"/>
          <w:szCs w:val="20"/>
        </w:rPr>
      </w:pPr>
    </w:p>
    <w:p w:rsidR="00BD4203" w:rsidRDefault="00FC2A42">
      <w:pPr>
        <w:pStyle w:val="a3"/>
        <w:kinsoku w:val="0"/>
        <w:overflowPunct w:val="0"/>
        <w:ind w:left="0"/>
        <w:jc w:val="right"/>
        <w:rPr>
          <w:sz w:val="20"/>
          <w:szCs w:val="20"/>
        </w:rPr>
      </w:pPr>
      <w:r>
        <w:rPr>
          <w:rFonts w:hint="eastAsia"/>
          <w:color w:val="333333"/>
          <w:spacing w:val="-2"/>
        </w:rPr>
        <w:t>中海基金管理有限公司</w:t>
      </w:r>
    </w:p>
    <w:p w:rsidR="00BD4203" w:rsidRDefault="00FC2A42">
      <w:pPr>
        <w:pStyle w:val="a3"/>
        <w:kinsoku w:val="0"/>
        <w:overflowPunct w:val="0"/>
        <w:spacing w:line="532" w:lineRule="auto"/>
        <w:ind w:left="6642" w:right="213" w:hanging="315"/>
        <w:jc w:val="right"/>
        <w:rPr>
          <w:color w:val="000000"/>
        </w:rPr>
      </w:pPr>
      <w:r w:rsidRPr="00C73808">
        <w:rPr>
          <w:color w:val="333333"/>
        </w:rPr>
        <w:t>202</w:t>
      </w:r>
      <w:r w:rsidR="00A43454" w:rsidRPr="00C73808">
        <w:rPr>
          <w:rFonts w:hint="eastAsia"/>
          <w:color w:val="333333"/>
        </w:rPr>
        <w:t>5</w:t>
      </w:r>
      <w:r w:rsidRPr="00C73808">
        <w:rPr>
          <w:rFonts w:hint="eastAsia"/>
          <w:color w:val="333333"/>
        </w:rPr>
        <w:t>年</w:t>
      </w:r>
      <w:r w:rsidR="002542AA">
        <w:rPr>
          <w:rFonts w:hint="eastAsia"/>
          <w:color w:val="333333"/>
        </w:rPr>
        <w:t>11</w:t>
      </w:r>
      <w:r w:rsidRPr="00C73808">
        <w:rPr>
          <w:color w:val="333333"/>
        </w:rPr>
        <w:t>月</w:t>
      </w:r>
      <w:r w:rsidR="002542AA">
        <w:rPr>
          <w:rFonts w:hint="eastAsia"/>
          <w:color w:val="333333"/>
        </w:rPr>
        <w:t>2</w:t>
      </w:r>
      <w:r w:rsidR="00C73808" w:rsidRPr="00C73808">
        <w:rPr>
          <w:rFonts w:hint="eastAsia"/>
          <w:color w:val="333333"/>
        </w:rPr>
        <w:t>8</w:t>
      </w:r>
      <w:r w:rsidRPr="00C73808">
        <w:rPr>
          <w:rFonts w:hint="eastAsia"/>
          <w:color w:val="333333"/>
        </w:rPr>
        <w:t>日</w:t>
      </w:r>
    </w:p>
    <w:sectPr w:rsidR="00BD4203" w:rsidSect="00B21C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357" w:rsidRDefault="007F5357" w:rsidP="00205D6F">
      <w:pPr>
        <w:spacing w:after="0" w:line="240" w:lineRule="auto"/>
      </w:pPr>
      <w:r>
        <w:separator/>
      </w:r>
    </w:p>
  </w:endnote>
  <w:endnote w:type="continuationSeparator" w:id="0">
    <w:p w:rsidR="007F5357" w:rsidRDefault="007F5357" w:rsidP="00205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357" w:rsidRDefault="007F5357" w:rsidP="00205D6F">
      <w:pPr>
        <w:spacing w:after="0" w:line="240" w:lineRule="auto"/>
      </w:pPr>
      <w:r>
        <w:separator/>
      </w:r>
    </w:p>
  </w:footnote>
  <w:footnote w:type="continuationSeparator" w:id="0">
    <w:p w:rsidR="007F5357" w:rsidRDefault="007F5357" w:rsidP="00205D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8AA"/>
    <w:multiLevelType w:val="multilevel"/>
    <w:tmpl w:val="01A968AA"/>
    <w:lvl w:ilvl="0">
      <w:start w:val="1"/>
      <w:numFmt w:val="japaneseCounting"/>
      <w:lvlText w:val="%1、"/>
      <w:lvlJc w:val="left"/>
      <w:pPr>
        <w:ind w:left="824" w:hanging="420"/>
      </w:pPr>
      <w:rPr>
        <w:rFonts w:hint="default"/>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B4B"/>
    <w:rsid w:val="00002DC0"/>
    <w:rsid w:val="0000657E"/>
    <w:rsid w:val="00034351"/>
    <w:rsid w:val="000B542E"/>
    <w:rsid w:val="000C36D9"/>
    <w:rsid w:val="000E73FB"/>
    <w:rsid w:val="000F4973"/>
    <w:rsid w:val="001123D0"/>
    <w:rsid w:val="00205D6F"/>
    <w:rsid w:val="00226491"/>
    <w:rsid w:val="00233079"/>
    <w:rsid w:val="00234C0C"/>
    <w:rsid w:val="00240982"/>
    <w:rsid w:val="00240D9B"/>
    <w:rsid w:val="002468E8"/>
    <w:rsid w:val="002542AA"/>
    <w:rsid w:val="00254FC7"/>
    <w:rsid w:val="002722CA"/>
    <w:rsid w:val="002736B6"/>
    <w:rsid w:val="00274484"/>
    <w:rsid w:val="00287330"/>
    <w:rsid w:val="002977A7"/>
    <w:rsid w:val="00297BCE"/>
    <w:rsid w:val="002A4023"/>
    <w:rsid w:val="002C2183"/>
    <w:rsid w:val="002D4D93"/>
    <w:rsid w:val="002F185F"/>
    <w:rsid w:val="00303A69"/>
    <w:rsid w:val="00323503"/>
    <w:rsid w:val="0032386E"/>
    <w:rsid w:val="00340A44"/>
    <w:rsid w:val="00362891"/>
    <w:rsid w:val="003777B3"/>
    <w:rsid w:val="0038125C"/>
    <w:rsid w:val="00383063"/>
    <w:rsid w:val="0038403F"/>
    <w:rsid w:val="00397196"/>
    <w:rsid w:val="003D057B"/>
    <w:rsid w:val="003E56A4"/>
    <w:rsid w:val="003F05A3"/>
    <w:rsid w:val="003F78B7"/>
    <w:rsid w:val="004036DE"/>
    <w:rsid w:val="00414CA3"/>
    <w:rsid w:val="00427092"/>
    <w:rsid w:val="00430149"/>
    <w:rsid w:val="00497CF4"/>
    <w:rsid w:val="004A6450"/>
    <w:rsid w:val="004C73C1"/>
    <w:rsid w:val="004E5342"/>
    <w:rsid w:val="00503780"/>
    <w:rsid w:val="00506821"/>
    <w:rsid w:val="005373A1"/>
    <w:rsid w:val="00540C04"/>
    <w:rsid w:val="00547614"/>
    <w:rsid w:val="005608C1"/>
    <w:rsid w:val="00577303"/>
    <w:rsid w:val="00584E30"/>
    <w:rsid w:val="005C2D3F"/>
    <w:rsid w:val="005C5A3F"/>
    <w:rsid w:val="006105DF"/>
    <w:rsid w:val="00617647"/>
    <w:rsid w:val="00636327"/>
    <w:rsid w:val="0064571E"/>
    <w:rsid w:val="00657373"/>
    <w:rsid w:val="00662CB1"/>
    <w:rsid w:val="006829EB"/>
    <w:rsid w:val="006A2321"/>
    <w:rsid w:val="006B7BCE"/>
    <w:rsid w:val="006E1E6F"/>
    <w:rsid w:val="006E4648"/>
    <w:rsid w:val="006F0B7E"/>
    <w:rsid w:val="00702978"/>
    <w:rsid w:val="00707EC6"/>
    <w:rsid w:val="00724384"/>
    <w:rsid w:val="007813D3"/>
    <w:rsid w:val="00782081"/>
    <w:rsid w:val="007852D3"/>
    <w:rsid w:val="00790A86"/>
    <w:rsid w:val="00793B4B"/>
    <w:rsid w:val="007E554D"/>
    <w:rsid w:val="007E6079"/>
    <w:rsid w:val="007F502A"/>
    <w:rsid w:val="007F5357"/>
    <w:rsid w:val="00824F8A"/>
    <w:rsid w:val="00835A5F"/>
    <w:rsid w:val="008649AC"/>
    <w:rsid w:val="00867A52"/>
    <w:rsid w:val="00896FA6"/>
    <w:rsid w:val="008A0AE9"/>
    <w:rsid w:val="008D72E2"/>
    <w:rsid w:val="00916B28"/>
    <w:rsid w:val="009242D0"/>
    <w:rsid w:val="00952B20"/>
    <w:rsid w:val="00956176"/>
    <w:rsid w:val="00957C32"/>
    <w:rsid w:val="00964A05"/>
    <w:rsid w:val="00977A4C"/>
    <w:rsid w:val="00983EA0"/>
    <w:rsid w:val="00991371"/>
    <w:rsid w:val="00992000"/>
    <w:rsid w:val="009A5668"/>
    <w:rsid w:val="009A7636"/>
    <w:rsid w:val="009C6877"/>
    <w:rsid w:val="00A14EC3"/>
    <w:rsid w:val="00A247F9"/>
    <w:rsid w:val="00A43454"/>
    <w:rsid w:val="00A633EE"/>
    <w:rsid w:val="00A64122"/>
    <w:rsid w:val="00A67E88"/>
    <w:rsid w:val="00A75ABF"/>
    <w:rsid w:val="00A96B1B"/>
    <w:rsid w:val="00AC380C"/>
    <w:rsid w:val="00AC6156"/>
    <w:rsid w:val="00AE76C4"/>
    <w:rsid w:val="00B12B59"/>
    <w:rsid w:val="00B21CA5"/>
    <w:rsid w:val="00B372DC"/>
    <w:rsid w:val="00B4714D"/>
    <w:rsid w:val="00B5003A"/>
    <w:rsid w:val="00B64B7B"/>
    <w:rsid w:val="00B74E3B"/>
    <w:rsid w:val="00B77C3B"/>
    <w:rsid w:val="00BB6AB9"/>
    <w:rsid w:val="00BD4203"/>
    <w:rsid w:val="00BD4695"/>
    <w:rsid w:val="00BF3EDA"/>
    <w:rsid w:val="00C026E8"/>
    <w:rsid w:val="00C4511B"/>
    <w:rsid w:val="00C73808"/>
    <w:rsid w:val="00C8093B"/>
    <w:rsid w:val="00CC2069"/>
    <w:rsid w:val="00CD1F06"/>
    <w:rsid w:val="00CD4E7C"/>
    <w:rsid w:val="00D741BE"/>
    <w:rsid w:val="00D8253A"/>
    <w:rsid w:val="00DD0A62"/>
    <w:rsid w:val="00DD5B0D"/>
    <w:rsid w:val="00DD67C5"/>
    <w:rsid w:val="00E1471B"/>
    <w:rsid w:val="00E326EE"/>
    <w:rsid w:val="00E76B1E"/>
    <w:rsid w:val="00E80329"/>
    <w:rsid w:val="00E97753"/>
    <w:rsid w:val="00F21C88"/>
    <w:rsid w:val="00F462EB"/>
    <w:rsid w:val="00F652BF"/>
    <w:rsid w:val="00F84A80"/>
    <w:rsid w:val="00F953C5"/>
    <w:rsid w:val="00F97AA9"/>
    <w:rsid w:val="00FA1A7D"/>
    <w:rsid w:val="00FB4950"/>
    <w:rsid w:val="00FC2A42"/>
    <w:rsid w:val="00FC53FC"/>
    <w:rsid w:val="00FC78FC"/>
    <w:rsid w:val="00FD366A"/>
    <w:rsid w:val="00FD3BF2"/>
    <w:rsid w:val="00FD6FB7"/>
    <w:rsid w:val="00FF214F"/>
    <w:rsid w:val="00FF6D78"/>
    <w:rsid w:val="0DA61A19"/>
    <w:rsid w:val="1C7618A8"/>
    <w:rsid w:val="249F24E7"/>
    <w:rsid w:val="26DB2113"/>
    <w:rsid w:val="2F980A8B"/>
    <w:rsid w:val="34BB7A4B"/>
    <w:rsid w:val="35B03AF2"/>
    <w:rsid w:val="36903483"/>
    <w:rsid w:val="3EC3495C"/>
    <w:rsid w:val="4C4639EF"/>
    <w:rsid w:val="50893149"/>
    <w:rsid w:val="56125149"/>
    <w:rsid w:val="6DB07A14"/>
    <w:rsid w:val="7EDA7D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1CA5"/>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21CA5"/>
    <w:pPr>
      <w:ind w:left="120"/>
    </w:pPr>
    <w:rPr>
      <w:rFonts w:ascii="宋体" w:eastAsia="宋体" w:cs="宋体"/>
      <w:sz w:val="21"/>
      <w:szCs w:val="21"/>
    </w:rPr>
  </w:style>
  <w:style w:type="paragraph" w:styleId="a4">
    <w:name w:val="Balloon Text"/>
    <w:basedOn w:val="a"/>
    <w:link w:val="Char0"/>
    <w:uiPriority w:val="99"/>
    <w:semiHidden/>
    <w:unhideWhenUsed/>
    <w:qFormat/>
    <w:rsid w:val="00B21CA5"/>
    <w:rPr>
      <w:sz w:val="18"/>
      <w:szCs w:val="18"/>
    </w:rPr>
  </w:style>
  <w:style w:type="paragraph" w:styleId="a5">
    <w:name w:val="footer"/>
    <w:basedOn w:val="a"/>
    <w:link w:val="Char1"/>
    <w:uiPriority w:val="99"/>
    <w:unhideWhenUsed/>
    <w:qFormat/>
    <w:rsid w:val="00B21CA5"/>
    <w:pPr>
      <w:tabs>
        <w:tab w:val="center" w:pos="4153"/>
        <w:tab w:val="right" w:pos="8306"/>
      </w:tabs>
      <w:autoSpaceDE/>
      <w:autoSpaceDN/>
      <w:adjustRightInd/>
      <w:snapToGrid w:val="0"/>
    </w:pPr>
    <w:rPr>
      <w:rFonts w:asciiTheme="minorHAnsi" w:hAnsiTheme="minorHAnsi" w:cstheme="minorBidi"/>
      <w:kern w:val="2"/>
      <w:sz w:val="18"/>
      <w:szCs w:val="18"/>
    </w:rPr>
  </w:style>
  <w:style w:type="paragraph" w:styleId="a6">
    <w:name w:val="header"/>
    <w:basedOn w:val="a"/>
    <w:link w:val="Char2"/>
    <w:uiPriority w:val="99"/>
    <w:unhideWhenUsed/>
    <w:rsid w:val="00B21CA5"/>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Char2">
    <w:name w:val="页眉 Char"/>
    <w:basedOn w:val="a0"/>
    <w:link w:val="a6"/>
    <w:uiPriority w:val="99"/>
    <w:qFormat/>
    <w:rsid w:val="00B21CA5"/>
    <w:rPr>
      <w:sz w:val="18"/>
      <w:szCs w:val="18"/>
    </w:rPr>
  </w:style>
  <w:style w:type="character" w:customStyle="1" w:styleId="Char1">
    <w:name w:val="页脚 Char"/>
    <w:basedOn w:val="a0"/>
    <w:link w:val="a5"/>
    <w:uiPriority w:val="99"/>
    <w:qFormat/>
    <w:rsid w:val="00B21CA5"/>
    <w:rPr>
      <w:sz w:val="18"/>
      <w:szCs w:val="18"/>
    </w:rPr>
  </w:style>
  <w:style w:type="character" w:customStyle="1" w:styleId="Char">
    <w:name w:val="正文文本 Char"/>
    <w:basedOn w:val="a0"/>
    <w:link w:val="a3"/>
    <w:uiPriority w:val="99"/>
    <w:qFormat/>
    <w:rsid w:val="00B21CA5"/>
    <w:rPr>
      <w:rFonts w:ascii="宋体" w:eastAsia="宋体" w:hAnsi="Times New Roman" w:cs="宋体"/>
      <w:kern w:val="0"/>
      <w:szCs w:val="21"/>
    </w:rPr>
  </w:style>
  <w:style w:type="paragraph" w:customStyle="1" w:styleId="TableParagraph">
    <w:name w:val="Table Paragraph"/>
    <w:basedOn w:val="a"/>
    <w:uiPriority w:val="1"/>
    <w:qFormat/>
    <w:rsid w:val="00B21CA5"/>
  </w:style>
  <w:style w:type="character" w:customStyle="1" w:styleId="Char0">
    <w:name w:val="批注框文本 Char"/>
    <w:basedOn w:val="a0"/>
    <w:link w:val="a4"/>
    <w:uiPriority w:val="99"/>
    <w:semiHidden/>
    <w:qFormat/>
    <w:rsid w:val="00B21CA5"/>
    <w:rPr>
      <w:rFonts w:ascii="Times New Roman" w:hAnsi="Times New Roman" w:cs="Times New Roman"/>
      <w:sz w:val="18"/>
      <w:szCs w:val="18"/>
    </w:rPr>
  </w:style>
  <w:style w:type="paragraph" w:customStyle="1" w:styleId="1">
    <w:name w:val="修订1"/>
    <w:hidden/>
    <w:uiPriority w:val="99"/>
    <w:semiHidden/>
    <w:qFormat/>
    <w:rsid w:val="00B21CA5"/>
    <w:rPr>
      <w:sz w:val="24"/>
      <w:szCs w:val="24"/>
    </w:rPr>
  </w:style>
  <w:style w:type="character" w:styleId="a7">
    <w:name w:val="Hyperlink"/>
    <w:basedOn w:val="a0"/>
    <w:uiPriority w:val="99"/>
    <w:unhideWhenUsed/>
    <w:rsid w:val="00617647"/>
    <w:rPr>
      <w:color w:val="0563C1" w:themeColor="hyperlink"/>
      <w:u w:val="single"/>
    </w:rPr>
  </w:style>
  <w:style w:type="character" w:customStyle="1" w:styleId="UnresolvedMention">
    <w:name w:val="Unresolved Mention"/>
    <w:basedOn w:val="a0"/>
    <w:uiPriority w:val="99"/>
    <w:semiHidden/>
    <w:unhideWhenUsed/>
    <w:rsid w:val="00617647"/>
    <w:rPr>
      <w:color w:val="605E5C"/>
      <w:shd w:val="clear" w:color="auto" w:fill="E1DFDD"/>
    </w:rPr>
  </w:style>
  <w:style w:type="paragraph" w:styleId="a8">
    <w:name w:val="Revision"/>
    <w:hidden/>
    <w:uiPriority w:val="99"/>
    <w:unhideWhenUsed/>
    <w:rsid w:val="00B77C3B"/>
    <w:pPr>
      <w:spacing w:after="0" w:line="240" w:lineRule="auto"/>
    </w:pPr>
    <w:rPr>
      <w:sz w:val="24"/>
      <w:szCs w:val="24"/>
    </w:rPr>
  </w:style>
  <w:style w:type="character" w:styleId="a9">
    <w:name w:val="annotation reference"/>
    <w:basedOn w:val="a0"/>
    <w:uiPriority w:val="99"/>
    <w:semiHidden/>
    <w:unhideWhenUsed/>
    <w:rsid w:val="00B77C3B"/>
    <w:rPr>
      <w:sz w:val="21"/>
      <w:szCs w:val="21"/>
    </w:rPr>
  </w:style>
  <w:style w:type="paragraph" w:styleId="aa">
    <w:name w:val="annotation text"/>
    <w:basedOn w:val="a"/>
    <w:link w:val="Char3"/>
    <w:uiPriority w:val="99"/>
    <w:semiHidden/>
    <w:unhideWhenUsed/>
    <w:rsid w:val="00B77C3B"/>
  </w:style>
  <w:style w:type="character" w:customStyle="1" w:styleId="Char3">
    <w:name w:val="批注文字 Char"/>
    <w:basedOn w:val="a0"/>
    <w:link w:val="aa"/>
    <w:uiPriority w:val="99"/>
    <w:semiHidden/>
    <w:rsid w:val="00B77C3B"/>
    <w:rPr>
      <w:sz w:val="24"/>
      <w:szCs w:val="24"/>
    </w:rPr>
  </w:style>
  <w:style w:type="paragraph" w:styleId="ab">
    <w:name w:val="annotation subject"/>
    <w:basedOn w:val="aa"/>
    <w:next w:val="aa"/>
    <w:link w:val="Char4"/>
    <w:uiPriority w:val="99"/>
    <w:semiHidden/>
    <w:unhideWhenUsed/>
    <w:rsid w:val="00B77C3B"/>
    <w:rPr>
      <w:b/>
      <w:bCs/>
    </w:rPr>
  </w:style>
  <w:style w:type="character" w:customStyle="1" w:styleId="Char4">
    <w:name w:val="批注主题 Char"/>
    <w:basedOn w:val="Char3"/>
    <w:link w:val="ab"/>
    <w:uiPriority w:val="99"/>
    <w:semiHidden/>
    <w:rsid w:val="00B77C3B"/>
    <w:rPr>
      <w:b/>
      <w:bCs/>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1711</Characters>
  <Application>Microsoft Office Word</Application>
  <DocSecurity>4</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罗明聪</dc:creator>
  <cp:lastModifiedBy>ZHONGM</cp:lastModifiedBy>
  <cp:revision>2</cp:revision>
  <dcterms:created xsi:type="dcterms:W3CDTF">2025-11-27T16:00:00Z</dcterms:created>
  <dcterms:modified xsi:type="dcterms:W3CDTF">2025-11-27T16:00:00Z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767A5E1305124378BA88AE7D3CA37581</vt:lpwstr>
  </property>
</Properties>
</file>