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EFC" w:rsidRDefault="008C2AEB">
      <w:pPr>
        <w:jc w:val="center"/>
        <w:rPr>
          <w:rFonts w:ascii="黑体" w:eastAsia="黑体" w:hAnsi="黑体"/>
          <w:sz w:val="36"/>
          <w:szCs w:val="36"/>
        </w:rPr>
      </w:pPr>
      <w:r>
        <w:rPr>
          <w:rFonts w:ascii="黑体" w:eastAsia="黑体" w:hAnsi="黑体" w:hint="eastAsia"/>
          <w:sz w:val="36"/>
          <w:szCs w:val="36"/>
        </w:rPr>
        <w:t>国联价值均衡混合型证券投资基金</w:t>
      </w:r>
    </w:p>
    <w:p w:rsidR="00E93EFC" w:rsidRDefault="008C2AEB">
      <w:pPr>
        <w:jc w:val="center"/>
        <w:rPr>
          <w:rFonts w:ascii="黑体" w:eastAsia="黑体" w:hAnsi="黑体"/>
          <w:sz w:val="36"/>
          <w:szCs w:val="36"/>
        </w:rPr>
      </w:pPr>
      <w:r>
        <w:rPr>
          <w:rFonts w:ascii="黑体" w:eastAsia="黑体" w:hAnsi="黑体" w:hint="eastAsia"/>
          <w:sz w:val="36"/>
          <w:szCs w:val="36"/>
        </w:rPr>
        <w:t>基金合同生效公告</w:t>
      </w:r>
    </w:p>
    <w:p w:rsidR="00E93EFC" w:rsidRDefault="008C2AEB">
      <w:pPr>
        <w:spacing w:line="560" w:lineRule="exact"/>
        <w:jc w:val="center"/>
        <w:rPr>
          <w:rFonts w:ascii="Times New Roman" w:eastAsia="黑体" w:hAnsi="Times New Roman" w:cs="Times New Roman"/>
          <w:sz w:val="24"/>
          <w:szCs w:val="20"/>
        </w:rPr>
      </w:pPr>
      <w:r>
        <w:rPr>
          <w:rFonts w:ascii="Times New Roman" w:eastAsia="黑体" w:hAnsi="Times New Roman" w:cs="Times New Roman"/>
          <w:sz w:val="24"/>
          <w:szCs w:val="20"/>
        </w:rPr>
        <w:t>公告送出日期：</w:t>
      </w:r>
      <w:r>
        <w:rPr>
          <w:rFonts w:ascii="Times New Roman" w:eastAsia="黑体" w:hAnsi="Times New Roman" w:cs="Times New Roman"/>
          <w:sz w:val="24"/>
          <w:szCs w:val="20"/>
        </w:rPr>
        <w:t>2025</w:t>
      </w:r>
      <w:r>
        <w:rPr>
          <w:rFonts w:ascii="Times New Roman" w:eastAsia="黑体" w:hAnsi="Times New Roman" w:cs="Times New Roman"/>
          <w:sz w:val="24"/>
          <w:szCs w:val="20"/>
        </w:rPr>
        <w:t>年</w:t>
      </w:r>
      <w:r>
        <w:rPr>
          <w:rFonts w:ascii="Times New Roman" w:eastAsia="黑体" w:hAnsi="Times New Roman" w:cs="Times New Roman"/>
          <w:sz w:val="24"/>
          <w:szCs w:val="20"/>
        </w:rPr>
        <w:t>11</w:t>
      </w:r>
      <w:r>
        <w:rPr>
          <w:rFonts w:ascii="Times New Roman" w:eastAsia="黑体" w:hAnsi="Times New Roman" w:cs="Times New Roman"/>
          <w:sz w:val="24"/>
          <w:szCs w:val="20"/>
        </w:rPr>
        <w:t>月</w:t>
      </w:r>
      <w:r>
        <w:rPr>
          <w:rFonts w:ascii="Times New Roman" w:eastAsia="黑体" w:hAnsi="Times New Roman" w:cs="Times New Roman"/>
          <w:sz w:val="24"/>
          <w:szCs w:val="20"/>
        </w:rPr>
        <w:t>2</w:t>
      </w:r>
      <w:r w:rsidR="002B4ABA">
        <w:rPr>
          <w:rFonts w:ascii="Times New Roman" w:eastAsia="黑体" w:hAnsi="Times New Roman" w:cs="Times New Roman"/>
          <w:sz w:val="24"/>
          <w:szCs w:val="20"/>
        </w:rPr>
        <w:t>8</w:t>
      </w:r>
      <w:r>
        <w:rPr>
          <w:rFonts w:ascii="Times New Roman" w:eastAsia="黑体" w:hAnsi="Times New Roman" w:cs="Times New Roman"/>
          <w:sz w:val="24"/>
          <w:szCs w:val="20"/>
        </w:rPr>
        <w:t>日</w:t>
      </w:r>
      <w:bookmarkStart w:id="0" w:name="_Toc275961391"/>
    </w:p>
    <w:p w:rsidR="00E93EFC" w:rsidRDefault="00E93EFC">
      <w:pPr>
        <w:spacing w:line="560" w:lineRule="exact"/>
        <w:rPr>
          <w:rFonts w:ascii="Times New Roman" w:eastAsia="仿宋" w:hAnsi="Times New Roman" w:cs="Times New Roman"/>
          <w:b/>
          <w:sz w:val="32"/>
          <w:szCs w:val="32"/>
        </w:rPr>
      </w:pPr>
    </w:p>
    <w:p w:rsidR="00E93EFC" w:rsidRDefault="008C2AEB" w:rsidP="00D8416A">
      <w:pPr>
        <w:spacing w:line="560" w:lineRule="exact"/>
        <w:ind w:firstLineChars="200" w:firstLine="640"/>
        <w:rPr>
          <w:rFonts w:ascii="Times New Roman" w:eastAsia="仿宋" w:hAnsi="Times New Roman" w:cs="Times New Roman"/>
          <w:b/>
          <w:sz w:val="32"/>
          <w:szCs w:val="32"/>
        </w:rPr>
      </w:pPr>
      <w:r>
        <w:rPr>
          <w:rFonts w:ascii="Times New Roman" w:eastAsia="仿宋" w:hAnsi="Times New Roman" w:cs="Times New Roman"/>
          <w:b/>
          <w:sz w:val="32"/>
          <w:szCs w:val="32"/>
        </w:rPr>
        <w:t>1</w:t>
      </w:r>
      <w:r>
        <w:rPr>
          <w:rFonts w:ascii="Times New Roman" w:eastAsia="仿宋" w:hAnsi="Times New Roman" w:cs="Times New Roman"/>
          <w:b/>
          <w:sz w:val="32"/>
          <w:szCs w:val="32"/>
        </w:rPr>
        <w:t>．公告基本信息</w:t>
      </w:r>
      <w:bookmarkEnd w:id="0"/>
    </w:p>
    <w:tbl>
      <w:tblPr>
        <w:tblW w:w="52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7"/>
        <w:gridCol w:w="3008"/>
        <w:gridCol w:w="2963"/>
      </w:tblGrid>
      <w:tr w:rsidR="00E93EFC">
        <w:trPr>
          <w:trHeight w:val="386"/>
          <w:jc w:val="center"/>
        </w:trPr>
        <w:tc>
          <w:tcPr>
            <w:tcW w:w="1637" w:type="pct"/>
            <w:vAlign w:val="center"/>
          </w:tcPr>
          <w:p w:rsidR="00E93EFC" w:rsidRDefault="008C2AEB">
            <w:pPr>
              <w:spacing w:line="360" w:lineRule="auto"/>
              <w:jc w:val="center"/>
              <w:rPr>
                <w:rFonts w:ascii="Times New Roman" w:eastAsia="仿宋" w:hAnsi="Times New Roman" w:cs="Times New Roman"/>
                <w:kern w:val="0"/>
                <w:sz w:val="32"/>
                <w:szCs w:val="32"/>
              </w:rPr>
            </w:pPr>
            <w:bookmarkStart w:id="1" w:name="_Toc275961392"/>
            <w:r>
              <w:rPr>
                <w:rFonts w:ascii="Times New Roman" w:eastAsia="仿宋" w:hAnsi="Times New Roman" w:cs="Times New Roman"/>
                <w:kern w:val="0"/>
                <w:sz w:val="32"/>
                <w:szCs w:val="32"/>
              </w:rPr>
              <w:t>基金名称</w:t>
            </w:r>
          </w:p>
        </w:tc>
        <w:tc>
          <w:tcPr>
            <w:tcW w:w="3363" w:type="pct"/>
            <w:gridSpan w:val="2"/>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国联价值均衡混合型证券投资基金</w:t>
            </w:r>
          </w:p>
        </w:tc>
      </w:tr>
      <w:tr w:rsidR="00E93EFC">
        <w:trPr>
          <w:trHeight w:val="386"/>
          <w:jc w:val="center"/>
        </w:trPr>
        <w:tc>
          <w:tcPr>
            <w:tcW w:w="1637" w:type="pct"/>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基金简称</w:t>
            </w:r>
          </w:p>
        </w:tc>
        <w:tc>
          <w:tcPr>
            <w:tcW w:w="3363" w:type="pct"/>
            <w:gridSpan w:val="2"/>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国联价值均衡混合</w:t>
            </w:r>
          </w:p>
        </w:tc>
      </w:tr>
      <w:tr w:rsidR="00E93EFC">
        <w:trPr>
          <w:trHeight w:val="386"/>
          <w:jc w:val="center"/>
        </w:trPr>
        <w:tc>
          <w:tcPr>
            <w:tcW w:w="1637" w:type="pct"/>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基金主代码</w:t>
            </w:r>
          </w:p>
        </w:tc>
        <w:tc>
          <w:tcPr>
            <w:tcW w:w="3363" w:type="pct"/>
            <w:gridSpan w:val="2"/>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024658</w:t>
            </w:r>
          </w:p>
        </w:tc>
      </w:tr>
      <w:tr w:rsidR="00E93EFC">
        <w:trPr>
          <w:trHeight w:val="386"/>
          <w:jc w:val="center"/>
        </w:trPr>
        <w:tc>
          <w:tcPr>
            <w:tcW w:w="1637" w:type="pct"/>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基金运作方式</w:t>
            </w:r>
          </w:p>
        </w:tc>
        <w:tc>
          <w:tcPr>
            <w:tcW w:w="3363" w:type="pct"/>
            <w:gridSpan w:val="2"/>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契约型、开放式</w:t>
            </w:r>
          </w:p>
        </w:tc>
      </w:tr>
      <w:tr w:rsidR="00E93EFC">
        <w:trPr>
          <w:trHeight w:val="386"/>
          <w:jc w:val="center"/>
        </w:trPr>
        <w:tc>
          <w:tcPr>
            <w:tcW w:w="1637" w:type="pct"/>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基金合同生效日</w:t>
            </w:r>
          </w:p>
        </w:tc>
        <w:tc>
          <w:tcPr>
            <w:tcW w:w="3363" w:type="pct"/>
            <w:gridSpan w:val="2"/>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color w:val="000000"/>
                <w:kern w:val="0"/>
                <w:sz w:val="32"/>
                <w:szCs w:val="32"/>
              </w:rPr>
              <w:t>20</w:t>
            </w:r>
            <w:r>
              <w:rPr>
                <w:rFonts w:ascii="Times New Roman" w:eastAsia="仿宋" w:hAnsi="Times New Roman" w:cs="Times New Roman" w:hint="eastAsia"/>
                <w:color w:val="000000"/>
                <w:kern w:val="0"/>
                <w:sz w:val="32"/>
                <w:szCs w:val="32"/>
              </w:rPr>
              <w:t>2</w:t>
            </w:r>
            <w:r>
              <w:rPr>
                <w:rFonts w:ascii="Times New Roman" w:eastAsia="仿宋" w:hAnsi="Times New Roman" w:cs="Times New Roman"/>
                <w:color w:val="000000"/>
                <w:kern w:val="0"/>
                <w:sz w:val="32"/>
                <w:szCs w:val="32"/>
              </w:rPr>
              <w:t>5</w:t>
            </w:r>
            <w:r>
              <w:rPr>
                <w:rFonts w:ascii="Times New Roman" w:eastAsia="仿宋" w:hAnsi="Times New Roman" w:cs="Times New Roman"/>
                <w:color w:val="000000"/>
                <w:kern w:val="0"/>
                <w:sz w:val="32"/>
                <w:szCs w:val="32"/>
              </w:rPr>
              <w:t>年</w:t>
            </w:r>
            <w:r>
              <w:rPr>
                <w:rFonts w:ascii="Times New Roman" w:eastAsia="仿宋" w:hAnsi="Times New Roman" w:cs="Times New Roman"/>
                <w:color w:val="000000"/>
                <w:kern w:val="0"/>
                <w:sz w:val="32"/>
                <w:szCs w:val="32"/>
              </w:rPr>
              <w:t>11</w:t>
            </w:r>
            <w:r>
              <w:rPr>
                <w:rFonts w:ascii="Times New Roman" w:eastAsia="仿宋" w:hAnsi="Times New Roman" w:cs="Times New Roman"/>
                <w:color w:val="000000"/>
                <w:kern w:val="0"/>
                <w:sz w:val="32"/>
                <w:szCs w:val="32"/>
              </w:rPr>
              <w:t>月</w:t>
            </w:r>
            <w:r>
              <w:rPr>
                <w:rFonts w:ascii="Times New Roman" w:eastAsia="仿宋" w:hAnsi="Times New Roman" w:cs="Times New Roman"/>
                <w:color w:val="000000"/>
                <w:kern w:val="0"/>
                <w:sz w:val="32"/>
                <w:szCs w:val="32"/>
              </w:rPr>
              <w:t>27</w:t>
            </w:r>
            <w:r>
              <w:rPr>
                <w:rFonts w:ascii="Times New Roman" w:eastAsia="仿宋" w:hAnsi="Times New Roman" w:cs="Times New Roman"/>
                <w:color w:val="000000"/>
                <w:kern w:val="0"/>
                <w:sz w:val="32"/>
                <w:szCs w:val="32"/>
              </w:rPr>
              <w:t>日</w:t>
            </w:r>
          </w:p>
        </w:tc>
      </w:tr>
      <w:tr w:rsidR="00E93EFC">
        <w:trPr>
          <w:trHeight w:val="386"/>
          <w:jc w:val="center"/>
        </w:trPr>
        <w:tc>
          <w:tcPr>
            <w:tcW w:w="1637" w:type="pct"/>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基金管理人名称</w:t>
            </w:r>
          </w:p>
        </w:tc>
        <w:tc>
          <w:tcPr>
            <w:tcW w:w="3363" w:type="pct"/>
            <w:gridSpan w:val="2"/>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国联基金管理有限公司</w:t>
            </w:r>
          </w:p>
        </w:tc>
      </w:tr>
      <w:tr w:rsidR="00E93EFC">
        <w:trPr>
          <w:trHeight w:val="386"/>
          <w:jc w:val="center"/>
        </w:trPr>
        <w:tc>
          <w:tcPr>
            <w:tcW w:w="1637" w:type="pct"/>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基金托管人名称</w:t>
            </w:r>
          </w:p>
        </w:tc>
        <w:tc>
          <w:tcPr>
            <w:tcW w:w="3363" w:type="pct"/>
            <w:gridSpan w:val="2"/>
            <w:vAlign w:val="center"/>
          </w:tcPr>
          <w:p w:rsidR="00E93EFC" w:rsidRDefault="008C2AEB">
            <w:pPr>
              <w:widowControl/>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中国</w:t>
            </w:r>
            <w:r>
              <w:rPr>
                <w:rFonts w:ascii="Times New Roman" w:eastAsia="仿宋" w:hAnsi="Times New Roman" w:cs="Times New Roman" w:hint="eastAsia"/>
                <w:kern w:val="0"/>
                <w:sz w:val="32"/>
                <w:szCs w:val="32"/>
              </w:rPr>
              <w:t>农业</w:t>
            </w:r>
            <w:r>
              <w:rPr>
                <w:rFonts w:ascii="Times New Roman" w:eastAsia="仿宋" w:hAnsi="Times New Roman" w:cs="Times New Roman"/>
                <w:kern w:val="0"/>
                <w:sz w:val="32"/>
                <w:szCs w:val="32"/>
              </w:rPr>
              <w:t>银行股份有限公司</w:t>
            </w:r>
          </w:p>
        </w:tc>
      </w:tr>
      <w:tr w:rsidR="00E93EFC">
        <w:trPr>
          <w:trHeight w:val="386"/>
          <w:jc w:val="center"/>
        </w:trPr>
        <w:tc>
          <w:tcPr>
            <w:tcW w:w="1637" w:type="pct"/>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公告依据</w:t>
            </w:r>
          </w:p>
        </w:tc>
        <w:tc>
          <w:tcPr>
            <w:tcW w:w="3363" w:type="pct"/>
            <w:gridSpan w:val="2"/>
            <w:vAlign w:val="center"/>
          </w:tcPr>
          <w:p w:rsidR="00E93EFC" w:rsidRDefault="008C2AEB">
            <w:pPr>
              <w:spacing w:line="360" w:lineRule="auto"/>
              <w:rPr>
                <w:rFonts w:ascii="Times New Roman" w:eastAsia="仿宋" w:hAnsi="Times New Roman" w:cs="Times New Roman"/>
                <w:kern w:val="0"/>
                <w:sz w:val="32"/>
                <w:szCs w:val="32"/>
              </w:rPr>
            </w:pPr>
            <w:r>
              <w:rPr>
                <w:rFonts w:ascii="Times New Roman" w:eastAsia="仿宋" w:hAnsi="Times New Roman" w:cs="Times New Roman"/>
                <w:kern w:val="0"/>
                <w:sz w:val="32"/>
                <w:szCs w:val="32"/>
              </w:rPr>
              <w:t>《中华人民共和国证券投资基金法》、《</w:t>
            </w:r>
            <w:r>
              <w:rPr>
                <w:rFonts w:ascii="Times New Roman" w:eastAsia="仿宋" w:hAnsi="Times New Roman" w:cs="Times New Roman" w:hint="eastAsia"/>
                <w:kern w:val="0"/>
                <w:sz w:val="32"/>
                <w:szCs w:val="32"/>
              </w:rPr>
              <w:t>公开募集证券投资基金运作管理办法</w:t>
            </w:r>
            <w:r>
              <w:rPr>
                <w:rFonts w:ascii="Times New Roman" w:eastAsia="仿宋" w:hAnsi="Times New Roman" w:cs="Times New Roman"/>
                <w:kern w:val="0"/>
                <w:sz w:val="32"/>
                <w:szCs w:val="32"/>
              </w:rPr>
              <w:t>》等法律法规以及《</w:t>
            </w:r>
            <w:r>
              <w:rPr>
                <w:rFonts w:ascii="Times New Roman" w:eastAsia="仿宋" w:hAnsi="Times New Roman" w:cs="Times New Roman" w:hint="eastAsia"/>
                <w:kern w:val="0"/>
                <w:sz w:val="32"/>
                <w:szCs w:val="32"/>
              </w:rPr>
              <w:t>国联价值均衡混合型证券投资基金</w:t>
            </w:r>
            <w:r>
              <w:rPr>
                <w:rFonts w:ascii="Times New Roman" w:eastAsia="仿宋" w:hAnsi="Times New Roman" w:cs="Times New Roman"/>
                <w:kern w:val="0"/>
                <w:sz w:val="32"/>
                <w:szCs w:val="32"/>
              </w:rPr>
              <w:t>基金合同》</w:t>
            </w:r>
            <w:r>
              <w:rPr>
                <w:rFonts w:ascii="Times New Roman" w:eastAsia="仿宋" w:hAnsi="Times New Roman" w:cs="Times New Roman" w:hint="eastAsia"/>
                <w:kern w:val="0"/>
                <w:sz w:val="32"/>
                <w:szCs w:val="32"/>
              </w:rPr>
              <w:t>、</w:t>
            </w:r>
            <w:r>
              <w:rPr>
                <w:rFonts w:ascii="Times New Roman" w:eastAsia="仿宋" w:hAnsi="Times New Roman" w:cs="Times New Roman"/>
                <w:kern w:val="0"/>
                <w:sz w:val="32"/>
                <w:szCs w:val="32"/>
              </w:rPr>
              <w:t>《</w:t>
            </w:r>
            <w:r>
              <w:rPr>
                <w:rFonts w:ascii="Times New Roman" w:eastAsia="仿宋" w:hAnsi="Times New Roman" w:cs="Times New Roman" w:hint="eastAsia"/>
                <w:kern w:val="0"/>
                <w:sz w:val="32"/>
                <w:szCs w:val="32"/>
              </w:rPr>
              <w:t>国联价值均衡混合型证券投资基金</w:t>
            </w:r>
            <w:r>
              <w:rPr>
                <w:rFonts w:ascii="Times New Roman" w:eastAsia="仿宋" w:hAnsi="Times New Roman" w:cs="Times New Roman"/>
                <w:kern w:val="0"/>
                <w:sz w:val="32"/>
                <w:szCs w:val="32"/>
              </w:rPr>
              <w:t>招募说明书》</w:t>
            </w:r>
          </w:p>
        </w:tc>
      </w:tr>
      <w:tr w:rsidR="00E93EFC">
        <w:trPr>
          <w:trHeight w:val="386"/>
          <w:jc w:val="center"/>
        </w:trPr>
        <w:tc>
          <w:tcPr>
            <w:tcW w:w="1637" w:type="pct"/>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下属基金</w:t>
            </w:r>
            <w:r>
              <w:rPr>
                <w:rFonts w:ascii="Times New Roman" w:eastAsia="仿宋" w:hAnsi="Times New Roman" w:cs="Times New Roman"/>
                <w:kern w:val="0"/>
                <w:sz w:val="32"/>
                <w:szCs w:val="32"/>
              </w:rPr>
              <w:t>份额</w:t>
            </w:r>
            <w:r>
              <w:rPr>
                <w:rFonts w:ascii="Times New Roman" w:eastAsia="仿宋" w:hAnsi="Times New Roman" w:cs="Times New Roman" w:hint="eastAsia"/>
                <w:kern w:val="0"/>
                <w:sz w:val="32"/>
                <w:szCs w:val="32"/>
              </w:rPr>
              <w:t>类别的基金简称</w:t>
            </w:r>
          </w:p>
        </w:tc>
        <w:tc>
          <w:tcPr>
            <w:tcW w:w="1694" w:type="pct"/>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国联价值均衡混合</w:t>
            </w:r>
            <w:r>
              <w:rPr>
                <w:rFonts w:ascii="Times New Roman" w:eastAsia="仿宋" w:hAnsi="Times New Roman" w:cs="Times New Roman" w:hint="eastAsia"/>
                <w:kern w:val="0"/>
                <w:sz w:val="32"/>
                <w:szCs w:val="32"/>
              </w:rPr>
              <w:t>A</w:t>
            </w:r>
          </w:p>
        </w:tc>
        <w:tc>
          <w:tcPr>
            <w:tcW w:w="1669" w:type="pct"/>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国联价值均衡混合</w:t>
            </w:r>
            <w:r>
              <w:rPr>
                <w:rFonts w:ascii="Times New Roman" w:eastAsia="仿宋" w:hAnsi="Times New Roman" w:cs="Times New Roman"/>
                <w:kern w:val="0"/>
                <w:sz w:val="32"/>
                <w:szCs w:val="32"/>
              </w:rPr>
              <w:t>C</w:t>
            </w:r>
          </w:p>
        </w:tc>
      </w:tr>
      <w:tr w:rsidR="00E93EFC">
        <w:trPr>
          <w:trHeight w:val="386"/>
          <w:jc w:val="center"/>
        </w:trPr>
        <w:tc>
          <w:tcPr>
            <w:tcW w:w="1637" w:type="pct"/>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下属基金</w:t>
            </w:r>
            <w:r>
              <w:rPr>
                <w:rFonts w:ascii="Times New Roman" w:eastAsia="仿宋" w:hAnsi="Times New Roman" w:cs="Times New Roman"/>
                <w:kern w:val="0"/>
                <w:sz w:val="32"/>
                <w:szCs w:val="32"/>
              </w:rPr>
              <w:t>份额</w:t>
            </w:r>
            <w:r>
              <w:rPr>
                <w:rFonts w:ascii="Times New Roman" w:eastAsia="仿宋" w:hAnsi="Times New Roman" w:cs="Times New Roman" w:hint="eastAsia"/>
                <w:kern w:val="0"/>
                <w:sz w:val="32"/>
                <w:szCs w:val="32"/>
              </w:rPr>
              <w:t>类别的交易代码</w:t>
            </w:r>
          </w:p>
        </w:tc>
        <w:tc>
          <w:tcPr>
            <w:tcW w:w="1694" w:type="pct"/>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0</w:t>
            </w:r>
            <w:r>
              <w:rPr>
                <w:rFonts w:ascii="Times New Roman" w:eastAsia="仿宋" w:hAnsi="Times New Roman" w:cs="Times New Roman"/>
                <w:kern w:val="0"/>
                <w:sz w:val="32"/>
                <w:szCs w:val="32"/>
              </w:rPr>
              <w:t>24658</w:t>
            </w:r>
          </w:p>
        </w:tc>
        <w:tc>
          <w:tcPr>
            <w:tcW w:w="1669" w:type="pct"/>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0</w:t>
            </w:r>
            <w:r>
              <w:rPr>
                <w:rFonts w:ascii="Times New Roman" w:eastAsia="仿宋" w:hAnsi="Times New Roman" w:cs="Times New Roman"/>
                <w:kern w:val="0"/>
                <w:sz w:val="32"/>
                <w:szCs w:val="32"/>
              </w:rPr>
              <w:t>24659</w:t>
            </w:r>
          </w:p>
        </w:tc>
      </w:tr>
    </w:tbl>
    <w:p w:rsidR="00E93EFC" w:rsidRDefault="008C2AEB">
      <w:pPr>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注：</w:t>
      </w:r>
    </w:p>
    <w:p w:rsidR="00E93EFC" w:rsidRDefault="008C2AEB">
      <w:pPr>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Pr>
          <w:rFonts w:ascii="Times New Roman" w:eastAsia="仿宋" w:hAnsi="Times New Roman" w:cs="Times New Roman" w:hint="eastAsia"/>
          <w:kern w:val="0"/>
          <w:sz w:val="32"/>
          <w:szCs w:val="32"/>
        </w:rPr>
        <w:t>国联价值均衡混合型证券投资基金</w:t>
      </w:r>
      <w:r>
        <w:rPr>
          <w:rFonts w:ascii="Times New Roman" w:eastAsia="仿宋" w:hAnsi="Times New Roman" w:cs="Times New Roman"/>
          <w:sz w:val="32"/>
          <w:szCs w:val="32"/>
        </w:rPr>
        <w:t>以下简称</w:t>
      </w:r>
      <w:r>
        <w:rPr>
          <w:rFonts w:ascii="Times New Roman" w:eastAsia="仿宋" w:hAnsi="Times New Roman" w:cs="Times New Roman" w:hint="eastAsia"/>
          <w:sz w:val="32"/>
          <w:szCs w:val="32"/>
        </w:rPr>
        <w:t>“</w:t>
      </w:r>
      <w:r>
        <w:rPr>
          <w:rFonts w:ascii="Times New Roman" w:eastAsia="仿宋" w:hAnsi="Times New Roman" w:cs="Times New Roman"/>
          <w:sz w:val="32"/>
          <w:szCs w:val="32"/>
        </w:rPr>
        <w:t>本基金</w:t>
      </w:r>
      <w:r>
        <w:rPr>
          <w:rFonts w:ascii="Times New Roman" w:eastAsia="仿宋" w:hAnsi="Times New Roman" w:cs="Times New Roman" w:hint="eastAsia"/>
          <w:sz w:val="32"/>
          <w:szCs w:val="32"/>
        </w:rPr>
        <w:t>”。</w:t>
      </w:r>
    </w:p>
    <w:p w:rsidR="00E93EFC" w:rsidRDefault="008C2AEB">
      <w:pPr>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）国联</w:t>
      </w:r>
      <w:r>
        <w:rPr>
          <w:rFonts w:ascii="Times New Roman" w:eastAsia="仿宋" w:hAnsi="Times New Roman" w:cs="Times New Roman"/>
          <w:sz w:val="32"/>
          <w:szCs w:val="32"/>
        </w:rPr>
        <w:t>基金管理有限公司</w:t>
      </w:r>
      <w:r>
        <w:rPr>
          <w:rFonts w:ascii="Times New Roman" w:eastAsia="仿宋" w:hAnsi="Times New Roman" w:cs="Times New Roman" w:hint="eastAsia"/>
          <w:sz w:val="32"/>
          <w:szCs w:val="32"/>
        </w:rPr>
        <w:t>以下简称“本公司”。</w:t>
      </w:r>
    </w:p>
    <w:p w:rsidR="00E93EFC" w:rsidRDefault="008C2AEB" w:rsidP="00D8416A">
      <w:pPr>
        <w:spacing w:line="560" w:lineRule="exact"/>
        <w:ind w:firstLineChars="200" w:firstLine="640"/>
        <w:rPr>
          <w:rFonts w:ascii="Times New Roman" w:eastAsia="仿宋" w:hAnsi="Times New Roman" w:cs="Times New Roman"/>
          <w:b/>
          <w:sz w:val="32"/>
          <w:szCs w:val="32"/>
        </w:rPr>
      </w:pPr>
      <w:r>
        <w:rPr>
          <w:rFonts w:ascii="Times New Roman" w:eastAsia="仿宋" w:hAnsi="Times New Roman" w:cs="Times New Roman"/>
          <w:b/>
          <w:sz w:val="32"/>
          <w:szCs w:val="32"/>
        </w:rPr>
        <w:t>2</w:t>
      </w:r>
      <w:r>
        <w:rPr>
          <w:rFonts w:ascii="Times New Roman" w:eastAsia="仿宋" w:hAnsi="Times New Roman" w:cs="Times New Roman"/>
          <w:b/>
          <w:sz w:val="32"/>
          <w:szCs w:val="32"/>
        </w:rPr>
        <w:t>．基金募集情况</w:t>
      </w:r>
      <w:bookmarkEnd w:id="1"/>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1843"/>
        <w:gridCol w:w="2693"/>
        <w:gridCol w:w="2693"/>
        <w:gridCol w:w="2268"/>
      </w:tblGrid>
      <w:tr w:rsidR="00E93EFC">
        <w:trPr>
          <w:trHeight w:val="386"/>
          <w:jc w:val="center"/>
        </w:trPr>
        <w:tc>
          <w:tcPr>
            <w:tcW w:w="3256" w:type="dxa"/>
            <w:gridSpan w:val="2"/>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基金募集申请获中国证监会核准的文号</w:t>
            </w:r>
          </w:p>
        </w:tc>
        <w:tc>
          <w:tcPr>
            <w:tcW w:w="7654" w:type="dxa"/>
            <w:gridSpan w:val="3"/>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hint="eastAsia"/>
                <w:kern w:val="0"/>
                <w:sz w:val="32"/>
                <w:szCs w:val="32"/>
              </w:rPr>
              <w:t>证监许可〔</w:t>
            </w:r>
            <w:r>
              <w:rPr>
                <w:rFonts w:ascii="Times New Roman" w:eastAsia="仿宋" w:hAnsi="Times New Roman" w:cs="Times New Roman"/>
                <w:kern w:val="0"/>
                <w:sz w:val="32"/>
                <w:szCs w:val="32"/>
              </w:rPr>
              <w:t>2025</w:t>
            </w:r>
            <w:r>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1226</w:t>
            </w:r>
            <w:r>
              <w:rPr>
                <w:rFonts w:ascii="Times New Roman" w:eastAsia="仿宋" w:hAnsi="Times New Roman" w:cs="Times New Roman" w:hint="eastAsia"/>
                <w:kern w:val="0"/>
                <w:sz w:val="32"/>
                <w:szCs w:val="32"/>
              </w:rPr>
              <w:t>号</w:t>
            </w:r>
          </w:p>
        </w:tc>
      </w:tr>
      <w:tr w:rsidR="00E93EFC">
        <w:trPr>
          <w:trHeight w:val="1037"/>
          <w:jc w:val="center"/>
        </w:trPr>
        <w:tc>
          <w:tcPr>
            <w:tcW w:w="3256" w:type="dxa"/>
            <w:gridSpan w:val="2"/>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基金募集期间</w:t>
            </w:r>
          </w:p>
        </w:tc>
        <w:tc>
          <w:tcPr>
            <w:tcW w:w="7654" w:type="dxa"/>
            <w:gridSpan w:val="3"/>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自</w:t>
            </w:r>
            <w:r>
              <w:rPr>
                <w:rFonts w:ascii="Times New Roman" w:eastAsia="仿宋" w:hAnsi="Times New Roman" w:cs="Times New Roman"/>
                <w:sz w:val="32"/>
                <w:szCs w:val="32"/>
              </w:rPr>
              <w:t>2025</w:t>
            </w:r>
            <w:r>
              <w:rPr>
                <w:rFonts w:ascii="Times New Roman" w:eastAsia="仿宋" w:hAnsi="Times New Roman" w:cs="Times New Roman"/>
                <w:sz w:val="32"/>
                <w:szCs w:val="32"/>
              </w:rPr>
              <w:t>年</w:t>
            </w:r>
            <w:r>
              <w:rPr>
                <w:rFonts w:ascii="Times New Roman" w:eastAsia="仿宋" w:hAnsi="Times New Roman" w:cs="Times New Roman"/>
                <w:sz w:val="32"/>
                <w:szCs w:val="32"/>
              </w:rPr>
              <w:t>11</w:t>
            </w:r>
            <w:r>
              <w:rPr>
                <w:rFonts w:ascii="Times New Roman" w:eastAsia="仿宋" w:hAnsi="Times New Roman" w:cs="Times New Roman"/>
                <w:sz w:val="32"/>
                <w:szCs w:val="32"/>
              </w:rPr>
              <w:t>月</w:t>
            </w:r>
            <w:r>
              <w:rPr>
                <w:rFonts w:ascii="Times New Roman" w:eastAsia="仿宋" w:hAnsi="Times New Roman" w:cs="Times New Roman"/>
                <w:sz w:val="32"/>
                <w:szCs w:val="32"/>
              </w:rPr>
              <w:t>12</w:t>
            </w:r>
            <w:r>
              <w:rPr>
                <w:rFonts w:ascii="Times New Roman" w:eastAsia="仿宋" w:hAnsi="Times New Roman" w:cs="Times New Roman"/>
                <w:sz w:val="32"/>
                <w:szCs w:val="32"/>
              </w:rPr>
              <w:t>日</w:t>
            </w:r>
            <w:r>
              <w:rPr>
                <w:rFonts w:ascii="Times New Roman" w:eastAsia="仿宋" w:hAnsi="Times New Roman" w:cs="Times New Roman" w:hint="eastAsia"/>
                <w:sz w:val="32"/>
                <w:szCs w:val="32"/>
              </w:rPr>
              <w:t>起</w:t>
            </w:r>
          </w:p>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至</w:t>
            </w:r>
            <w:r>
              <w:rPr>
                <w:rFonts w:ascii="Times New Roman" w:eastAsia="仿宋" w:hAnsi="Times New Roman" w:cs="Times New Roman"/>
                <w:sz w:val="32"/>
                <w:szCs w:val="32"/>
              </w:rPr>
              <w:t>2025</w:t>
            </w:r>
            <w:r>
              <w:rPr>
                <w:rFonts w:ascii="Times New Roman" w:eastAsia="仿宋" w:hAnsi="Times New Roman" w:cs="Times New Roman"/>
                <w:sz w:val="32"/>
                <w:szCs w:val="32"/>
              </w:rPr>
              <w:t>年</w:t>
            </w:r>
            <w:r>
              <w:rPr>
                <w:rFonts w:ascii="Times New Roman" w:eastAsia="仿宋" w:hAnsi="Times New Roman" w:cs="Times New Roman"/>
                <w:sz w:val="32"/>
                <w:szCs w:val="32"/>
              </w:rPr>
              <w:t>11</w:t>
            </w:r>
            <w:r>
              <w:rPr>
                <w:rFonts w:ascii="Times New Roman" w:eastAsia="仿宋" w:hAnsi="Times New Roman" w:cs="Times New Roman"/>
                <w:sz w:val="32"/>
                <w:szCs w:val="32"/>
              </w:rPr>
              <w:t>月</w:t>
            </w:r>
            <w:r>
              <w:rPr>
                <w:rFonts w:ascii="Times New Roman" w:eastAsia="仿宋" w:hAnsi="Times New Roman" w:cs="Times New Roman"/>
                <w:sz w:val="32"/>
                <w:szCs w:val="32"/>
              </w:rPr>
              <w:t>25</w:t>
            </w:r>
            <w:r>
              <w:rPr>
                <w:rFonts w:ascii="Times New Roman" w:eastAsia="仿宋" w:hAnsi="Times New Roman" w:cs="Times New Roman"/>
                <w:sz w:val="32"/>
                <w:szCs w:val="32"/>
              </w:rPr>
              <w:t>日止</w:t>
            </w:r>
          </w:p>
        </w:tc>
      </w:tr>
      <w:tr w:rsidR="00E93EFC">
        <w:trPr>
          <w:trHeight w:val="386"/>
          <w:jc w:val="center"/>
        </w:trPr>
        <w:tc>
          <w:tcPr>
            <w:tcW w:w="3256" w:type="dxa"/>
            <w:gridSpan w:val="2"/>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验资机构名称</w:t>
            </w:r>
          </w:p>
        </w:tc>
        <w:tc>
          <w:tcPr>
            <w:tcW w:w="7654" w:type="dxa"/>
            <w:gridSpan w:val="3"/>
            <w:vAlign w:val="center"/>
          </w:tcPr>
          <w:p w:rsidR="00E93EFC" w:rsidRDefault="008C2AEB">
            <w:pPr>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上会会计师事务所（特殊普通合伙）</w:t>
            </w:r>
          </w:p>
        </w:tc>
      </w:tr>
      <w:tr w:rsidR="00E93EFC">
        <w:trPr>
          <w:trHeight w:val="386"/>
          <w:jc w:val="center"/>
        </w:trPr>
        <w:tc>
          <w:tcPr>
            <w:tcW w:w="3256" w:type="dxa"/>
            <w:gridSpan w:val="2"/>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募集资金划入基金托管专户的日期</w:t>
            </w:r>
          </w:p>
        </w:tc>
        <w:tc>
          <w:tcPr>
            <w:tcW w:w="7654" w:type="dxa"/>
            <w:gridSpan w:val="3"/>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2025</w:t>
            </w:r>
            <w:r>
              <w:rPr>
                <w:rFonts w:ascii="Times New Roman" w:eastAsia="仿宋" w:hAnsi="Times New Roman" w:cs="Times New Roman" w:hint="eastAsia"/>
                <w:sz w:val="32"/>
                <w:szCs w:val="32"/>
              </w:rPr>
              <w:t>年</w:t>
            </w:r>
            <w:r>
              <w:rPr>
                <w:rFonts w:ascii="Times New Roman" w:eastAsia="仿宋" w:hAnsi="Times New Roman" w:cs="Times New Roman"/>
                <w:sz w:val="32"/>
                <w:szCs w:val="32"/>
              </w:rPr>
              <w:t>11</w:t>
            </w:r>
            <w:r>
              <w:rPr>
                <w:rFonts w:ascii="Times New Roman" w:eastAsia="仿宋" w:hAnsi="Times New Roman" w:cs="Times New Roman" w:hint="eastAsia"/>
                <w:sz w:val="32"/>
                <w:szCs w:val="32"/>
              </w:rPr>
              <w:t>月</w:t>
            </w:r>
            <w:r>
              <w:rPr>
                <w:rFonts w:ascii="Times New Roman" w:eastAsia="仿宋" w:hAnsi="Times New Roman" w:cs="Times New Roman"/>
                <w:sz w:val="32"/>
                <w:szCs w:val="32"/>
              </w:rPr>
              <w:t>27</w:t>
            </w:r>
            <w:r>
              <w:rPr>
                <w:rFonts w:ascii="Times New Roman" w:eastAsia="仿宋" w:hAnsi="Times New Roman" w:cs="Times New Roman" w:hint="eastAsia"/>
                <w:sz w:val="32"/>
                <w:szCs w:val="32"/>
              </w:rPr>
              <w:t>日</w:t>
            </w:r>
          </w:p>
        </w:tc>
      </w:tr>
      <w:tr w:rsidR="00E93EFC">
        <w:trPr>
          <w:trHeight w:val="386"/>
          <w:jc w:val="center"/>
        </w:trPr>
        <w:tc>
          <w:tcPr>
            <w:tcW w:w="3256" w:type="dxa"/>
            <w:gridSpan w:val="2"/>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募集有效认购总户数（单位：户）</w:t>
            </w:r>
          </w:p>
        </w:tc>
        <w:tc>
          <w:tcPr>
            <w:tcW w:w="7654" w:type="dxa"/>
            <w:gridSpan w:val="3"/>
            <w:shd w:val="clear" w:color="auto" w:fill="auto"/>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2149</w:t>
            </w:r>
          </w:p>
        </w:tc>
      </w:tr>
      <w:tr w:rsidR="00E93EFC">
        <w:trPr>
          <w:trHeight w:val="386"/>
          <w:jc w:val="center"/>
        </w:trPr>
        <w:tc>
          <w:tcPr>
            <w:tcW w:w="3256" w:type="dxa"/>
            <w:gridSpan w:val="2"/>
            <w:vAlign w:val="center"/>
          </w:tcPr>
          <w:p w:rsidR="00E93EFC" w:rsidRDefault="008C2AEB">
            <w:pPr>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份额</w:t>
            </w:r>
            <w:r>
              <w:rPr>
                <w:rFonts w:ascii="Times New Roman" w:eastAsia="仿宋" w:hAnsi="Times New Roman" w:cs="Times New Roman" w:hint="eastAsia"/>
                <w:kern w:val="0"/>
                <w:sz w:val="32"/>
                <w:szCs w:val="32"/>
              </w:rPr>
              <w:t>类别</w:t>
            </w:r>
          </w:p>
        </w:tc>
        <w:tc>
          <w:tcPr>
            <w:tcW w:w="2693" w:type="dxa"/>
            <w:shd w:val="clear" w:color="auto" w:fill="auto"/>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国联价值均衡混合</w:t>
            </w:r>
            <w:r>
              <w:rPr>
                <w:rFonts w:ascii="Times New Roman" w:eastAsia="仿宋" w:hAnsi="Times New Roman" w:cs="Times New Roman" w:hint="eastAsia"/>
                <w:kern w:val="0"/>
                <w:sz w:val="32"/>
                <w:szCs w:val="32"/>
              </w:rPr>
              <w:t>A</w:t>
            </w:r>
          </w:p>
        </w:tc>
        <w:tc>
          <w:tcPr>
            <w:tcW w:w="2693" w:type="dxa"/>
            <w:shd w:val="clear" w:color="auto" w:fill="auto"/>
            <w:vAlign w:val="center"/>
          </w:tcPr>
          <w:p w:rsidR="00E93EFC" w:rsidRDefault="008C2AEB">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国联价值均衡混合</w:t>
            </w:r>
            <w:r>
              <w:rPr>
                <w:rFonts w:ascii="Times New Roman" w:eastAsia="仿宋" w:hAnsi="Times New Roman" w:cs="Times New Roman"/>
                <w:kern w:val="0"/>
                <w:sz w:val="32"/>
                <w:szCs w:val="32"/>
              </w:rPr>
              <w:t>C</w:t>
            </w:r>
          </w:p>
        </w:tc>
        <w:tc>
          <w:tcPr>
            <w:tcW w:w="2268" w:type="dxa"/>
            <w:shd w:val="clear" w:color="auto" w:fill="auto"/>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合计</w:t>
            </w:r>
          </w:p>
        </w:tc>
      </w:tr>
      <w:tr w:rsidR="00E93EFC">
        <w:trPr>
          <w:trHeight w:val="386"/>
          <w:jc w:val="center"/>
        </w:trPr>
        <w:tc>
          <w:tcPr>
            <w:tcW w:w="3256" w:type="dxa"/>
            <w:gridSpan w:val="2"/>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募集期间净认购金额（单位：元）</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117,343,639.79</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121,558,270.74</w:t>
            </w:r>
          </w:p>
        </w:tc>
        <w:tc>
          <w:tcPr>
            <w:tcW w:w="2268"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238,901,910.53</w:t>
            </w:r>
          </w:p>
        </w:tc>
      </w:tr>
      <w:tr w:rsidR="00E93EFC">
        <w:trPr>
          <w:trHeight w:val="454"/>
          <w:jc w:val="center"/>
        </w:trPr>
        <w:tc>
          <w:tcPr>
            <w:tcW w:w="3256" w:type="dxa"/>
            <w:gridSpan w:val="2"/>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认购资金在募集期间产生的利息（单位：元）</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30,153.86</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33,909.57</w:t>
            </w:r>
          </w:p>
        </w:tc>
        <w:tc>
          <w:tcPr>
            <w:tcW w:w="2268"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64,063.43</w:t>
            </w:r>
          </w:p>
        </w:tc>
      </w:tr>
      <w:tr w:rsidR="00E93EFC">
        <w:trPr>
          <w:trHeight w:val="1913"/>
          <w:jc w:val="center"/>
        </w:trPr>
        <w:tc>
          <w:tcPr>
            <w:tcW w:w="1413" w:type="dxa"/>
            <w:vMerge w:val="restart"/>
            <w:vAlign w:val="center"/>
          </w:tcPr>
          <w:p w:rsidR="00E93EFC" w:rsidRDefault="008C2AEB">
            <w:pPr>
              <w:rPr>
                <w:rFonts w:ascii="Times New Roman" w:eastAsia="仿宋" w:hAnsi="Times New Roman" w:cs="Times New Roman"/>
                <w:sz w:val="32"/>
                <w:szCs w:val="32"/>
              </w:rPr>
            </w:pPr>
            <w:r>
              <w:rPr>
                <w:rFonts w:ascii="Times New Roman" w:eastAsia="仿宋" w:hAnsi="Times New Roman" w:cs="Times New Roman"/>
                <w:sz w:val="32"/>
                <w:szCs w:val="32"/>
              </w:rPr>
              <w:t>募集份额（单位：份）</w:t>
            </w:r>
          </w:p>
        </w:tc>
        <w:tc>
          <w:tcPr>
            <w:tcW w:w="1843" w:type="dxa"/>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有效认购份额</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117,343,639.79</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121,558,270.74</w:t>
            </w:r>
          </w:p>
        </w:tc>
        <w:tc>
          <w:tcPr>
            <w:tcW w:w="2268"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238,901,910.53</w:t>
            </w:r>
          </w:p>
        </w:tc>
      </w:tr>
      <w:tr w:rsidR="00E93EFC">
        <w:trPr>
          <w:jc w:val="center"/>
        </w:trPr>
        <w:tc>
          <w:tcPr>
            <w:tcW w:w="1413" w:type="dxa"/>
            <w:vMerge/>
            <w:vAlign w:val="center"/>
          </w:tcPr>
          <w:p w:rsidR="00E93EFC" w:rsidRDefault="00E93EFC">
            <w:pPr>
              <w:jc w:val="center"/>
              <w:rPr>
                <w:rFonts w:ascii="Times New Roman" w:eastAsia="仿宋" w:hAnsi="Times New Roman" w:cs="Times New Roman"/>
                <w:sz w:val="32"/>
                <w:szCs w:val="32"/>
              </w:rPr>
            </w:pPr>
          </w:p>
        </w:tc>
        <w:tc>
          <w:tcPr>
            <w:tcW w:w="1843" w:type="dxa"/>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利息结转的</w:t>
            </w:r>
            <w:r>
              <w:rPr>
                <w:rFonts w:ascii="Times New Roman" w:eastAsia="仿宋" w:hAnsi="Times New Roman" w:cs="Times New Roman"/>
                <w:sz w:val="32"/>
                <w:szCs w:val="32"/>
              </w:rPr>
              <w:lastRenderedPageBreak/>
              <w:t>份额</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lastRenderedPageBreak/>
              <w:t>30,153.86</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33,909.57</w:t>
            </w:r>
          </w:p>
        </w:tc>
        <w:tc>
          <w:tcPr>
            <w:tcW w:w="2268"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64,063.43</w:t>
            </w:r>
          </w:p>
        </w:tc>
      </w:tr>
      <w:tr w:rsidR="00E93EFC">
        <w:trPr>
          <w:jc w:val="center"/>
        </w:trPr>
        <w:tc>
          <w:tcPr>
            <w:tcW w:w="1413" w:type="dxa"/>
            <w:vMerge/>
            <w:vAlign w:val="center"/>
          </w:tcPr>
          <w:p w:rsidR="00E93EFC" w:rsidRDefault="00E93EFC">
            <w:pPr>
              <w:jc w:val="center"/>
              <w:rPr>
                <w:rFonts w:ascii="Times New Roman" w:eastAsia="仿宋" w:hAnsi="Times New Roman" w:cs="Times New Roman"/>
                <w:sz w:val="32"/>
                <w:szCs w:val="32"/>
              </w:rPr>
            </w:pPr>
          </w:p>
        </w:tc>
        <w:tc>
          <w:tcPr>
            <w:tcW w:w="1843" w:type="dxa"/>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合计</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117,373,793.65</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121,592,180.31</w:t>
            </w:r>
          </w:p>
        </w:tc>
        <w:tc>
          <w:tcPr>
            <w:tcW w:w="2268" w:type="dxa"/>
            <w:shd w:val="clear" w:color="auto" w:fill="auto"/>
            <w:vAlign w:val="center"/>
          </w:tcPr>
          <w:p w:rsidR="00E93EFC" w:rsidRDefault="008C2AEB">
            <w:pPr>
              <w:widowControl/>
              <w:jc w:val="center"/>
              <w:textAlignment w:val="center"/>
              <w:rPr>
                <w:rFonts w:ascii="Times New Roman" w:eastAsia="仿宋" w:hAnsi="Times New Roman" w:cs="Times New Roman"/>
                <w:sz w:val="28"/>
                <w:szCs w:val="28"/>
                <w:highlight w:val="yellow"/>
              </w:rPr>
            </w:pPr>
            <w:r>
              <w:rPr>
                <w:rFonts w:ascii="Times New Roman" w:eastAsia="宋体" w:hAnsi="Times New Roman" w:cs="Times New Roman"/>
                <w:color w:val="000000"/>
                <w:kern w:val="0"/>
                <w:sz w:val="28"/>
                <w:szCs w:val="28"/>
                <w:lang/>
              </w:rPr>
              <w:t>238,965,973.96</w:t>
            </w:r>
          </w:p>
        </w:tc>
      </w:tr>
      <w:tr w:rsidR="00E93EFC">
        <w:trPr>
          <w:jc w:val="center"/>
        </w:trPr>
        <w:tc>
          <w:tcPr>
            <w:tcW w:w="1413" w:type="dxa"/>
            <w:vMerge w:val="restart"/>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其中：募集期间基金管理人运用固有资金认购本基金情况</w:t>
            </w:r>
          </w:p>
        </w:tc>
        <w:tc>
          <w:tcPr>
            <w:tcW w:w="1843" w:type="dxa"/>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认购的基金份额（单位：份）</w:t>
            </w:r>
          </w:p>
        </w:tc>
        <w:tc>
          <w:tcPr>
            <w:tcW w:w="2693" w:type="dxa"/>
            <w:shd w:val="clear" w:color="auto" w:fill="auto"/>
            <w:vAlign w:val="center"/>
          </w:tcPr>
          <w:p w:rsidR="00E93EFC" w:rsidRDefault="008C2AEB">
            <w:pPr>
              <w:jc w:val="center"/>
            </w:pPr>
            <w:r>
              <w:rPr>
                <w:rFonts w:ascii="Times New Roman" w:eastAsia="仿宋" w:hAnsi="Times New Roman" w:cs="Times New Roman" w:hint="eastAsia"/>
                <w:sz w:val="32"/>
                <w:szCs w:val="32"/>
              </w:rPr>
              <w:t>0</w:t>
            </w:r>
          </w:p>
        </w:tc>
        <w:tc>
          <w:tcPr>
            <w:tcW w:w="2693" w:type="dxa"/>
            <w:shd w:val="clear" w:color="auto" w:fill="auto"/>
            <w:vAlign w:val="center"/>
          </w:tcPr>
          <w:p w:rsidR="00E93EFC" w:rsidRDefault="008C2AEB">
            <w:pPr>
              <w:jc w:val="center"/>
            </w:pPr>
            <w:r>
              <w:rPr>
                <w:rFonts w:ascii="Times New Roman" w:eastAsia="仿宋" w:hAnsi="Times New Roman" w:cs="Times New Roman" w:hint="eastAsia"/>
                <w:sz w:val="32"/>
                <w:szCs w:val="32"/>
              </w:rPr>
              <w:t>0</w:t>
            </w:r>
          </w:p>
        </w:tc>
        <w:tc>
          <w:tcPr>
            <w:tcW w:w="2268" w:type="dxa"/>
            <w:shd w:val="clear" w:color="auto" w:fill="auto"/>
            <w:vAlign w:val="center"/>
          </w:tcPr>
          <w:p w:rsidR="00E93EFC" w:rsidRDefault="008C2AEB">
            <w:pPr>
              <w:jc w:val="center"/>
            </w:pPr>
            <w:r>
              <w:rPr>
                <w:rFonts w:ascii="Times New Roman" w:eastAsia="仿宋" w:hAnsi="Times New Roman" w:cs="Times New Roman" w:hint="eastAsia"/>
                <w:sz w:val="32"/>
                <w:szCs w:val="32"/>
              </w:rPr>
              <w:t>0</w:t>
            </w:r>
          </w:p>
        </w:tc>
      </w:tr>
      <w:tr w:rsidR="00E93EFC">
        <w:trPr>
          <w:jc w:val="center"/>
        </w:trPr>
        <w:tc>
          <w:tcPr>
            <w:tcW w:w="1413" w:type="dxa"/>
            <w:vMerge/>
            <w:vAlign w:val="center"/>
          </w:tcPr>
          <w:p w:rsidR="00E93EFC" w:rsidRDefault="00E93EFC">
            <w:pPr>
              <w:jc w:val="center"/>
              <w:rPr>
                <w:rFonts w:ascii="Times New Roman" w:eastAsia="仿宋" w:hAnsi="Times New Roman" w:cs="Times New Roman"/>
                <w:sz w:val="32"/>
                <w:szCs w:val="32"/>
              </w:rPr>
            </w:pPr>
          </w:p>
        </w:tc>
        <w:tc>
          <w:tcPr>
            <w:tcW w:w="1843" w:type="dxa"/>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占基金总份额比例</w:t>
            </w:r>
          </w:p>
        </w:tc>
        <w:tc>
          <w:tcPr>
            <w:tcW w:w="2693" w:type="dxa"/>
            <w:shd w:val="clear" w:color="auto" w:fill="auto"/>
            <w:vAlign w:val="center"/>
          </w:tcPr>
          <w:p w:rsidR="00E93EFC" w:rsidRDefault="008C2AEB">
            <w:pPr>
              <w:jc w:val="center"/>
            </w:pPr>
            <w:r>
              <w:rPr>
                <w:rFonts w:ascii="Times New Roman" w:eastAsia="仿宋" w:hAnsi="Times New Roman" w:cs="Times New Roman" w:hint="eastAsia"/>
                <w:sz w:val="32"/>
                <w:szCs w:val="32"/>
              </w:rPr>
              <w:t>0</w:t>
            </w:r>
          </w:p>
        </w:tc>
        <w:tc>
          <w:tcPr>
            <w:tcW w:w="2693" w:type="dxa"/>
            <w:shd w:val="clear" w:color="auto" w:fill="auto"/>
            <w:vAlign w:val="center"/>
          </w:tcPr>
          <w:p w:rsidR="00E93EFC" w:rsidRDefault="008C2AEB">
            <w:pPr>
              <w:jc w:val="center"/>
            </w:pPr>
            <w:r>
              <w:rPr>
                <w:rFonts w:ascii="Times New Roman" w:eastAsia="仿宋" w:hAnsi="Times New Roman" w:cs="Times New Roman" w:hint="eastAsia"/>
                <w:sz w:val="32"/>
                <w:szCs w:val="32"/>
              </w:rPr>
              <w:t>0</w:t>
            </w:r>
          </w:p>
        </w:tc>
        <w:tc>
          <w:tcPr>
            <w:tcW w:w="2268" w:type="dxa"/>
            <w:shd w:val="clear" w:color="auto" w:fill="auto"/>
            <w:vAlign w:val="center"/>
          </w:tcPr>
          <w:p w:rsidR="00E93EFC" w:rsidRDefault="008C2AEB">
            <w:pPr>
              <w:jc w:val="center"/>
            </w:pPr>
            <w:r>
              <w:rPr>
                <w:rFonts w:ascii="Times New Roman" w:eastAsia="仿宋" w:hAnsi="Times New Roman" w:cs="Times New Roman" w:hint="eastAsia"/>
                <w:sz w:val="32"/>
                <w:szCs w:val="32"/>
              </w:rPr>
              <w:t>0</w:t>
            </w:r>
          </w:p>
        </w:tc>
      </w:tr>
      <w:tr w:rsidR="00E93EFC">
        <w:trPr>
          <w:jc w:val="center"/>
        </w:trPr>
        <w:tc>
          <w:tcPr>
            <w:tcW w:w="1413" w:type="dxa"/>
            <w:vMerge/>
            <w:vAlign w:val="center"/>
          </w:tcPr>
          <w:p w:rsidR="00E93EFC" w:rsidRDefault="00E93EFC">
            <w:pPr>
              <w:jc w:val="center"/>
              <w:rPr>
                <w:rFonts w:ascii="Times New Roman" w:eastAsia="仿宋" w:hAnsi="Times New Roman" w:cs="Times New Roman"/>
                <w:sz w:val="32"/>
                <w:szCs w:val="32"/>
              </w:rPr>
            </w:pPr>
          </w:p>
        </w:tc>
        <w:tc>
          <w:tcPr>
            <w:tcW w:w="1843" w:type="dxa"/>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其他需要说明的事项</w:t>
            </w:r>
          </w:p>
        </w:tc>
        <w:tc>
          <w:tcPr>
            <w:tcW w:w="2693" w:type="dxa"/>
            <w:vAlign w:val="center"/>
          </w:tcPr>
          <w:p w:rsidR="00E93EFC" w:rsidRPr="00EE7415" w:rsidRDefault="00EE7415">
            <w:pPr>
              <w:jc w:val="center"/>
              <w:rPr>
                <w:rFonts w:ascii="Times New Roman" w:eastAsia="仿宋" w:hAnsi="Times New Roman" w:cs="Times New Roman"/>
                <w:sz w:val="32"/>
                <w:szCs w:val="32"/>
              </w:rPr>
            </w:pPr>
            <w:r w:rsidRPr="00EE7415">
              <w:rPr>
                <w:rFonts w:ascii="Times New Roman" w:eastAsia="仿宋" w:hAnsi="Times New Roman" w:cs="Times New Roman" w:hint="eastAsia"/>
                <w:sz w:val="32"/>
                <w:szCs w:val="32"/>
              </w:rPr>
              <w:t>-</w:t>
            </w:r>
          </w:p>
        </w:tc>
        <w:tc>
          <w:tcPr>
            <w:tcW w:w="2693" w:type="dxa"/>
            <w:vAlign w:val="center"/>
          </w:tcPr>
          <w:p w:rsidR="00E93EFC" w:rsidRPr="00EE7415" w:rsidRDefault="00EE7415">
            <w:pPr>
              <w:jc w:val="center"/>
              <w:rPr>
                <w:rFonts w:ascii="Times New Roman" w:eastAsia="仿宋" w:hAnsi="Times New Roman" w:cs="Times New Roman"/>
                <w:sz w:val="32"/>
                <w:szCs w:val="32"/>
              </w:rPr>
            </w:pPr>
            <w:r w:rsidRPr="00EE7415">
              <w:rPr>
                <w:rFonts w:ascii="Times New Roman" w:eastAsia="仿宋" w:hAnsi="Times New Roman" w:cs="Times New Roman" w:hint="eastAsia"/>
                <w:sz w:val="32"/>
                <w:szCs w:val="32"/>
              </w:rPr>
              <w:t>-</w:t>
            </w:r>
          </w:p>
        </w:tc>
        <w:tc>
          <w:tcPr>
            <w:tcW w:w="2268" w:type="dxa"/>
            <w:vAlign w:val="center"/>
          </w:tcPr>
          <w:p w:rsidR="00E93EFC" w:rsidRPr="00EE7415" w:rsidRDefault="00EE7415">
            <w:pPr>
              <w:jc w:val="center"/>
              <w:rPr>
                <w:rFonts w:ascii="Times New Roman" w:eastAsia="仿宋" w:hAnsi="Times New Roman" w:cs="Times New Roman"/>
                <w:sz w:val="32"/>
                <w:szCs w:val="32"/>
              </w:rPr>
            </w:pPr>
            <w:r w:rsidRPr="00EE7415">
              <w:rPr>
                <w:rFonts w:ascii="Times New Roman" w:eastAsia="仿宋" w:hAnsi="Times New Roman" w:cs="Times New Roman" w:hint="eastAsia"/>
                <w:sz w:val="32"/>
                <w:szCs w:val="32"/>
              </w:rPr>
              <w:t>-</w:t>
            </w:r>
          </w:p>
        </w:tc>
      </w:tr>
      <w:tr w:rsidR="00E93EFC">
        <w:trPr>
          <w:jc w:val="center"/>
        </w:trPr>
        <w:tc>
          <w:tcPr>
            <w:tcW w:w="1413" w:type="dxa"/>
            <w:vMerge w:val="restart"/>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其中：募集期间基金管理人的从业人员认购本基金情况</w:t>
            </w:r>
          </w:p>
        </w:tc>
        <w:tc>
          <w:tcPr>
            <w:tcW w:w="1843" w:type="dxa"/>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认购的基金份额（单位：份）</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sz w:val="32"/>
                <w:szCs w:val="32"/>
                <w:highlight w:val="yellow"/>
              </w:rPr>
            </w:pPr>
            <w:r>
              <w:rPr>
                <w:rFonts w:ascii="Times New Roman" w:eastAsia="宋体" w:hAnsi="Times New Roman" w:cs="Times New Roman"/>
                <w:color w:val="000000"/>
                <w:kern w:val="0"/>
                <w:sz w:val="28"/>
                <w:szCs w:val="28"/>
                <w:lang/>
              </w:rPr>
              <w:t>10,994.16</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sz w:val="32"/>
                <w:szCs w:val="32"/>
                <w:highlight w:val="yellow"/>
              </w:rPr>
            </w:pPr>
            <w:r>
              <w:rPr>
                <w:rFonts w:ascii="Times New Roman" w:eastAsia="宋体" w:hAnsi="Times New Roman" w:cs="Times New Roman"/>
                <w:color w:val="000000"/>
                <w:kern w:val="0"/>
                <w:sz w:val="28"/>
                <w:szCs w:val="28"/>
                <w:lang/>
              </w:rPr>
              <w:t>100.02</w:t>
            </w:r>
          </w:p>
        </w:tc>
        <w:tc>
          <w:tcPr>
            <w:tcW w:w="2268" w:type="dxa"/>
            <w:shd w:val="clear" w:color="auto" w:fill="auto"/>
            <w:vAlign w:val="center"/>
          </w:tcPr>
          <w:p w:rsidR="00E93EFC" w:rsidRDefault="008C2AEB">
            <w:pPr>
              <w:widowControl/>
              <w:jc w:val="center"/>
              <w:textAlignment w:val="center"/>
              <w:rPr>
                <w:rFonts w:ascii="Times New Roman" w:eastAsia="仿宋" w:hAnsi="Times New Roman" w:cs="Times New Roman"/>
                <w:sz w:val="32"/>
                <w:szCs w:val="32"/>
                <w:highlight w:val="yellow"/>
              </w:rPr>
            </w:pPr>
            <w:r>
              <w:rPr>
                <w:rFonts w:ascii="Times New Roman" w:eastAsia="宋体" w:hAnsi="Times New Roman" w:cs="Times New Roman"/>
                <w:color w:val="000000"/>
                <w:kern w:val="0"/>
                <w:sz w:val="28"/>
                <w:szCs w:val="28"/>
                <w:lang/>
              </w:rPr>
              <w:t>11,094.18</w:t>
            </w:r>
          </w:p>
        </w:tc>
      </w:tr>
      <w:tr w:rsidR="00E93EFC">
        <w:trPr>
          <w:jc w:val="center"/>
        </w:trPr>
        <w:tc>
          <w:tcPr>
            <w:tcW w:w="1413" w:type="dxa"/>
            <w:vMerge/>
            <w:vAlign w:val="center"/>
          </w:tcPr>
          <w:p w:rsidR="00E93EFC" w:rsidRDefault="00E93EFC">
            <w:pPr>
              <w:jc w:val="center"/>
              <w:rPr>
                <w:rFonts w:ascii="Times New Roman" w:eastAsia="仿宋" w:hAnsi="Times New Roman" w:cs="Times New Roman"/>
                <w:sz w:val="32"/>
                <w:szCs w:val="32"/>
              </w:rPr>
            </w:pPr>
          </w:p>
        </w:tc>
        <w:tc>
          <w:tcPr>
            <w:tcW w:w="1843" w:type="dxa"/>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占基金总份额比例</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color w:val="000000"/>
                <w:kern w:val="0"/>
                <w:sz w:val="32"/>
                <w:szCs w:val="32"/>
                <w:highlight w:val="yellow"/>
                <w:lang/>
              </w:rPr>
            </w:pPr>
            <w:r>
              <w:rPr>
                <w:rFonts w:ascii="Times New Roman" w:eastAsia="宋体" w:hAnsi="Times New Roman" w:cs="Times New Roman"/>
                <w:color w:val="000000"/>
                <w:kern w:val="0"/>
                <w:sz w:val="32"/>
                <w:szCs w:val="32"/>
                <w:lang/>
              </w:rPr>
              <w:t>0.0094%</w:t>
            </w:r>
          </w:p>
        </w:tc>
        <w:tc>
          <w:tcPr>
            <w:tcW w:w="2693" w:type="dxa"/>
            <w:shd w:val="clear" w:color="auto" w:fill="auto"/>
            <w:vAlign w:val="center"/>
          </w:tcPr>
          <w:p w:rsidR="00E93EFC" w:rsidRDefault="008C2AEB">
            <w:pPr>
              <w:widowControl/>
              <w:jc w:val="center"/>
              <w:textAlignment w:val="center"/>
              <w:rPr>
                <w:rFonts w:ascii="Times New Roman" w:eastAsia="仿宋" w:hAnsi="Times New Roman" w:cs="Times New Roman"/>
                <w:color w:val="000000"/>
                <w:kern w:val="0"/>
                <w:sz w:val="32"/>
                <w:szCs w:val="32"/>
                <w:highlight w:val="yellow"/>
                <w:lang/>
              </w:rPr>
            </w:pPr>
            <w:r>
              <w:rPr>
                <w:rFonts w:ascii="Times New Roman" w:eastAsia="宋体" w:hAnsi="Times New Roman" w:cs="Times New Roman"/>
                <w:color w:val="000000"/>
                <w:kern w:val="0"/>
                <w:sz w:val="32"/>
                <w:szCs w:val="32"/>
                <w:lang/>
              </w:rPr>
              <w:t>0.0001%</w:t>
            </w:r>
          </w:p>
        </w:tc>
        <w:tc>
          <w:tcPr>
            <w:tcW w:w="2268" w:type="dxa"/>
            <w:shd w:val="clear" w:color="auto" w:fill="auto"/>
            <w:vAlign w:val="center"/>
          </w:tcPr>
          <w:p w:rsidR="00E93EFC" w:rsidRDefault="008C2AEB">
            <w:pPr>
              <w:widowControl/>
              <w:jc w:val="center"/>
              <w:textAlignment w:val="center"/>
              <w:rPr>
                <w:rFonts w:ascii="Times New Roman" w:eastAsia="仿宋" w:hAnsi="Times New Roman" w:cs="Times New Roman"/>
                <w:color w:val="000000"/>
                <w:kern w:val="0"/>
                <w:sz w:val="32"/>
                <w:szCs w:val="32"/>
                <w:highlight w:val="yellow"/>
                <w:lang/>
              </w:rPr>
            </w:pPr>
            <w:r>
              <w:rPr>
                <w:rFonts w:ascii="Times New Roman" w:eastAsia="宋体" w:hAnsi="Times New Roman" w:cs="Times New Roman"/>
                <w:color w:val="000000"/>
                <w:kern w:val="0"/>
                <w:sz w:val="32"/>
                <w:szCs w:val="32"/>
                <w:lang/>
              </w:rPr>
              <w:t>0.00</w:t>
            </w:r>
            <w:r>
              <w:rPr>
                <w:rFonts w:ascii="Times New Roman" w:eastAsia="宋体" w:hAnsi="Times New Roman" w:cs="Times New Roman" w:hint="eastAsia"/>
                <w:color w:val="000000"/>
                <w:kern w:val="0"/>
                <w:sz w:val="32"/>
                <w:szCs w:val="32"/>
                <w:lang/>
              </w:rPr>
              <w:t>46</w:t>
            </w:r>
            <w:r>
              <w:rPr>
                <w:rFonts w:ascii="Times New Roman" w:eastAsia="宋体" w:hAnsi="Times New Roman" w:cs="Times New Roman"/>
                <w:color w:val="000000"/>
                <w:kern w:val="0"/>
                <w:sz w:val="32"/>
                <w:szCs w:val="32"/>
                <w:lang/>
              </w:rPr>
              <w:t>%</w:t>
            </w:r>
          </w:p>
        </w:tc>
      </w:tr>
      <w:tr w:rsidR="00E93EFC">
        <w:trPr>
          <w:jc w:val="center"/>
        </w:trPr>
        <w:tc>
          <w:tcPr>
            <w:tcW w:w="3256" w:type="dxa"/>
            <w:gridSpan w:val="2"/>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募集期限届满基金是否符合法律法规规定的办理基金备案手续的条件</w:t>
            </w:r>
          </w:p>
        </w:tc>
        <w:tc>
          <w:tcPr>
            <w:tcW w:w="7654" w:type="dxa"/>
            <w:gridSpan w:val="3"/>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是</w:t>
            </w:r>
          </w:p>
        </w:tc>
      </w:tr>
      <w:tr w:rsidR="00E93EFC">
        <w:trPr>
          <w:jc w:val="center"/>
        </w:trPr>
        <w:tc>
          <w:tcPr>
            <w:tcW w:w="3256" w:type="dxa"/>
            <w:gridSpan w:val="2"/>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向中国证监会办理基金备案手续获得书面确认的日期</w:t>
            </w:r>
          </w:p>
        </w:tc>
        <w:tc>
          <w:tcPr>
            <w:tcW w:w="7654" w:type="dxa"/>
            <w:gridSpan w:val="3"/>
            <w:shd w:val="clear" w:color="auto" w:fill="auto"/>
            <w:vAlign w:val="center"/>
          </w:tcPr>
          <w:p w:rsidR="00E93EFC" w:rsidRDefault="008C2AEB">
            <w:pPr>
              <w:jc w:val="center"/>
              <w:rPr>
                <w:rFonts w:ascii="Times New Roman" w:eastAsia="仿宋" w:hAnsi="Times New Roman" w:cs="Times New Roman"/>
                <w:sz w:val="32"/>
                <w:szCs w:val="32"/>
              </w:rPr>
            </w:pPr>
            <w:r>
              <w:rPr>
                <w:rFonts w:ascii="Times New Roman" w:eastAsia="仿宋" w:hAnsi="Times New Roman" w:cs="Times New Roman"/>
                <w:sz w:val="32"/>
                <w:szCs w:val="32"/>
              </w:rPr>
              <w:t>2025</w:t>
            </w:r>
            <w:r>
              <w:rPr>
                <w:rFonts w:ascii="Times New Roman" w:eastAsia="仿宋" w:hAnsi="Times New Roman" w:cs="Times New Roman"/>
                <w:sz w:val="32"/>
                <w:szCs w:val="32"/>
              </w:rPr>
              <w:t>年</w:t>
            </w:r>
            <w:r>
              <w:rPr>
                <w:rFonts w:ascii="Times New Roman" w:eastAsia="仿宋" w:hAnsi="Times New Roman" w:cs="Times New Roman"/>
                <w:sz w:val="32"/>
                <w:szCs w:val="32"/>
              </w:rPr>
              <w:t>11</w:t>
            </w:r>
            <w:r>
              <w:rPr>
                <w:rFonts w:ascii="Times New Roman" w:eastAsia="仿宋" w:hAnsi="Times New Roman" w:cs="Times New Roman"/>
                <w:sz w:val="32"/>
                <w:szCs w:val="32"/>
              </w:rPr>
              <w:t>月</w:t>
            </w:r>
            <w:r>
              <w:rPr>
                <w:rFonts w:ascii="Times New Roman" w:eastAsia="仿宋" w:hAnsi="Times New Roman" w:cs="Times New Roman"/>
                <w:sz w:val="32"/>
                <w:szCs w:val="32"/>
              </w:rPr>
              <w:t>27</w:t>
            </w:r>
            <w:r>
              <w:rPr>
                <w:rFonts w:ascii="Times New Roman" w:eastAsia="仿宋" w:hAnsi="Times New Roman" w:cs="Times New Roman"/>
                <w:sz w:val="32"/>
                <w:szCs w:val="32"/>
              </w:rPr>
              <w:t>日</w:t>
            </w:r>
          </w:p>
        </w:tc>
      </w:tr>
    </w:tbl>
    <w:p w:rsidR="00E93EFC" w:rsidRDefault="008C2AEB">
      <w:pPr>
        <w:pStyle w:val="Default"/>
        <w:spacing w:line="360" w:lineRule="auto"/>
        <w:ind w:firstLineChars="200" w:firstLine="640"/>
        <w:jc w:val="both"/>
        <w:rPr>
          <w:rFonts w:ascii="Times New Roman" w:eastAsia="仿宋" w:hAnsi="Times New Roman" w:cs="Times New Roman"/>
          <w:color w:val="auto"/>
          <w:sz w:val="32"/>
          <w:szCs w:val="32"/>
        </w:rPr>
      </w:pPr>
      <w:r>
        <w:rPr>
          <w:rFonts w:ascii="Times New Roman" w:eastAsia="仿宋" w:hAnsi="Times New Roman" w:cs="Times New Roman"/>
          <w:color w:val="auto"/>
          <w:sz w:val="32"/>
          <w:szCs w:val="32"/>
        </w:rPr>
        <w:t>注：</w:t>
      </w:r>
    </w:p>
    <w:p w:rsidR="00E93EFC" w:rsidRDefault="008C2AEB">
      <w:pPr>
        <w:pStyle w:val="Default"/>
        <w:spacing w:line="360" w:lineRule="auto"/>
        <w:ind w:firstLineChars="200" w:firstLine="640"/>
        <w:jc w:val="both"/>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w:t>
      </w:r>
      <w:r>
        <w:rPr>
          <w:rFonts w:ascii="Times New Roman" w:eastAsia="仿宋" w:hAnsi="Times New Roman" w:cs="Times New Roman" w:hint="eastAsia"/>
          <w:color w:val="auto"/>
          <w:sz w:val="32"/>
          <w:szCs w:val="32"/>
        </w:rPr>
        <w:t>1</w:t>
      </w:r>
      <w:r>
        <w:rPr>
          <w:rFonts w:ascii="Times New Roman" w:eastAsia="仿宋" w:hAnsi="Times New Roman" w:cs="Times New Roman" w:hint="eastAsia"/>
          <w:color w:val="auto"/>
          <w:sz w:val="32"/>
          <w:szCs w:val="32"/>
        </w:rPr>
        <w:t>）</w:t>
      </w:r>
      <w:r>
        <w:rPr>
          <w:rFonts w:ascii="Times New Roman" w:eastAsia="仿宋" w:hAnsi="Times New Roman" w:cs="Times New Roman"/>
          <w:color w:val="auto"/>
          <w:sz w:val="32"/>
          <w:szCs w:val="32"/>
        </w:rPr>
        <w:t>本基金合同生效前的律师费、会计师费、信息披露费由本基金管理人承担，不从基金资产中支付。</w:t>
      </w:r>
    </w:p>
    <w:p w:rsidR="00E93EFC" w:rsidRDefault="008C2AEB">
      <w:pPr>
        <w:pStyle w:val="Default"/>
        <w:spacing w:line="360" w:lineRule="auto"/>
        <w:ind w:firstLineChars="200" w:firstLine="640"/>
        <w:jc w:val="both"/>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w:t>
      </w:r>
      <w:r>
        <w:rPr>
          <w:rFonts w:ascii="Times New Roman" w:eastAsia="仿宋" w:hAnsi="Times New Roman" w:cs="Times New Roman" w:hint="eastAsia"/>
          <w:color w:val="auto"/>
          <w:sz w:val="32"/>
          <w:szCs w:val="32"/>
        </w:rPr>
        <w:t>2</w:t>
      </w:r>
      <w:r>
        <w:rPr>
          <w:rFonts w:ascii="Times New Roman" w:eastAsia="仿宋" w:hAnsi="Times New Roman" w:cs="Times New Roman" w:hint="eastAsia"/>
          <w:color w:val="auto"/>
          <w:sz w:val="32"/>
          <w:szCs w:val="32"/>
        </w:rPr>
        <w:t>）本公司高级管理人员、基金投资和研究部门负责人持有该只基金份额总量的数量区间为</w:t>
      </w:r>
      <w:r>
        <w:rPr>
          <w:rFonts w:ascii="Times New Roman" w:eastAsia="仿宋" w:hAnsi="Times New Roman" w:cs="Times New Roman"/>
          <w:color w:val="auto"/>
          <w:sz w:val="32"/>
          <w:szCs w:val="32"/>
        </w:rPr>
        <w:t>0</w:t>
      </w:r>
      <w:r>
        <w:rPr>
          <w:rFonts w:ascii="Times New Roman" w:eastAsia="仿宋" w:hAnsi="Times New Roman" w:cs="Times New Roman" w:hint="eastAsia"/>
          <w:color w:val="auto"/>
          <w:sz w:val="32"/>
          <w:szCs w:val="32"/>
        </w:rPr>
        <w:t>。</w:t>
      </w:r>
    </w:p>
    <w:p w:rsidR="00E93EFC" w:rsidRDefault="008C2AEB" w:rsidP="00EE7415">
      <w:pPr>
        <w:pStyle w:val="Default"/>
        <w:spacing w:line="360" w:lineRule="auto"/>
        <w:ind w:firstLineChars="200" w:firstLine="640"/>
        <w:jc w:val="both"/>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w:t>
      </w:r>
      <w:r>
        <w:rPr>
          <w:rFonts w:ascii="Times New Roman" w:eastAsia="仿宋" w:hAnsi="Times New Roman" w:cs="Times New Roman" w:hint="eastAsia"/>
          <w:color w:val="auto"/>
          <w:sz w:val="32"/>
          <w:szCs w:val="32"/>
        </w:rPr>
        <w:t>3</w:t>
      </w:r>
      <w:r>
        <w:rPr>
          <w:rFonts w:ascii="Times New Roman" w:eastAsia="仿宋" w:hAnsi="Times New Roman" w:cs="Times New Roman" w:hint="eastAsia"/>
          <w:color w:val="auto"/>
          <w:sz w:val="32"/>
          <w:szCs w:val="32"/>
        </w:rPr>
        <w:t>）本基金的基金经理持有本基金份额总量的数量区间为</w:t>
      </w:r>
      <w:r>
        <w:rPr>
          <w:rFonts w:ascii="Times New Roman" w:eastAsia="仿宋" w:hAnsi="Times New Roman" w:cs="Times New Roman" w:hint="eastAsia"/>
          <w:color w:val="auto"/>
          <w:sz w:val="32"/>
          <w:szCs w:val="32"/>
        </w:rPr>
        <w:t>0</w:t>
      </w:r>
      <w:r>
        <w:rPr>
          <w:rFonts w:ascii="Times New Roman" w:eastAsia="仿宋" w:hAnsi="Times New Roman" w:cs="Times New Roman" w:hint="eastAsia"/>
          <w:color w:val="auto"/>
          <w:sz w:val="32"/>
          <w:szCs w:val="32"/>
        </w:rPr>
        <w:t>。</w:t>
      </w:r>
    </w:p>
    <w:p w:rsidR="00E93EFC" w:rsidRDefault="008C2AEB" w:rsidP="00D8416A">
      <w:pPr>
        <w:spacing w:line="560" w:lineRule="exact"/>
        <w:ind w:firstLineChars="200" w:firstLine="640"/>
        <w:rPr>
          <w:rFonts w:ascii="Times New Roman" w:eastAsia="仿宋" w:hAnsi="Times New Roman" w:cs="Times New Roman"/>
          <w:b/>
          <w:sz w:val="32"/>
          <w:szCs w:val="32"/>
        </w:rPr>
      </w:pPr>
      <w:bookmarkStart w:id="2" w:name="_GoBack"/>
      <w:bookmarkStart w:id="3" w:name="_Toc275961393"/>
      <w:bookmarkEnd w:id="2"/>
      <w:r>
        <w:rPr>
          <w:rFonts w:ascii="Times New Roman" w:eastAsia="仿宋" w:hAnsi="Times New Roman" w:cs="Times New Roman"/>
          <w:b/>
          <w:sz w:val="32"/>
          <w:szCs w:val="32"/>
        </w:rPr>
        <w:t>3</w:t>
      </w:r>
      <w:r>
        <w:rPr>
          <w:rFonts w:ascii="Times New Roman" w:eastAsia="仿宋" w:hAnsi="Times New Roman" w:cs="Times New Roman"/>
          <w:b/>
          <w:sz w:val="32"/>
          <w:szCs w:val="32"/>
        </w:rPr>
        <w:t>．其他需要提示的事项</w:t>
      </w:r>
      <w:bookmarkEnd w:id="3"/>
    </w:p>
    <w:p w:rsidR="00E93EFC" w:rsidRDefault="008C2AEB">
      <w:pPr>
        <w:autoSpaceDE w:val="0"/>
        <w:autoSpaceDN w:val="0"/>
        <w:adjustRightIn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销售机构受理认购申请并不表示该申请已经成功，而仅代表销售机构确实收到了认购申请。申请是否有效应以基金登记机构的确认为准。基金份额持有人可以到本基金销售机构的网点查询交易确认情况，也可以通过本基金管理人的网站（</w:t>
      </w:r>
      <w:hyperlink r:id="rId7" w:history="1">
        <w:r>
          <w:rPr>
            <w:rStyle w:val="aa"/>
            <w:rFonts w:ascii="Times New Roman" w:eastAsia="仿宋" w:hAnsi="Times New Roman" w:cs="Times New Roman"/>
            <w:sz w:val="32"/>
            <w:szCs w:val="32"/>
          </w:rPr>
          <w:t>www.glfund.com</w:t>
        </w:r>
      </w:hyperlink>
      <w:r>
        <w:rPr>
          <w:rFonts w:ascii="Times New Roman" w:eastAsia="仿宋" w:hAnsi="Times New Roman" w:cs="Times New Roman" w:hint="eastAsia"/>
          <w:sz w:val="32"/>
          <w:szCs w:val="32"/>
        </w:rPr>
        <w:t>）或客户服务电话（</w:t>
      </w:r>
      <w:r>
        <w:rPr>
          <w:rFonts w:ascii="Times New Roman" w:eastAsia="仿宋" w:hAnsi="Times New Roman" w:cs="Times New Roman"/>
          <w:sz w:val="32"/>
          <w:szCs w:val="32"/>
        </w:rPr>
        <w:t>010-56517299</w:t>
      </w:r>
      <w:r>
        <w:rPr>
          <w:rFonts w:ascii="Times New Roman" w:eastAsia="仿宋" w:hAnsi="Times New Roman" w:cs="Times New Roman" w:hint="eastAsia"/>
          <w:sz w:val="32"/>
          <w:szCs w:val="32"/>
        </w:rPr>
        <w:t>、</w:t>
      </w:r>
      <w:r>
        <w:rPr>
          <w:rFonts w:ascii="Times New Roman" w:eastAsia="仿宋" w:hAnsi="Times New Roman" w:cs="Times New Roman"/>
          <w:sz w:val="32"/>
          <w:szCs w:val="32"/>
        </w:rPr>
        <w:t>400-160-6000</w:t>
      </w:r>
      <w:r>
        <w:rPr>
          <w:rFonts w:ascii="Times New Roman" w:eastAsia="仿宋" w:hAnsi="Times New Roman" w:cs="Times New Roman" w:hint="eastAsia"/>
          <w:sz w:val="32"/>
          <w:szCs w:val="32"/>
        </w:rPr>
        <w:t>）查询交易确认情况。</w:t>
      </w:r>
    </w:p>
    <w:p w:rsidR="00E93EFC" w:rsidRDefault="008C2AEB">
      <w:pPr>
        <w:autoSpaceDE w:val="0"/>
        <w:autoSpaceDN w:val="0"/>
        <w:adjustRightIn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风险提示：本公司承诺以诚实信用、勤勉尽责的原则管理和运用基金资产，但不保证基金一定盈利，也不保证最低收益。敬请投资者留意投资风险。</w:t>
      </w:r>
    </w:p>
    <w:p w:rsidR="00E93EFC" w:rsidRDefault="008C2AEB">
      <w:pPr>
        <w:autoSpaceDE w:val="0"/>
        <w:autoSpaceDN w:val="0"/>
        <w:adjustRightIn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特此公告。</w:t>
      </w:r>
    </w:p>
    <w:p w:rsidR="00E93EFC" w:rsidRDefault="00E93EFC">
      <w:pPr>
        <w:autoSpaceDE w:val="0"/>
        <w:autoSpaceDN w:val="0"/>
        <w:adjustRightInd w:val="0"/>
        <w:spacing w:line="360" w:lineRule="auto"/>
        <w:rPr>
          <w:rFonts w:ascii="Times New Roman" w:eastAsia="仿宋" w:hAnsi="Times New Roman" w:cs="Times New Roman"/>
          <w:sz w:val="32"/>
          <w:szCs w:val="32"/>
        </w:rPr>
      </w:pPr>
    </w:p>
    <w:p w:rsidR="00E93EFC" w:rsidRDefault="00E93EFC">
      <w:pPr>
        <w:autoSpaceDE w:val="0"/>
        <w:autoSpaceDN w:val="0"/>
        <w:adjustRightInd w:val="0"/>
        <w:spacing w:line="360" w:lineRule="auto"/>
        <w:rPr>
          <w:rFonts w:ascii="Times New Roman" w:eastAsia="仿宋" w:hAnsi="Times New Roman" w:cs="Times New Roman"/>
          <w:sz w:val="32"/>
          <w:szCs w:val="32"/>
        </w:rPr>
      </w:pPr>
    </w:p>
    <w:p w:rsidR="00E93EFC" w:rsidRDefault="008C2AEB">
      <w:pPr>
        <w:autoSpaceDE w:val="0"/>
        <w:autoSpaceDN w:val="0"/>
        <w:adjustRightInd w:val="0"/>
        <w:spacing w:line="360" w:lineRule="auto"/>
        <w:ind w:firstLineChars="200" w:firstLine="640"/>
        <w:jc w:val="right"/>
        <w:rPr>
          <w:rFonts w:ascii="Times New Roman" w:eastAsia="仿宋" w:hAnsi="Times New Roman" w:cs="Times New Roman"/>
          <w:sz w:val="32"/>
          <w:szCs w:val="32"/>
        </w:rPr>
      </w:pPr>
      <w:r>
        <w:rPr>
          <w:rFonts w:ascii="Times New Roman" w:eastAsia="仿宋" w:hAnsi="Times New Roman" w:cs="Times New Roman" w:hint="eastAsia"/>
          <w:sz w:val="32"/>
          <w:szCs w:val="32"/>
        </w:rPr>
        <w:t>国联基金管理有限公司</w:t>
      </w:r>
    </w:p>
    <w:p w:rsidR="00E93EFC" w:rsidRDefault="008C2AEB">
      <w:pPr>
        <w:wordWrap w:val="0"/>
        <w:autoSpaceDE w:val="0"/>
        <w:autoSpaceDN w:val="0"/>
        <w:adjustRightInd w:val="0"/>
        <w:spacing w:line="360" w:lineRule="auto"/>
        <w:ind w:firstLineChars="200"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2025</w:t>
      </w:r>
      <w:r>
        <w:rPr>
          <w:rFonts w:ascii="Times New Roman" w:eastAsia="仿宋" w:hAnsi="Times New Roman" w:cs="Times New Roman" w:hint="eastAsia"/>
          <w:sz w:val="32"/>
          <w:szCs w:val="32"/>
        </w:rPr>
        <w:t>年</w:t>
      </w:r>
      <w:r>
        <w:rPr>
          <w:rFonts w:ascii="Times New Roman" w:eastAsia="仿宋" w:hAnsi="Times New Roman" w:cs="Times New Roman"/>
          <w:sz w:val="32"/>
          <w:szCs w:val="32"/>
        </w:rPr>
        <w:t>11</w:t>
      </w:r>
      <w:r>
        <w:rPr>
          <w:rFonts w:ascii="Times New Roman" w:eastAsia="仿宋" w:hAnsi="Times New Roman" w:cs="Times New Roman" w:hint="eastAsia"/>
          <w:sz w:val="32"/>
          <w:szCs w:val="32"/>
        </w:rPr>
        <w:t>月</w:t>
      </w:r>
      <w:r>
        <w:rPr>
          <w:rFonts w:ascii="Times New Roman" w:eastAsia="仿宋" w:hAnsi="Times New Roman" w:cs="Times New Roman"/>
          <w:sz w:val="32"/>
          <w:szCs w:val="32"/>
        </w:rPr>
        <w:t>28</w:t>
      </w:r>
      <w:r>
        <w:rPr>
          <w:rFonts w:ascii="Times New Roman" w:eastAsia="仿宋" w:hAnsi="Times New Roman" w:cs="Times New Roman" w:hint="eastAsia"/>
          <w:sz w:val="32"/>
          <w:szCs w:val="32"/>
        </w:rPr>
        <w:t>日</w:t>
      </w:r>
    </w:p>
    <w:sectPr w:rsidR="00E93EFC" w:rsidSect="00B307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966" w:rsidRDefault="00904966" w:rsidP="00626B8E">
      <w:r>
        <w:separator/>
      </w:r>
    </w:p>
  </w:endnote>
  <w:endnote w:type="continuationSeparator" w:id="0">
    <w:p w:rsidR="00904966" w:rsidRDefault="00904966" w:rsidP="00626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966" w:rsidRDefault="00904966" w:rsidP="00626B8E">
      <w:r>
        <w:separator/>
      </w:r>
    </w:p>
  </w:footnote>
  <w:footnote w:type="continuationSeparator" w:id="0">
    <w:p w:rsidR="00904966" w:rsidRDefault="00904966" w:rsidP="00626B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UyNjY5MTNjZWEzOGZlMTNlYzhjOGU1ZmE5YjkwZmYifQ=="/>
  </w:docVars>
  <w:rsids>
    <w:rsidRoot w:val="00E20B1B"/>
    <w:rsid w:val="000017ED"/>
    <w:rsid w:val="00001C8D"/>
    <w:rsid w:val="000047D0"/>
    <w:rsid w:val="000071A3"/>
    <w:rsid w:val="000139FD"/>
    <w:rsid w:val="00014141"/>
    <w:rsid w:val="00015E3A"/>
    <w:rsid w:val="000214CF"/>
    <w:rsid w:val="00021D99"/>
    <w:rsid w:val="00023742"/>
    <w:rsid w:val="00025BC1"/>
    <w:rsid w:val="00030BF7"/>
    <w:rsid w:val="000312F3"/>
    <w:rsid w:val="00031934"/>
    <w:rsid w:val="0003510A"/>
    <w:rsid w:val="0004141C"/>
    <w:rsid w:val="000430D0"/>
    <w:rsid w:val="0005190F"/>
    <w:rsid w:val="0005355C"/>
    <w:rsid w:val="000535DB"/>
    <w:rsid w:val="0005524E"/>
    <w:rsid w:val="00064409"/>
    <w:rsid w:val="00071C32"/>
    <w:rsid w:val="00072E16"/>
    <w:rsid w:val="00073D91"/>
    <w:rsid w:val="000754AE"/>
    <w:rsid w:val="000802E0"/>
    <w:rsid w:val="0008341F"/>
    <w:rsid w:val="00087C41"/>
    <w:rsid w:val="000943E7"/>
    <w:rsid w:val="000A2C5E"/>
    <w:rsid w:val="000A2F1C"/>
    <w:rsid w:val="000A680D"/>
    <w:rsid w:val="000B04DB"/>
    <w:rsid w:val="000B28CE"/>
    <w:rsid w:val="000B4C1F"/>
    <w:rsid w:val="000C7377"/>
    <w:rsid w:val="000C79A0"/>
    <w:rsid w:val="000C7F59"/>
    <w:rsid w:val="000D4413"/>
    <w:rsid w:val="000F0C9A"/>
    <w:rsid w:val="001117CE"/>
    <w:rsid w:val="001205A5"/>
    <w:rsid w:val="00120A88"/>
    <w:rsid w:val="00127E90"/>
    <w:rsid w:val="00132B0A"/>
    <w:rsid w:val="00133E74"/>
    <w:rsid w:val="00135F09"/>
    <w:rsid w:val="001414CF"/>
    <w:rsid w:val="001448F7"/>
    <w:rsid w:val="00146E5E"/>
    <w:rsid w:val="001477E7"/>
    <w:rsid w:val="00150FD0"/>
    <w:rsid w:val="00161965"/>
    <w:rsid w:val="00161A35"/>
    <w:rsid w:val="00162810"/>
    <w:rsid w:val="00164B37"/>
    <w:rsid w:val="00164D45"/>
    <w:rsid w:val="001651C6"/>
    <w:rsid w:val="00166889"/>
    <w:rsid w:val="00171B2A"/>
    <w:rsid w:val="00176635"/>
    <w:rsid w:val="00184350"/>
    <w:rsid w:val="00187FDF"/>
    <w:rsid w:val="00192561"/>
    <w:rsid w:val="00194363"/>
    <w:rsid w:val="00194C40"/>
    <w:rsid w:val="001A3440"/>
    <w:rsid w:val="001A4930"/>
    <w:rsid w:val="001A66D4"/>
    <w:rsid w:val="001A77D3"/>
    <w:rsid w:val="001B0F5F"/>
    <w:rsid w:val="001B7A4E"/>
    <w:rsid w:val="001C03F1"/>
    <w:rsid w:val="001C226C"/>
    <w:rsid w:val="001C27C4"/>
    <w:rsid w:val="001C45B6"/>
    <w:rsid w:val="001C4CE5"/>
    <w:rsid w:val="001C56DB"/>
    <w:rsid w:val="001D0511"/>
    <w:rsid w:val="001D1F51"/>
    <w:rsid w:val="001D6366"/>
    <w:rsid w:val="001D79DB"/>
    <w:rsid w:val="001E1161"/>
    <w:rsid w:val="001E42AB"/>
    <w:rsid w:val="001F1BDA"/>
    <w:rsid w:val="001F5C0D"/>
    <w:rsid w:val="001F5F72"/>
    <w:rsid w:val="001F67B3"/>
    <w:rsid w:val="00201A16"/>
    <w:rsid w:val="00203986"/>
    <w:rsid w:val="0020399A"/>
    <w:rsid w:val="002127E5"/>
    <w:rsid w:val="00221DB1"/>
    <w:rsid w:val="00224AC5"/>
    <w:rsid w:val="0023058B"/>
    <w:rsid w:val="0023325A"/>
    <w:rsid w:val="002339DD"/>
    <w:rsid w:val="00233FCD"/>
    <w:rsid w:val="00237CBD"/>
    <w:rsid w:val="0024524A"/>
    <w:rsid w:val="002503EA"/>
    <w:rsid w:val="002615F9"/>
    <w:rsid w:val="0026788D"/>
    <w:rsid w:val="00267AF8"/>
    <w:rsid w:val="00267DFB"/>
    <w:rsid w:val="00277671"/>
    <w:rsid w:val="002860C6"/>
    <w:rsid w:val="00286E2F"/>
    <w:rsid w:val="002A2EAB"/>
    <w:rsid w:val="002A530B"/>
    <w:rsid w:val="002B4ABA"/>
    <w:rsid w:val="002C04EA"/>
    <w:rsid w:val="002D06C1"/>
    <w:rsid w:val="002D51C6"/>
    <w:rsid w:val="002E34F2"/>
    <w:rsid w:val="002E6B7A"/>
    <w:rsid w:val="00303FB6"/>
    <w:rsid w:val="003253AE"/>
    <w:rsid w:val="003275B6"/>
    <w:rsid w:val="00340ABE"/>
    <w:rsid w:val="0034399A"/>
    <w:rsid w:val="0034537E"/>
    <w:rsid w:val="00346655"/>
    <w:rsid w:val="00346695"/>
    <w:rsid w:val="00350140"/>
    <w:rsid w:val="00350D23"/>
    <w:rsid w:val="00352526"/>
    <w:rsid w:val="00355B9E"/>
    <w:rsid w:val="00355BB6"/>
    <w:rsid w:val="00361596"/>
    <w:rsid w:val="00362155"/>
    <w:rsid w:val="003624C3"/>
    <w:rsid w:val="003631AD"/>
    <w:rsid w:val="00371605"/>
    <w:rsid w:val="00373D9D"/>
    <w:rsid w:val="003A77BB"/>
    <w:rsid w:val="003B048E"/>
    <w:rsid w:val="003B0C35"/>
    <w:rsid w:val="003B3643"/>
    <w:rsid w:val="003B4C64"/>
    <w:rsid w:val="003B558B"/>
    <w:rsid w:val="003B6F74"/>
    <w:rsid w:val="003D198A"/>
    <w:rsid w:val="003D4F5E"/>
    <w:rsid w:val="003D7E59"/>
    <w:rsid w:val="003E7D93"/>
    <w:rsid w:val="003F0032"/>
    <w:rsid w:val="003F3BC3"/>
    <w:rsid w:val="003F651D"/>
    <w:rsid w:val="0040489C"/>
    <w:rsid w:val="004056E3"/>
    <w:rsid w:val="00415B69"/>
    <w:rsid w:val="004306F1"/>
    <w:rsid w:val="00432C63"/>
    <w:rsid w:val="004435C8"/>
    <w:rsid w:val="004447F7"/>
    <w:rsid w:val="00452D9C"/>
    <w:rsid w:val="0045348C"/>
    <w:rsid w:val="00456FD0"/>
    <w:rsid w:val="00466758"/>
    <w:rsid w:val="00485777"/>
    <w:rsid w:val="00490FFB"/>
    <w:rsid w:val="00492EE6"/>
    <w:rsid w:val="00495C7A"/>
    <w:rsid w:val="00495E01"/>
    <w:rsid w:val="00496C54"/>
    <w:rsid w:val="004A13E7"/>
    <w:rsid w:val="004A24C3"/>
    <w:rsid w:val="004A26FB"/>
    <w:rsid w:val="004A5811"/>
    <w:rsid w:val="004B030A"/>
    <w:rsid w:val="004B4AD8"/>
    <w:rsid w:val="004B65D7"/>
    <w:rsid w:val="004B7938"/>
    <w:rsid w:val="004C48AB"/>
    <w:rsid w:val="004D0D1A"/>
    <w:rsid w:val="004D2133"/>
    <w:rsid w:val="004D2D70"/>
    <w:rsid w:val="004D3DD1"/>
    <w:rsid w:val="004D7322"/>
    <w:rsid w:val="004E41DA"/>
    <w:rsid w:val="004F1D31"/>
    <w:rsid w:val="004F1EC1"/>
    <w:rsid w:val="004F3505"/>
    <w:rsid w:val="004F50AA"/>
    <w:rsid w:val="005009A2"/>
    <w:rsid w:val="00502EE7"/>
    <w:rsid w:val="005034D6"/>
    <w:rsid w:val="00504835"/>
    <w:rsid w:val="00513C13"/>
    <w:rsid w:val="00520AD8"/>
    <w:rsid w:val="00521DDC"/>
    <w:rsid w:val="00522B09"/>
    <w:rsid w:val="00525A9A"/>
    <w:rsid w:val="00525F19"/>
    <w:rsid w:val="00527467"/>
    <w:rsid w:val="00530B15"/>
    <w:rsid w:val="0053151C"/>
    <w:rsid w:val="005503E2"/>
    <w:rsid w:val="00552D48"/>
    <w:rsid w:val="00560B2B"/>
    <w:rsid w:val="005622CD"/>
    <w:rsid w:val="00563138"/>
    <w:rsid w:val="005632F0"/>
    <w:rsid w:val="00563D3E"/>
    <w:rsid w:val="0056692C"/>
    <w:rsid w:val="005707E4"/>
    <w:rsid w:val="00570821"/>
    <w:rsid w:val="00572465"/>
    <w:rsid w:val="005847CA"/>
    <w:rsid w:val="00585112"/>
    <w:rsid w:val="00585DA7"/>
    <w:rsid w:val="00586894"/>
    <w:rsid w:val="00597942"/>
    <w:rsid w:val="005B5780"/>
    <w:rsid w:val="005C35F9"/>
    <w:rsid w:val="005D6404"/>
    <w:rsid w:val="005D744B"/>
    <w:rsid w:val="005E6C1D"/>
    <w:rsid w:val="005F0A6E"/>
    <w:rsid w:val="005F193A"/>
    <w:rsid w:val="005F3E04"/>
    <w:rsid w:val="005F4C47"/>
    <w:rsid w:val="005F5C26"/>
    <w:rsid w:val="0060506E"/>
    <w:rsid w:val="00607D28"/>
    <w:rsid w:val="00611984"/>
    <w:rsid w:val="00611FCF"/>
    <w:rsid w:val="00613E96"/>
    <w:rsid w:val="00613F1F"/>
    <w:rsid w:val="0061511C"/>
    <w:rsid w:val="00621FF4"/>
    <w:rsid w:val="00626B8E"/>
    <w:rsid w:val="006274A0"/>
    <w:rsid w:val="00631123"/>
    <w:rsid w:val="00641B16"/>
    <w:rsid w:val="00643E72"/>
    <w:rsid w:val="0065481D"/>
    <w:rsid w:val="00654D5A"/>
    <w:rsid w:val="00654E37"/>
    <w:rsid w:val="006573DB"/>
    <w:rsid w:val="006578F1"/>
    <w:rsid w:val="00662C99"/>
    <w:rsid w:val="00662F2D"/>
    <w:rsid w:val="00666BF6"/>
    <w:rsid w:val="006722E0"/>
    <w:rsid w:val="00672723"/>
    <w:rsid w:val="00686DBA"/>
    <w:rsid w:val="006911B7"/>
    <w:rsid w:val="0069450D"/>
    <w:rsid w:val="006960E1"/>
    <w:rsid w:val="00697BB8"/>
    <w:rsid w:val="006A100E"/>
    <w:rsid w:val="006A1AD7"/>
    <w:rsid w:val="006A4FEA"/>
    <w:rsid w:val="006A6BB7"/>
    <w:rsid w:val="006A7487"/>
    <w:rsid w:val="006B2DE7"/>
    <w:rsid w:val="006C348B"/>
    <w:rsid w:val="006C5F8F"/>
    <w:rsid w:val="006C672D"/>
    <w:rsid w:val="006D17EF"/>
    <w:rsid w:val="006D3E9F"/>
    <w:rsid w:val="006D5DB8"/>
    <w:rsid w:val="006E5E00"/>
    <w:rsid w:val="006E64E8"/>
    <w:rsid w:val="006F48A0"/>
    <w:rsid w:val="006F48B4"/>
    <w:rsid w:val="007036C7"/>
    <w:rsid w:val="00703B61"/>
    <w:rsid w:val="00703C38"/>
    <w:rsid w:val="00703CEB"/>
    <w:rsid w:val="007044C7"/>
    <w:rsid w:val="00707385"/>
    <w:rsid w:val="00712D86"/>
    <w:rsid w:val="00713CF0"/>
    <w:rsid w:val="00715768"/>
    <w:rsid w:val="007208DD"/>
    <w:rsid w:val="0072197C"/>
    <w:rsid w:val="00722DF6"/>
    <w:rsid w:val="00725CA4"/>
    <w:rsid w:val="00727640"/>
    <w:rsid w:val="007305C6"/>
    <w:rsid w:val="007348CA"/>
    <w:rsid w:val="00736753"/>
    <w:rsid w:val="0073772B"/>
    <w:rsid w:val="00741063"/>
    <w:rsid w:val="00744672"/>
    <w:rsid w:val="00745AF1"/>
    <w:rsid w:val="00745D1D"/>
    <w:rsid w:val="00747000"/>
    <w:rsid w:val="0075457F"/>
    <w:rsid w:val="00754892"/>
    <w:rsid w:val="007608F4"/>
    <w:rsid w:val="00760A50"/>
    <w:rsid w:val="00764D9B"/>
    <w:rsid w:val="007679A3"/>
    <w:rsid w:val="00770F01"/>
    <w:rsid w:val="007712E0"/>
    <w:rsid w:val="00771E26"/>
    <w:rsid w:val="0077309D"/>
    <w:rsid w:val="0077446A"/>
    <w:rsid w:val="00782725"/>
    <w:rsid w:val="007849A6"/>
    <w:rsid w:val="007933BE"/>
    <w:rsid w:val="007945BC"/>
    <w:rsid w:val="007948A5"/>
    <w:rsid w:val="00795DBB"/>
    <w:rsid w:val="00795FEB"/>
    <w:rsid w:val="007A18AF"/>
    <w:rsid w:val="007B6F41"/>
    <w:rsid w:val="007D0566"/>
    <w:rsid w:val="007D2410"/>
    <w:rsid w:val="007D647B"/>
    <w:rsid w:val="007E42A3"/>
    <w:rsid w:val="007E6031"/>
    <w:rsid w:val="007E6BE6"/>
    <w:rsid w:val="007E7C7F"/>
    <w:rsid w:val="007F39A8"/>
    <w:rsid w:val="007F4B49"/>
    <w:rsid w:val="00810A1D"/>
    <w:rsid w:val="00816630"/>
    <w:rsid w:val="00825186"/>
    <w:rsid w:val="0083392D"/>
    <w:rsid w:val="00850ACF"/>
    <w:rsid w:val="00850DFF"/>
    <w:rsid w:val="00851450"/>
    <w:rsid w:val="008544C6"/>
    <w:rsid w:val="00854E7B"/>
    <w:rsid w:val="00856D78"/>
    <w:rsid w:val="00860DCE"/>
    <w:rsid w:val="008622A4"/>
    <w:rsid w:val="00863DA4"/>
    <w:rsid w:val="0087169A"/>
    <w:rsid w:val="00871D85"/>
    <w:rsid w:val="008736B1"/>
    <w:rsid w:val="00875BAE"/>
    <w:rsid w:val="0088182E"/>
    <w:rsid w:val="00887CC9"/>
    <w:rsid w:val="00890C5A"/>
    <w:rsid w:val="00891690"/>
    <w:rsid w:val="00895075"/>
    <w:rsid w:val="008A0533"/>
    <w:rsid w:val="008A26B5"/>
    <w:rsid w:val="008A2D61"/>
    <w:rsid w:val="008B2D91"/>
    <w:rsid w:val="008B7926"/>
    <w:rsid w:val="008C05DC"/>
    <w:rsid w:val="008C2AEB"/>
    <w:rsid w:val="008C3746"/>
    <w:rsid w:val="008D1FB8"/>
    <w:rsid w:val="008D391D"/>
    <w:rsid w:val="008E342C"/>
    <w:rsid w:val="008E6C03"/>
    <w:rsid w:val="008E753A"/>
    <w:rsid w:val="008E7CC1"/>
    <w:rsid w:val="008F2BA3"/>
    <w:rsid w:val="008F768E"/>
    <w:rsid w:val="00903765"/>
    <w:rsid w:val="00904966"/>
    <w:rsid w:val="00906741"/>
    <w:rsid w:val="00913476"/>
    <w:rsid w:val="00913500"/>
    <w:rsid w:val="00913D07"/>
    <w:rsid w:val="009200B9"/>
    <w:rsid w:val="00921F08"/>
    <w:rsid w:val="00925E41"/>
    <w:rsid w:val="009274C3"/>
    <w:rsid w:val="009325DC"/>
    <w:rsid w:val="00934575"/>
    <w:rsid w:val="00940CF9"/>
    <w:rsid w:val="00942476"/>
    <w:rsid w:val="0094277F"/>
    <w:rsid w:val="00946786"/>
    <w:rsid w:val="0094795F"/>
    <w:rsid w:val="00951AE1"/>
    <w:rsid w:val="009528E5"/>
    <w:rsid w:val="00952F7E"/>
    <w:rsid w:val="00956675"/>
    <w:rsid w:val="00963D9B"/>
    <w:rsid w:val="00965EE8"/>
    <w:rsid w:val="00965F93"/>
    <w:rsid w:val="00971B99"/>
    <w:rsid w:val="00980FCF"/>
    <w:rsid w:val="00981CB5"/>
    <w:rsid w:val="00982E58"/>
    <w:rsid w:val="00991DED"/>
    <w:rsid w:val="009A2B30"/>
    <w:rsid w:val="009A3CFD"/>
    <w:rsid w:val="009B1773"/>
    <w:rsid w:val="009C2630"/>
    <w:rsid w:val="009C4A1F"/>
    <w:rsid w:val="009D2D9D"/>
    <w:rsid w:val="009D2FF0"/>
    <w:rsid w:val="009D3315"/>
    <w:rsid w:val="009D5EA4"/>
    <w:rsid w:val="009E0E37"/>
    <w:rsid w:val="009E5916"/>
    <w:rsid w:val="009F0F1E"/>
    <w:rsid w:val="009F5950"/>
    <w:rsid w:val="009F5AB8"/>
    <w:rsid w:val="00A01626"/>
    <w:rsid w:val="00A06923"/>
    <w:rsid w:val="00A07C19"/>
    <w:rsid w:val="00A13A7A"/>
    <w:rsid w:val="00A17107"/>
    <w:rsid w:val="00A20EEA"/>
    <w:rsid w:val="00A308D5"/>
    <w:rsid w:val="00A33159"/>
    <w:rsid w:val="00A35DD9"/>
    <w:rsid w:val="00A376C6"/>
    <w:rsid w:val="00A42C0A"/>
    <w:rsid w:val="00A440B3"/>
    <w:rsid w:val="00A51838"/>
    <w:rsid w:val="00A52016"/>
    <w:rsid w:val="00A524E3"/>
    <w:rsid w:val="00A63A0D"/>
    <w:rsid w:val="00A675EF"/>
    <w:rsid w:val="00A67FB1"/>
    <w:rsid w:val="00A72B12"/>
    <w:rsid w:val="00A739A6"/>
    <w:rsid w:val="00A80102"/>
    <w:rsid w:val="00A80602"/>
    <w:rsid w:val="00A81BA0"/>
    <w:rsid w:val="00A858F0"/>
    <w:rsid w:val="00A85A8A"/>
    <w:rsid w:val="00A90DF6"/>
    <w:rsid w:val="00A93541"/>
    <w:rsid w:val="00AA057B"/>
    <w:rsid w:val="00AA7ACC"/>
    <w:rsid w:val="00AB3247"/>
    <w:rsid w:val="00AB3B6A"/>
    <w:rsid w:val="00AB516A"/>
    <w:rsid w:val="00AB5ABB"/>
    <w:rsid w:val="00AB5D56"/>
    <w:rsid w:val="00AC3ED7"/>
    <w:rsid w:val="00AC4998"/>
    <w:rsid w:val="00AC4E3D"/>
    <w:rsid w:val="00AD6038"/>
    <w:rsid w:val="00AD6923"/>
    <w:rsid w:val="00AD789B"/>
    <w:rsid w:val="00AD7BEE"/>
    <w:rsid w:val="00AE05BE"/>
    <w:rsid w:val="00AE4DE3"/>
    <w:rsid w:val="00AE7400"/>
    <w:rsid w:val="00B0265F"/>
    <w:rsid w:val="00B10766"/>
    <w:rsid w:val="00B1580B"/>
    <w:rsid w:val="00B20E86"/>
    <w:rsid w:val="00B24C20"/>
    <w:rsid w:val="00B27643"/>
    <w:rsid w:val="00B3074D"/>
    <w:rsid w:val="00B3440F"/>
    <w:rsid w:val="00B40C58"/>
    <w:rsid w:val="00B51A22"/>
    <w:rsid w:val="00B66F3E"/>
    <w:rsid w:val="00B76E4B"/>
    <w:rsid w:val="00B818C3"/>
    <w:rsid w:val="00B82BB5"/>
    <w:rsid w:val="00B85995"/>
    <w:rsid w:val="00B86FEE"/>
    <w:rsid w:val="00B907CB"/>
    <w:rsid w:val="00B92B00"/>
    <w:rsid w:val="00BA4CEE"/>
    <w:rsid w:val="00BA4D58"/>
    <w:rsid w:val="00BA4EC9"/>
    <w:rsid w:val="00BA5400"/>
    <w:rsid w:val="00BB06BD"/>
    <w:rsid w:val="00BB09FB"/>
    <w:rsid w:val="00BB549B"/>
    <w:rsid w:val="00BB72DD"/>
    <w:rsid w:val="00BC1B55"/>
    <w:rsid w:val="00BC24A6"/>
    <w:rsid w:val="00BC2D2A"/>
    <w:rsid w:val="00BD0A4D"/>
    <w:rsid w:val="00BD2F49"/>
    <w:rsid w:val="00BD4078"/>
    <w:rsid w:val="00BD5990"/>
    <w:rsid w:val="00BF1B3A"/>
    <w:rsid w:val="00BF2D2A"/>
    <w:rsid w:val="00BF767D"/>
    <w:rsid w:val="00C02054"/>
    <w:rsid w:val="00C0635D"/>
    <w:rsid w:val="00C069D8"/>
    <w:rsid w:val="00C159A2"/>
    <w:rsid w:val="00C27A66"/>
    <w:rsid w:val="00C45D4E"/>
    <w:rsid w:val="00C54B88"/>
    <w:rsid w:val="00C55C90"/>
    <w:rsid w:val="00C64CCA"/>
    <w:rsid w:val="00C653A9"/>
    <w:rsid w:val="00C7117A"/>
    <w:rsid w:val="00C74FED"/>
    <w:rsid w:val="00C8489F"/>
    <w:rsid w:val="00CA1FB9"/>
    <w:rsid w:val="00CA397E"/>
    <w:rsid w:val="00CA39B2"/>
    <w:rsid w:val="00CB373F"/>
    <w:rsid w:val="00CB4590"/>
    <w:rsid w:val="00CB5CC4"/>
    <w:rsid w:val="00CC1ABA"/>
    <w:rsid w:val="00CC3154"/>
    <w:rsid w:val="00CC785C"/>
    <w:rsid w:val="00CD1F76"/>
    <w:rsid w:val="00CE02DD"/>
    <w:rsid w:val="00CE03C7"/>
    <w:rsid w:val="00CE40BA"/>
    <w:rsid w:val="00CE5EA5"/>
    <w:rsid w:val="00CF342F"/>
    <w:rsid w:val="00CF5F63"/>
    <w:rsid w:val="00CF6CE9"/>
    <w:rsid w:val="00D02190"/>
    <w:rsid w:val="00D03561"/>
    <w:rsid w:val="00D038D9"/>
    <w:rsid w:val="00D03D03"/>
    <w:rsid w:val="00D0472B"/>
    <w:rsid w:val="00D0610E"/>
    <w:rsid w:val="00D12378"/>
    <w:rsid w:val="00D1605C"/>
    <w:rsid w:val="00D20074"/>
    <w:rsid w:val="00D20FF2"/>
    <w:rsid w:val="00D270FB"/>
    <w:rsid w:val="00D27B66"/>
    <w:rsid w:val="00D27E3F"/>
    <w:rsid w:val="00D30A1E"/>
    <w:rsid w:val="00D31DEB"/>
    <w:rsid w:val="00D31FCB"/>
    <w:rsid w:val="00D33383"/>
    <w:rsid w:val="00D35588"/>
    <w:rsid w:val="00D41240"/>
    <w:rsid w:val="00D43087"/>
    <w:rsid w:val="00D64932"/>
    <w:rsid w:val="00D6610E"/>
    <w:rsid w:val="00D671DA"/>
    <w:rsid w:val="00D67B13"/>
    <w:rsid w:val="00D7258F"/>
    <w:rsid w:val="00D8416A"/>
    <w:rsid w:val="00D848C6"/>
    <w:rsid w:val="00D9029C"/>
    <w:rsid w:val="00D90AD7"/>
    <w:rsid w:val="00D942A1"/>
    <w:rsid w:val="00D95079"/>
    <w:rsid w:val="00DA2273"/>
    <w:rsid w:val="00DA2372"/>
    <w:rsid w:val="00DA5CBE"/>
    <w:rsid w:val="00DB38A9"/>
    <w:rsid w:val="00DB5F5A"/>
    <w:rsid w:val="00DB64DB"/>
    <w:rsid w:val="00DB7789"/>
    <w:rsid w:val="00DB7D6C"/>
    <w:rsid w:val="00DC2CE1"/>
    <w:rsid w:val="00DD03AC"/>
    <w:rsid w:val="00DD710C"/>
    <w:rsid w:val="00DE4FFE"/>
    <w:rsid w:val="00DE6028"/>
    <w:rsid w:val="00DE7F21"/>
    <w:rsid w:val="00DF045B"/>
    <w:rsid w:val="00DF5BE9"/>
    <w:rsid w:val="00DF5DEA"/>
    <w:rsid w:val="00E029D7"/>
    <w:rsid w:val="00E06552"/>
    <w:rsid w:val="00E06B5C"/>
    <w:rsid w:val="00E06F6E"/>
    <w:rsid w:val="00E1195C"/>
    <w:rsid w:val="00E12DD1"/>
    <w:rsid w:val="00E17FAD"/>
    <w:rsid w:val="00E2025B"/>
    <w:rsid w:val="00E20741"/>
    <w:rsid w:val="00E20B1B"/>
    <w:rsid w:val="00E34C40"/>
    <w:rsid w:val="00E35026"/>
    <w:rsid w:val="00E41DD2"/>
    <w:rsid w:val="00E427AE"/>
    <w:rsid w:val="00E43906"/>
    <w:rsid w:val="00E4497C"/>
    <w:rsid w:val="00E4619B"/>
    <w:rsid w:val="00E5652E"/>
    <w:rsid w:val="00E80983"/>
    <w:rsid w:val="00E86B02"/>
    <w:rsid w:val="00E93EFC"/>
    <w:rsid w:val="00E975E8"/>
    <w:rsid w:val="00E97848"/>
    <w:rsid w:val="00EB1B93"/>
    <w:rsid w:val="00EC0925"/>
    <w:rsid w:val="00EC1111"/>
    <w:rsid w:val="00EC136C"/>
    <w:rsid w:val="00ED1D4D"/>
    <w:rsid w:val="00ED6468"/>
    <w:rsid w:val="00ED7444"/>
    <w:rsid w:val="00EE0DCC"/>
    <w:rsid w:val="00EE1AAA"/>
    <w:rsid w:val="00EE515D"/>
    <w:rsid w:val="00EE69AA"/>
    <w:rsid w:val="00EE6F8F"/>
    <w:rsid w:val="00EE7415"/>
    <w:rsid w:val="00EF001D"/>
    <w:rsid w:val="00EF388A"/>
    <w:rsid w:val="00F01BCE"/>
    <w:rsid w:val="00F02101"/>
    <w:rsid w:val="00F137CC"/>
    <w:rsid w:val="00F16A51"/>
    <w:rsid w:val="00F20C50"/>
    <w:rsid w:val="00F22489"/>
    <w:rsid w:val="00F31CCE"/>
    <w:rsid w:val="00F322FD"/>
    <w:rsid w:val="00F436F2"/>
    <w:rsid w:val="00F52C0E"/>
    <w:rsid w:val="00F531DB"/>
    <w:rsid w:val="00F53ECA"/>
    <w:rsid w:val="00F54069"/>
    <w:rsid w:val="00F554BF"/>
    <w:rsid w:val="00F579C5"/>
    <w:rsid w:val="00F67658"/>
    <w:rsid w:val="00F76DEC"/>
    <w:rsid w:val="00F8018A"/>
    <w:rsid w:val="00F81DFC"/>
    <w:rsid w:val="00F8212B"/>
    <w:rsid w:val="00FA24C5"/>
    <w:rsid w:val="00FA5A8D"/>
    <w:rsid w:val="00FA5D2F"/>
    <w:rsid w:val="00FA77A9"/>
    <w:rsid w:val="00FB3AEC"/>
    <w:rsid w:val="00FB539B"/>
    <w:rsid w:val="00FC4F7F"/>
    <w:rsid w:val="00FC5CD4"/>
    <w:rsid w:val="00FD0CB7"/>
    <w:rsid w:val="00FE1237"/>
    <w:rsid w:val="00FE2457"/>
    <w:rsid w:val="00FE416E"/>
    <w:rsid w:val="00FE6EF9"/>
    <w:rsid w:val="00FF0F63"/>
    <w:rsid w:val="00FF16B8"/>
    <w:rsid w:val="00FF23F6"/>
    <w:rsid w:val="00FF446B"/>
    <w:rsid w:val="00FF78BE"/>
    <w:rsid w:val="05FB2C79"/>
    <w:rsid w:val="0830005C"/>
    <w:rsid w:val="254A4780"/>
    <w:rsid w:val="33403554"/>
    <w:rsid w:val="344D2C3A"/>
    <w:rsid w:val="3ED57FD9"/>
    <w:rsid w:val="415D323C"/>
    <w:rsid w:val="432D61E3"/>
    <w:rsid w:val="4CF95894"/>
    <w:rsid w:val="60243B46"/>
    <w:rsid w:val="63111DF4"/>
    <w:rsid w:val="731652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74D"/>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uiPriority w:val="9"/>
    <w:qFormat/>
    <w:rsid w:val="00B3074D"/>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074D"/>
    <w:pPr>
      <w:jc w:val="left"/>
    </w:pPr>
  </w:style>
  <w:style w:type="paragraph" w:styleId="a4">
    <w:name w:val="Balloon Text"/>
    <w:basedOn w:val="a"/>
    <w:link w:val="Char0"/>
    <w:uiPriority w:val="99"/>
    <w:semiHidden/>
    <w:unhideWhenUsed/>
    <w:qFormat/>
    <w:rsid w:val="00B3074D"/>
    <w:rPr>
      <w:sz w:val="18"/>
      <w:szCs w:val="18"/>
    </w:rPr>
  </w:style>
  <w:style w:type="paragraph" w:styleId="a5">
    <w:name w:val="footer"/>
    <w:basedOn w:val="a"/>
    <w:link w:val="Char1"/>
    <w:uiPriority w:val="99"/>
    <w:unhideWhenUsed/>
    <w:qFormat/>
    <w:rsid w:val="00B3074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3074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B3074D"/>
    <w:pPr>
      <w:snapToGrid w:val="0"/>
      <w:jc w:val="left"/>
    </w:pPr>
    <w:rPr>
      <w:rFonts w:ascii="Times New Roman" w:eastAsia="宋体" w:hAnsi="Times New Roman" w:cs="Times New Roman"/>
      <w:sz w:val="18"/>
      <w:szCs w:val="20"/>
    </w:rPr>
  </w:style>
  <w:style w:type="paragraph" w:styleId="a8">
    <w:name w:val="annotation subject"/>
    <w:basedOn w:val="a3"/>
    <w:next w:val="a3"/>
    <w:link w:val="Char4"/>
    <w:uiPriority w:val="99"/>
    <w:semiHidden/>
    <w:unhideWhenUsed/>
    <w:qFormat/>
    <w:rsid w:val="00B3074D"/>
    <w:rPr>
      <w:b/>
      <w:bCs/>
    </w:rPr>
  </w:style>
  <w:style w:type="table" w:styleId="a9">
    <w:name w:val="Table Grid"/>
    <w:basedOn w:val="a1"/>
    <w:uiPriority w:val="39"/>
    <w:qFormat/>
    <w:rsid w:val="00B30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B3074D"/>
    <w:rPr>
      <w:color w:val="0563C1" w:themeColor="hyperlink"/>
      <w:u w:val="single"/>
    </w:rPr>
  </w:style>
  <w:style w:type="character" w:styleId="ab">
    <w:name w:val="annotation reference"/>
    <w:basedOn w:val="a0"/>
    <w:uiPriority w:val="99"/>
    <w:semiHidden/>
    <w:unhideWhenUsed/>
    <w:qFormat/>
    <w:rsid w:val="00B3074D"/>
    <w:rPr>
      <w:sz w:val="21"/>
      <w:szCs w:val="21"/>
    </w:rPr>
  </w:style>
  <w:style w:type="character" w:styleId="ac">
    <w:name w:val="footnote reference"/>
    <w:basedOn w:val="a0"/>
    <w:qFormat/>
    <w:rsid w:val="00B3074D"/>
    <w:rPr>
      <w:vertAlign w:val="superscript"/>
    </w:rPr>
  </w:style>
  <w:style w:type="character" w:customStyle="1" w:styleId="Char">
    <w:name w:val="批注文字 Char"/>
    <w:basedOn w:val="a0"/>
    <w:link w:val="a3"/>
    <w:uiPriority w:val="99"/>
    <w:semiHidden/>
    <w:qFormat/>
    <w:rsid w:val="00B3074D"/>
  </w:style>
  <w:style w:type="character" w:customStyle="1" w:styleId="Char4">
    <w:name w:val="批注主题 Char"/>
    <w:basedOn w:val="Char"/>
    <w:link w:val="a8"/>
    <w:uiPriority w:val="99"/>
    <w:semiHidden/>
    <w:qFormat/>
    <w:rsid w:val="00B3074D"/>
    <w:rPr>
      <w:b/>
      <w:bCs/>
    </w:rPr>
  </w:style>
  <w:style w:type="character" w:customStyle="1" w:styleId="Char0">
    <w:name w:val="批注框文本 Char"/>
    <w:basedOn w:val="a0"/>
    <w:link w:val="a4"/>
    <w:uiPriority w:val="99"/>
    <w:semiHidden/>
    <w:qFormat/>
    <w:rsid w:val="00B3074D"/>
    <w:rPr>
      <w:sz w:val="18"/>
      <w:szCs w:val="18"/>
    </w:rPr>
  </w:style>
  <w:style w:type="character" w:customStyle="1" w:styleId="Char2">
    <w:name w:val="页眉 Char"/>
    <w:basedOn w:val="a0"/>
    <w:link w:val="a6"/>
    <w:uiPriority w:val="99"/>
    <w:qFormat/>
    <w:rsid w:val="00B3074D"/>
    <w:rPr>
      <w:sz w:val="18"/>
      <w:szCs w:val="18"/>
    </w:rPr>
  </w:style>
  <w:style w:type="character" w:customStyle="1" w:styleId="Char1">
    <w:name w:val="页脚 Char"/>
    <w:basedOn w:val="a0"/>
    <w:link w:val="a5"/>
    <w:uiPriority w:val="99"/>
    <w:qFormat/>
    <w:rsid w:val="00B3074D"/>
    <w:rPr>
      <w:sz w:val="18"/>
      <w:szCs w:val="18"/>
    </w:rPr>
  </w:style>
  <w:style w:type="character" w:customStyle="1" w:styleId="Char3">
    <w:name w:val="脚注文本 Char"/>
    <w:basedOn w:val="a0"/>
    <w:link w:val="a7"/>
    <w:qFormat/>
    <w:rsid w:val="00B3074D"/>
    <w:rPr>
      <w:rFonts w:ascii="Times New Roman" w:eastAsia="宋体" w:hAnsi="Times New Roman" w:cs="Times New Roman"/>
      <w:sz w:val="18"/>
      <w:szCs w:val="20"/>
    </w:rPr>
  </w:style>
  <w:style w:type="paragraph" w:customStyle="1" w:styleId="Default">
    <w:name w:val="Default"/>
    <w:qFormat/>
    <w:rsid w:val="00B3074D"/>
    <w:pPr>
      <w:widowControl w:val="0"/>
      <w:autoSpaceDE w:val="0"/>
      <w:autoSpaceDN w:val="0"/>
      <w:adjustRightInd w:val="0"/>
    </w:pPr>
    <w:rPr>
      <w:rFonts w:ascii="宋体" w:hAnsiTheme="minorHAnsi" w:cs="宋体"/>
      <w:color w:val="000000"/>
      <w:sz w:val="24"/>
      <w:szCs w:val="24"/>
    </w:rPr>
  </w:style>
  <w:style w:type="character" w:customStyle="1" w:styleId="5Char">
    <w:name w:val="标题 5 Char"/>
    <w:basedOn w:val="a0"/>
    <w:link w:val="5"/>
    <w:uiPriority w:val="9"/>
    <w:qFormat/>
    <w:rsid w:val="00B3074D"/>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B0518-0F59-4A2A-9116-79885D36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1307</Characters>
  <Application>Microsoft Office Word</Application>
  <DocSecurity>4</DocSecurity>
  <Lines>10</Lines>
  <Paragraphs>3</Paragraphs>
  <ScaleCrop>false</ScaleCrop>
  <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张元元</dc:creator>
  <cp:lastModifiedBy>ZHONGM</cp:lastModifiedBy>
  <cp:revision>2</cp:revision>
  <dcterms:created xsi:type="dcterms:W3CDTF">2025-11-27T16:03:00Z</dcterms:created>
  <dcterms:modified xsi:type="dcterms:W3CDTF">2025-11-27T16:03:00Z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7B3CFE33938E49CA9B0C69297393AC4F</vt:lpwstr>
  </property>
  <property fmtid="{D5CDD505-2E9C-101B-9397-08002B2CF9AE}" pid="4" name="KSOTemplateDocerSaveRecord">
    <vt:lpwstr>eyJoZGlkIjoiZGU2MDBiMGIzY2MxMWE1YjM3Y2MyYzJlM2M4NDlkNzgiLCJ1c2VySWQiOiIxMzg0ODMwMzE0In0=</vt:lpwstr>
  </property>
  <property fmtid="{D5CDD505-2E9C-101B-9397-08002B2CF9AE}" pid="5" name="skgMailInfo000">
    <vt:lpwstr>eyAibWFpbEZyb20iOiAieGlueGlwaWx1QGdsZnVuZC5jb20iLCAicmNwdFRvIjogImxrbEBzc25ld3MuY29tLmNuIiwgIm5hbWUiOiAi5Zu96IGU5Lu35YC85Z2H6KGh5re35ZCI5Z6L6K+B5Yi45oqV6LWE5Z+66YeR5Z+66YeR5ZCI5ZCM55Sf5pWI5YWs5ZGKLmRvY3giLCAiZGF0ZSI6ICIyMDI1LTExLTI3VDIwOjU3OjA5LjY1MDI4KzA</vt:lpwstr>
  </property>
  <property fmtid="{D5CDD505-2E9C-101B-9397-08002B2CF9AE}" pid="6" name="skgMailId">
    <vt:lpwstr>1</vt:lpwstr>
  </property>
</Properties>
</file>