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4E" w:rsidRDefault="00E02EC5">
      <w:pPr>
        <w:jc w:val="center"/>
        <w:rPr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关于富国纯债债券型发起式证券投资基金（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C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类份额）暂停通过长量基金的申购、转换转入及定期定额投资业务的公告</w:t>
      </w:r>
    </w:p>
    <w:p w:rsidR="0050034E" w:rsidRDefault="0050034E">
      <w:pPr>
        <w:jc w:val="right"/>
        <w:rPr>
          <w:b/>
          <w:color w:val="000000"/>
          <w:sz w:val="30"/>
          <w:szCs w:val="30"/>
        </w:rPr>
      </w:pPr>
    </w:p>
    <w:p w:rsidR="0050034E" w:rsidRDefault="00E02EC5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1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/>
          <w:color w:val="000000"/>
          <w:kern w:val="0"/>
          <w:sz w:val="24"/>
        </w:rPr>
        <w:t>2</w:t>
      </w:r>
      <w:r>
        <w:rPr>
          <w:rFonts w:ascii="宋体" w:hAnsi="宋体" w:hint="eastAsia"/>
          <w:color w:val="000000"/>
          <w:kern w:val="0"/>
          <w:sz w:val="24"/>
        </w:rPr>
        <w:t>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50034E" w:rsidRDefault="0050034E">
      <w:pPr>
        <w:jc w:val="right"/>
        <w:rPr>
          <w:i/>
          <w:sz w:val="28"/>
          <w:szCs w:val="28"/>
        </w:rPr>
      </w:pPr>
    </w:p>
    <w:p w:rsidR="0050034E" w:rsidRDefault="00E02EC5">
      <w:pPr>
        <w:pStyle w:val="a"/>
      </w:pPr>
      <w:r>
        <w:rPr>
          <w:rFonts w:hint="eastAsia"/>
        </w:rPr>
        <w:t>公告基本信息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2551"/>
        <w:gridCol w:w="1562"/>
        <w:gridCol w:w="1559"/>
        <w:gridCol w:w="1683"/>
        <w:gridCol w:w="1725"/>
      </w:tblGrid>
      <w:tr w:rsidR="0050034E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529" w:type="dxa"/>
            <w:gridSpan w:val="4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富国纯债债券型发起式证券投资基金</w:t>
            </w:r>
          </w:p>
        </w:tc>
      </w:tr>
      <w:tr w:rsidR="0050034E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529" w:type="dxa"/>
            <w:gridSpan w:val="4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</w:p>
        </w:tc>
      </w:tr>
      <w:tr w:rsidR="0050034E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529" w:type="dxa"/>
            <w:gridSpan w:val="4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50034E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529" w:type="dxa"/>
            <w:gridSpan w:val="4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50034E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529" w:type="dxa"/>
            <w:gridSpan w:val="4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《中华人民共和国证券投资基金法》及配套法规、《富国纯债债券型发起式证券投资基金基金合同》、《富国纯债债券型发起式证券投资基金招募说明书》及其更新等</w:t>
            </w:r>
          </w:p>
        </w:tc>
      </w:tr>
      <w:tr w:rsidR="0050034E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51" w:type="dxa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暂停申购起始日</w:t>
            </w:r>
          </w:p>
        </w:tc>
        <w:tc>
          <w:tcPr>
            <w:tcW w:w="6529" w:type="dxa"/>
            <w:gridSpan w:val="4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0034E">
        <w:trPr>
          <w:cantSplit/>
          <w:trHeight w:val="248"/>
          <w:jc w:val="center"/>
        </w:trPr>
        <w:tc>
          <w:tcPr>
            <w:tcW w:w="1127" w:type="dxa"/>
            <w:vMerge/>
            <w:vAlign w:val="center"/>
          </w:tcPr>
          <w:p w:rsidR="0050034E" w:rsidRDefault="0050034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暂停转换转入起始日</w:t>
            </w:r>
          </w:p>
        </w:tc>
        <w:tc>
          <w:tcPr>
            <w:tcW w:w="6529" w:type="dxa"/>
            <w:gridSpan w:val="4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0034E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50034E" w:rsidRDefault="0050034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6529" w:type="dxa"/>
            <w:gridSpan w:val="4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0034E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50034E" w:rsidRDefault="0050034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暂停申购、转换转入、定期定额投资的原因说明</w:t>
            </w:r>
          </w:p>
        </w:tc>
        <w:tc>
          <w:tcPr>
            <w:tcW w:w="6529" w:type="dxa"/>
            <w:gridSpan w:val="4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50034E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3121" w:type="dxa"/>
            <w:gridSpan w:val="2"/>
            <w:vAlign w:val="center"/>
          </w:tcPr>
          <w:p w:rsidR="0050034E" w:rsidRDefault="00E02EC5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A/B</w:t>
            </w:r>
          </w:p>
        </w:tc>
        <w:tc>
          <w:tcPr>
            <w:tcW w:w="1683" w:type="dxa"/>
            <w:vAlign w:val="center"/>
          </w:tcPr>
          <w:p w:rsidR="0050034E" w:rsidRDefault="00E02EC5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1725" w:type="dxa"/>
            <w:vAlign w:val="center"/>
          </w:tcPr>
          <w:p w:rsidR="0050034E" w:rsidRDefault="00E02EC5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E</w:t>
            </w:r>
          </w:p>
        </w:tc>
      </w:tr>
      <w:tr w:rsidR="0050034E">
        <w:trPr>
          <w:cantSplit/>
          <w:trHeight w:val="143"/>
          <w:jc w:val="center"/>
        </w:trPr>
        <w:tc>
          <w:tcPr>
            <w:tcW w:w="3678" w:type="dxa"/>
            <w:gridSpan w:val="2"/>
            <w:vMerge w:val="restart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1562" w:type="dxa"/>
            <w:vAlign w:val="center"/>
          </w:tcPr>
          <w:p w:rsidR="0050034E" w:rsidRDefault="00E02E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前端</w:t>
            </w:r>
          </w:p>
        </w:tc>
        <w:tc>
          <w:tcPr>
            <w:tcW w:w="1559" w:type="dxa"/>
            <w:vAlign w:val="center"/>
          </w:tcPr>
          <w:p w:rsidR="0050034E" w:rsidRDefault="00E02EC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后端</w:t>
            </w:r>
          </w:p>
        </w:tc>
        <w:tc>
          <w:tcPr>
            <w:tcW w:w="1683" w:type="dxa"/>
            <w:vMerge w:val="restart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100068</w:t>
            </w:r>
          </w:p>
        </w:tc>
        <w:tc>
          <w:tcPr>
            <w:tcW w:w="1725" w:type="dxa"/>
            <w:vMerge w:val="restart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019191</w:t>
            </w:r>
          </w:p>
        </w:tc>
      </w:tr>
      <w:tr w:rsidR="0050034E">
        <w:trPr>
          <w:cantSplit/>
          <w:trHeight w:val="142"/>
          <w:jc w:val="center"/>
        </w:trPr>
        <w:tc>
          <w:tcPr>
            <w:tcW w:w="3678" w:type="dxa"/>
            <w:gridSpan w:val="2"/>
            <w:vMerge/>
            <w:vAlign w:val="center"/>
          </w:tcPr>
          <w:p w:rsidR="0050034E" w:rsidRDefault="0050034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50034E" w:rsidRDefault="00E02EC5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59" w:type="dxa"/>
            <w:vAlign w:val="center"/>
          </w:tcPr>
          <w:p w:rsidR="0050034E" w:rsidRDefault="00E02EC5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683" w:type="dxa"/>
            <w:vMerge/>
            <w:vAlign w:val="center"/>
          </w:tcPr>
          <w:p w:rsidR="0050034E" w:rsidRDefault="0050034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0034E" w:rsidRDefault="0050034E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0034E">
        <w:trPr>
          <w:cantSplit/>
          <w:jc w:val="center"/>
        </w:trPr>
        <w:tc>
          <w:tcPr>
            <w:tcW w:w="3678" w:type="dxa"/>
            <w:gridSpan w:val="2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该分级基金是否暂停申购、转换转入、定期定额投资</w:t>
            </w:r>
          </w:p>
        </w:tc>
        <w:tc>
          <w:tcPr>
            <w:tcW w:w="3121" w:type="dxa"/>
            <w:gridSpan w:val="2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683" w:type="dxa"/>
            <w:vAlign w:val="center"/>
          </w:tcPr>
          <w:p w:rsidR="0050034E" w:rsidRDefault="00E02EC5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725" w:type="dxa"/>
            <w:vAlign w:val="center"/>
          </w:tcPr>
          <w:p w:rsidR="0050034E" w:rsidRDefault="00E02EC5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</w:tr>
    </w:tbl>
    <w:p w:rsidR="0050034E" w:rsidRDefault="00E02EC5">
      <w:pPr>
        <w:pStyle w:val="a"/>
      </w:pPr>
      <w:r>
        <w:t>其他需要提示的事项</w:t>
      </w:r>
    </w:p>
    <w:p w:rsidR="0050034E" w:rsidRDefault="00E02EC5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、本基金管理人决定自</w:t>
      </w: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1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/>
          <w:color w:val="000000"/>
          <w:kern w:val="0"/>
          <w:sz w:val="24"/>
        </w:rPr>
        <w:t>2</w:t>
      </w:r>
      <w:r>
        <w:rPr>
          <w:rFonts w:ascii="宋体" w:hAnsi="宋体" w:hint="eastAsia"/>
          <w:color w:val="000000"/>
          <w:kern w:val="0"/>
          <w:sz w:val="24"/>
        </w:rPr>
        <w:t>8</w:t>
      </w:r>
      <w:r>
        <w:rPr>
          <w:rFonts w:ascii="宋体" w:hAnsi="宋体" w:hint="eastAsia"/>
          <w:color w:val="000000"/>
          <w:kern w:val="0"/>
          <w:sz w:val="24"/>
        </w:rPr>
        <w:t>日</w:t>
      </w:r>
      <w:r>
        <w:rPr>
          <w:color w:val="000000"/>
          <w:sz w:val="24"/>
        </w:rPr>
        <w:t>起暂停接受</w:t>
      </w:r>
      <w:bookmarkStart w:id="0" w:name="_GoBack"/>
      <w:bookmarkEnd w:id="0"/>
      <w:r>
        <w:rPr>
          <w:color w:val="000000"/>
          <w:sz w:val="24"/>
        </w:rPr>
        <w:t>通过</w:t>
      </w:r>
      <w:r>
        <w:rPr>
          <w:rFonts w:hint="eastAsia"/>
          <w:color w:val="000000"/>
          <w:sz w:val="24"/>
        </w:rPr>
        <w:t>长量基金</w:t>
      </w:r>
      <w:r>
        <w:rPr>
          <w:color w:val="000000"/>
          <w:sz w:val="24"/>
        </w:rPr>
        <w:t>对本基金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类份额的申购、转换转入及定期定额投资业务申请。</w:t>
      </w:r>
    </w:p>
    <w:p w:rsidR="0050034E" w:rsidRDefault="00E02EC5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lastRenderedPageBreak/>
        <w:t>2</w:t>
      </w:r>
      <w:r>
        <w:rPr>
          <w:color w:val="000000"/>
          <w:sz w:val="24"/>
        </w:rPr>
        <w:t>、在暂停本基金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类份额通过</w:t>
      </w:r>
      <w:r>
        <w:rPr>
          <w:rFonts w:hint="eastAsia"/>
          <w:color w:val="000000"/>
          <w:sz w:val="24"/>
        </w:rPr>
        <w:t>长量基金</w:t>
      </w:r>
      <w:r>
        <w:rPr>
          <w:color w:val="000000"/>
          <w:sz w:val="24"/>
        </w:rPr>
        <w:t>的申购、转换转入及定期定额投资业务期间，本基金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类份额通过</w:t>
      </w:r>
      <w:r>
        <w:rPr>
          <w:rFonts w:hint="eastAsia"/>
          <w:color w:val="000000"/>
          <w:sz w:val="24"/>
        </w:rPr>
        <w:t>长量基金</w:t>
      </w:r>
      <w:r>
        <w:rPr>
          <w:color w:val="000000"/>
          <w:sz w:val="24"/>
        </w:rPr>
        <w:t>的赎回及转换转出等业务正常办理。</w:t>
      </w:r>
    </w:p>
    <w:p w:rsidR="0050034E" w:rsidRDefault="00E02EC5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、关于恢复本基金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类份额通过</w:t>
      </w:r>
      <w:r>
        <w:rPr>
          <w:rFonts w:hint="eastAsia"/>
          <w:color w:val="000000"/>
          <w:sz w:val="24"/>
        </w:rPr>
        <w:t>长量基金</w:t>
      </w:r>
      <w:r>
        <w:rPr>
          <w:color w:val="000000"/>
          <w:sz w:val="24"/>
        </w:rPr>
        <w:t>的申购、转换转入及定期定额投资业务的时间，基金管理人将另行公告。</w:t>
      </w:r>
    </w:p>
    <w:p w:rsidR="0050034E" w:rsidRDefault="00E02EC5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50034E" w:rsidRDefault="00E02EC5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50034E" w:rsidRDefault="00E02EC5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50034E" w:rsidRDefault="00E02EC5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50034E" w:rsidRDefault="00E02EC5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/>
          <w:color w:val="000000"/>
          <w:kern w:val="0"/>
          <w:sz w:val="24"/>
        </w:rPr>
        <w:t>11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/>
          <w:color w:val="000000"/>
          <w:kern w:val="0"/>
          <w:sz w:val="24"/>
        </w:rPr>
        <w:t>2</w:t>
      </w:r>
      <w:r>
        <w:rPr>
          <w:rFonts w:ascii="宋体" w:hAnsi="宋体" w:hint="eastAsia"/>
          <w:color w:val="000000"/>
          <w:kern w:val="0"/>
          <w:sz w:val="24"/>
        </w:rPr>
        <w:t>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50034E" w:rsidSect="0050034E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321DE"/>
    <w:rsid w:val="00032D94"/>
    <w:rsid w:val="000455FD"/>
    <w:rsid w:val="000634F0"/>
    <w:rsid w:val="000819CB"/>
    <w:rsid w:val="000B15ED"/>
    <w:rsid w:val="000B5FFC"/>
    <w:rsid w:val="000D09B6"/>
    <w:rsid w:val="000D34BA"/>
    <w:rsid w:val="00103B85"/>
    <w:rsid w:val="00125246"/>
    <w:rsid w:val="001434F1"/>
    <w:rsid w:val="00160463"/>
    <w:rsid w:val="0017409F"/>
    <w:rsid w:val="001A23F3"/>
    <w:rsid w:val="001C6EF6"/>
    <w:rsid w:val="001E3807"/>
    <w:rsid w:val="002246FB"/>
    <w:rsid w:val="00242AF0"/>
    <w:rsid w:val="002553C3"/>
    <w:rsid w:val="0025618E"/>
    <w:rsid w:val="00281AE2"/>
    <w:rsid w:val="00282DEB"/>
    <w:rsid w:val="00293001"/>
    <w:rsid w:val="00297C7D"/>
    <w:rsid w:val="002C7864"/>
    <w:rsid w:val="002D4627"/>
    <w:rsid w:val="002D4A9A"/>
    <w:rsid w:val="002D774C"/>
    <w:rsid w:val="00335FBE"/>
    <w:rsid w:val="0033773A"/>
    <w:rsid w:val="00340BC0"/>
    <w:rsid w:val="00363752"/>
    <w:rsid w:val="003673E9"/>
    <w:rsid w:val="00370B6E"/>
    <w:rsid w:val="00387F42"/>
    <w:rsid w:val="00393457"/>
    <w:rsid w:val="00397CAB"/>
    <w:rsid w:val="003B4695"/>
    <w:rsid w:val="003B74CD"/>
    <w:rsid w:val="003C2515"/>
    <w:rsid w:val="003C6409"/>
    <w:rsid w:val="003F07FE"/>
    <w:rsid w:val="00400574"/>
    <w:rsid w:val="0046512C"/>
    <w:rsid w:val="00467B56"/>
    <w:rsid w:val="00473206"/>
    <w:rsid w:val="00475730"/>
    <w:rsid w:val="00492A32"/>
    <w:rsid w:val="004A0315"/>
    <w:rsid w:val="004D08A0"/>
    <w:rsid w:val="004E7045"/>
    <w:rsid w:val="0050034E"/>
    <w:rsid w:val="00507A11"/>
    <w:rsid w:val="00513F60"/>
    <w:rsid w:val="00544911"/>
    <w:rsid w:val="005929FF"/>
    <w:rsid w:val="005A6FFF"/>
    <w:rsid w:val="005F1E8E"/>
    <w:rsid w:val="0061664E"/>
    <w:rsid w:val="00627A7F"/>
    <w:rsid w:val="00627E9A"/>
    <w:rsid w:val="006462FC"/>
    <w:rsid w:val="00684853"/>
    <w:rsid w:val="006915BB"/>
    <w:rsid w:val="006D382F"/>
    <w:rsid w:val="006F0CFF"/>
    <w:rsid w:val="006F26F9"/>
    <w:rsid w:val="007158BF"/>
    <w:rsid w:val="00752807"/>
    <w:rsid w:val="007D4DDF"/>
    <w:rsid w:val="007E2B84"/>
    <w:rsid w:val="00804656"/>
    <w:rsid w:val="008162FD"/>
    <w:rsid w:val="00821974"/>
    <w:rsid w:val="008256C6"/>
    <w:rsid w:val="0083283D"/>
    <w:rsid w:val="00846ED6"/>
    <w:rsid w:val="0087490B"/>
    <w:rsid w:val="0089500E"/>
    <w:rsid w:val="00897A96"/>
    <w:rsid w:val="008E08B6"/>
    <w:rsid w:val="009269A3"/>
    <w:rsid w:val="00932CA8"/>
    <w:rsid w:val="009413D9"/>
    <w:rsid w:val="00961000"/>
    <w:rsid w:val="009E3371"/>
    <w:rsid w:val="009F21A3"/>
    <w:rsid w:val="00A04FD8"/>
    <w:rsid w:val="00A54746"/>
    <w:rsid w:val="00A90AC9"/>
    <w:rsid w:val="00AC478E"/>
    <w:rsid w:val="00AF02DA"/>
    <w:rsid w:val="00B020E2"/>
    <w:rsid w:val="00B039C5"/>
    <w:rsid w:val="00B23342"/>
    <w:rsid w:val="00B252A6"/>
    <w:rsid w:val="00B27512"/>
    <w:rsid w:val="00B37EDF"/>
    <w:rsid w:val="00B5552F"/>
    <w:rsid w:val="00BA0B26"/>
    <w:rsid w:val="00BB0834"/>
    <w:rsid w:val="00BB3F60"/>
    <w:rsid w:val="00BB41FD"/>
    <w:rsid w:val="00BC2B20"/>
    <w:rsid w:val="00C0304E"/>
    <w:rsid w:val="00C14369"/>
    <w:rsid w:val="00C32EF7"/>
    <w:rsid w:val="00C50554"/>
    <w:rsid w:val="00C70D33"/>
    <w:rsid w:val="00C82B41"/>
    <w:rsid w:val="00C8335E"/>
    <w:rsid w:val="00C979D2"/>
    <w:rsid w:val="00CE7544"/>
    <w:rsid w:val="00D3544B"/>
    <w:rsid w:val="00D7653E"/>
    <w:rsid w:val="00D91D63"/>
    <w:rsid w:val="00DB794B"/>
    <w:rsid w:val="00DC1C3B"/>
    <w:rsid w:val="00E02EC5"/>
    <w:rsid w:val="00E458D5"/>
    <w:rsid w:val="00E6133E"/>
    <w:rsid w:val="00E63817"/>
    <w:rsid w:val="00E663C8"/>
    <w:rsid w:val="00E6796A"/>
    <w:rsid w:val="00EC409E"/>
    <w:rsid w:val="00ED2EA3"/>
    <w:rsid w:val="00F04119"/>
    <w:rsid w:val="00F076FE"/>
    <w:rsid w:val="00F93F60"/>
    <w:rsid w:val="00FC070D"/>
    <w:rsid w:val="00FD2AE2"/>
    <w:rsid w:val="0CF116D4"/>
    <w:rsid w:val="107E0E1C"/>
    <w:rsid w:val="16814185"/>
    <w:rsid w:val="1C92426F"/>
    <w:rsid w:val="1CD90D79"/>
    <w:rsid w:val="1E432DF9"/>
    <w:rsid w:val="2297614E"/>
    <w:rsid w:val="28DD77A6"/>
    <w:rsid w:val="299C5651"/>
    <w:rsid w:val="2DCF50B7"/>
    <w:rsid w:val="2E8E24A9"/>
    <w:rsid w:val="2F371186"/>
    <w:rsid w:val="46B43086"/>
    <w:rsid w:val="48EF6AB4"/>
    <w:rsid w:val="499C726F"/>
    <w:rsid w:val="4ADF53D0"/>
    <w:rsid w:val="4F190BD2"/>
    <w:rsid w:val="52183ABE"/>
    <w:rsid w:val="59464185"/>
    <w:rsid w:val="5D4D621E"/>
    <w:rsid w:val="5DA424B0"/>
    <w:rsid w:val="60A31B19"/>
    <w:rsid w:val="62AA7047"/>
    <w:rsid w:val="6B2A6A5F"/>
    <w:rsid w:val="6F3A720A"/>
    <w:rsid w:val="75143E7A"/>
    <w:rsid w:val="792D0059"/>
    <w:rsid w:val="7EC2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003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50034E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50034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qFormat/>
    <w:rsid w:val="0050034E"/>
    <w:pPr>
      <w:shd w:val="clear" w:color="auto" w:fill="000080"/>
    </w:pPr>
  </w:style>
  <w:style w:type="paragraph" w:styleId="3">
    <w:name w:val="toc 3"/>
    <w:next w:val="a0"/>
    <w:uiPriority w:val="39"/>
    <w:unhideWhenUsed/>
    <w:qFormat/>
    <w:rsid w:val="0050034E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qFormat/>
    <w:rsid w:val="0050034E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rsid w:val="00500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rsid w:val="00500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uiPriority w:val="39"/>
    <w:unhideWhenUsed/>
    <w:qFormat/>
    <w:rsid w:val="0050034E"/>
    <w:pPr>
      <w:spacing w:after="100"/>
    </w:pPr>
  </w:style>
  <w:style w:type="paragraph" w:styleId="4">
    <w:name w:val="toc 4"/>
    <w:next w:val="a0"/>
    <w:uiPriority w:val="39"/>
    <w:unhideWhenUsed/>
    <w:qFormat/>
    <w:rsid w:val="0050034E"/>
    <w:pPr>
      <w:spacing w:after="100"/>
      <w:ind w:left="660"/>
    </w:pPr>
  </w:style>
  <w:style w:type="paragraph" w:styleId="a8">
    <w:name w:val="footnote text"/>
    <w:basedOn w:val="a0"/>
    <w:qFormat/>
    <w:rsid w:val="0050034E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uiPriority w:val="39"/>
    <w:unhideWhenUsed/>
    <w:qFormat/>
    <w:rsid w:val="0050034E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50034E"/>
    <w:pPr>
      <w:numPr>
        <w:numId w:val="2"/>
      </w:numPr>
      <w:spacing w:before="120" w:after="120" w:line="360" w:lineRule="auto"/>
      <w:jc w:val="left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qFormat/>
    <w:rsid w:val="0050034E"/>
    <w:rPr>
      <w:color w:val="0563C1" w:themeColor="hyperlink"/>
      <w:u w:val="single"/>
    </w:rPr>
  </w:style>
  <w:style w:type="character" w:styleId="aa">
    <w:name w:val="footnote reference"/>
    <w:qFormat/>
    <w:rsid w:val="0050034E"/>
    <w:rPr>
      <w:vertAlign w:val="superscript"/>
    </w:rPr>
  </w:style>
  <w:style w:type="paragraph" w:customStyle="1" w:styleId="Char3">
    <w:name w:val="Char"/>
    <w:basedOn w:val="a0"/>
    <w:qFormat/>
    <w:rsid w:val="0050034E"/>
  </w:style>
  <w:style w:type="character" w:customStyle="1" w:styleId="Char1">
    <w:name w:val="页眉 Char"/>
    <w:link w:val="a7"/>
    <w:qFormat/>
    <w:rsid w:val="0050034E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50034E"/>
    <w:rPr>
      <w:kern w:val="2"/>
      <w:sz w:val="18"/>
      <w:szCs w:val="18"/>
    </w:rPr>
  </w:style>
  <w:style w:type="character" w:customStyle="1" w:styleId="Char2">
    <w:name w:val="标题 Char"/>
    <w:link w:val="a"/>
    <w:qFormat/>
    <w:rsid w:val="0050034E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qFormat/>
    <w:rsid w:val="0050034E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50034E"/>
    <w:rPr>
      <w:lang w:eastAsia="ja-JP"/>
    </w:rPr>
  </w:style>
  <w:style w:type="character" w:customStyle="1" w:styleId="Char">
    <w:name w:val="批注框文本 Char"/>
    <w:link w:val="a5"/>
    <w:uiPriority w:val="99"/>
    <w:semiHidden/>
    <w:qFormat/>
    <w:rsid w:val="00500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6085;&#24120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共同基金_临时公告(基金暂停日常业务公告)_LS0000_公募临时公告.dotx</Template>
  <TotalTime>0</TotalTime>
  <Pages>2</Pages>
  <Words>137</Words>
  <Characters>787</Characters>
  <Application>Microsoft Office Word</Application>
  <DocSecurity>4</DocSecurity>
  <Lines>6</Lines>
  <Paragraphs>1</Paragraphs>
  <ScaleCrop>false</ScaleCrop>
  <Company>fullgoal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2025-11-26T16:02:00Z</dcterms:created>
  <dcterms:modified xsi:type="dcterms:W3CDTF">2025-11-26T16:02:00Z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4F6E65775577441CB3EE2AA55D347398</vt:lpwstr>
  </property>
</Properties>
</file>