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39D" w:rsidRDefault="0081139D">
      <w:pPr>
        <w:pStyle w:val="a6"/>
        <w:spacing w:line="600" w:lineRule="auto"/>
        <w:jc w:val="center"/>
        <w:rPr>
          <w:rFonts w:ascii="宋体" w:hAnsi="宋体"/>
          <w:b/>
          <w:sz w:val="44"/>
          <w:szCs w:val="44"/>
        </w:rPr>
      </w:pPr>
    </w:p>
    <w:p w:rsidR="0081139D" w:rsidRDefault="0081139D">
      <w:pPr>
        <w:pStyle w:val="a6"/>
        <w:spacing w:line="600" w:lineRule="auto"/>
        <w:jc w:val="center"/>
        <w:rPr>
          <w:rFonts w:ascii="宋体" w:hAnsi="宋体"/>
          <w:b/>
          <w:sz w:val="44"/>
          <w:szCs w:val="44"/>
        </w:rPr>
      </w:pPr>
    </w:p>
    <w:p w:rsidR="0081139D" w:rsidRDefault="00FA164F">
      <w:pPr>
        <w:pStyle w:val="a6"/>
        <w:spacing w:line="600" w:lineRule="auto"/>
        <w:jc w:val="center"/>
        <w:rPr>
          <w:rFonts w:ascii="宋体" w:hAnsi="宋体"/>
          <w:b/>
          <w:sz w:val="36"/>
          <w:szCs w:val="36"/>
        </w:rPr>
      </w:pPr>
      <w:r>
        <w:rPr>
          <w:rFonts w:ascii="宋体" w:hAnsi="宋体" w:hint="eastAsia"/>
          <w:b/>
          <w:sz w:val="36"/>
          <w:szCs w:val="36"/>
        </w:rPr>
        <w:t>长江中证全指指数增强型发起式证券投资基金</w:t>
      </w:r>
    </w:p>
    <w:p w:rsidR="0081139D" w:rsidRDefault="00FA164F">
      <w:pPr>
        <w:pStyle w:val="a6"/>
        <w:spacing w:line="600" w:lineRule="auto"/>
        <w:jc w:val="center"/>
        <w:rPr>
          <w:rFonts w:ascii="宋体" w:hAnsi="宋体"/>
          <w:b/>
          <w:sz w:val="36"/>
          <w:szCs w:val="36"/>
        </w:rPr>
      </w:pPr>
      <w:r>
        <w:rPr>
          <w:rFonts w:ascii="宋体" w:hAnsi="宋体" w:hint="eastAsia"/>
          <w:b/>
          <w:sz w:val="36"/>
          <w:szCs w:val="36"/>
        </w:rPr>
        <w:t>基金份额发售公告</w:t>
      </w:r>
    </w:p>
    <w:p w:rsidR="0081139D" w:rsidRDefault="0081139D">
      <w:pPr>
        <w:pStyle w:val="a6"/>
        <w:spacing w:line="600" w:lineRule="auto"/>
        <w:jc w:val="center"/>
        <w:rPr>
          <w:rFonts w:ascii="宋体" w:hAnsi="宋体"/>
          <w:b/>
          <w:sz w:val="44"/>
          <w:szCs w:val="44"/>
        </w:rPr>
      </w:pPr>
    </w:p>
    <w:p w:rsidR="0081139D" w:rsidRDefault="0081139D">
      <w:pPr>
        <w:pStyle w:val="a6"/>
        <w:spacing w:line="600" w:lineRule="auto"/>
        <w:jc w:val="center"/>
        <w:rPr>
          <w:rFonts w:ascii="宋体" w:hAnsi="宋体"/>
          <w:b/>
          <w:sz w:val="44"/>
          <w:szCs w:val="44"/>
        </w:rPr>
      </w:pPr>
    </w:p>
    <w:p w:rsidR="0081139D" w:rsidRDefault="0081139D">
      <w:pPr>
        <w:pStyle w:val="a6"/>
        <w:spacing w:line="600" w:lineRule="auto"/>
        <w:jc w:val="center"/>
        <w:rPr>
          <w:rFonts w:ascii="宋体" w:hAnsi="宋体"/>
          <w:b/>
          <w:sz w:val="44"/>
          <w:szCs w:val="44"/>
        </w:rPr>
      </w:pPr>
    </w:p>
    <w:p w:rsidR="0081139D" w:rsidRDefault="0081139D">
      <w:pPr>
        <w:pStyle w:val="a6"/>
        <w:spacing w:line="600" w:lineRule="auto"/>
        <w:jc w:val="center"/>
        <w:rPr>
          <w:rFonts w:ascii="宋体" w:hAnsi="宋体"/>
          <w:b/>
          <w:sz w:val="44"/>
          <w:szCs w:val="44"/>
        </w:rPr>
      </w:pPr>
    </w:p>
    <w:p w:rsidR="0081139D" w:rsidRDefault="0081139D">
      <w:pPr>
        <w:pStyle w:val="a6"/>
        <w:spacing w:line="600" w:lineRule="auto"/>
        <w:jc w:val="center"/>
        <w:rPr>
          <w:rFonts w:ascii="宋体" w:hAnsi="宋体"/>
          <w:b/>
          <w:sz w:val="44"/>
          <w:szCs w:val="44"/>
        </w:rPr>
      </w:pPr>
    </w:p>
    <w:p w:rsidR="0081139D" w:rsidRDefault="0081139D">
      <w:pPr>
        <w:pStyle w:val="a6"/>
        <w:spacing w:line="600" w:lineRule="auto"/>
        <w:jc w:val="center"/>
        <w:rPr>
          <w:rFonts w:ascii="宋体" w:hAnsi="宋体"/>
          <w:b/>
          <w:sz w:val="44"/>
          <w:szCs w:val="44"/>
        </w:rPr>
      </w:pPr>
    </w:p>
    <w:p w:rsidR="0081139D" w:rsidRDefault="00FA164F">
      <w:pPr>
        <w:spacing w:line="360" w:lineRule="auto"/>
        <w:rPr>
          <w:rFonts w:ascii="宋体" w:hAnsi="宋体"/>
          <w:sz w:val="28"/>
          <w:szCs w:val="28"/>
        </w:rPr>
      </w:pPr>
      <w:r>
        <w:rPr>
          <w:rFonts w:ascii="宋体" w:hAnsi="宋体" w:hint="eastAsia"/>
          <w:sz w:val="28"/>
          <w:szCs w:val="28"/>
        </w:rPr>
        <w:t xml:space="preserve">         </w:t>
      </w:r>
      <w:r>
        <w:rPr>
          <w:rFonts w:ascii="宋体" w:hAnsi="宋体"/>
          <w:sz w:val="28"/>
          <w:szCs w:val="28"/>
        </w:rPr>
        <w:t>基金管理人：长江证券（上海）资产管理有限公司</w:t>
      </w:r>
    </w:p>
    <w:p w:rsidR="0081139D" w:rsidRDefault="00FA164F">
      <w:pPr>
        <w:spacing w:line="360" w:lineRule="auto"/>
        <w:ind w:firstLineChars="450" w:firstLine="1260"/>
        <w:rPr>
          <w:rFonts w:ascii="宋体" w:hAnsi="宋体"/>
          <w:sz w:val="28"/>
          <w:szCs w:val="28"/>
        </w:rPr>
      </w:pPr>
      <w:r>
        <w:rPr>
          <w:rFonts w:ascii="宋体" w:hAnsi="宋体"/>
          <w:sz w:val="28"/>
          <w:szCs w:val="28"/>
        </w:rPr>
        <w:t>基金托管人：</w:t>
      </w:r>
      <w:r>
        <w:rPr>
          <w:rFonts w:ascii="宋体" w:hAnsi="宋体" w:hint="eastAsia"/>
          <w:sz w:val="28"/>
          <w:szCs w:val="28"/>
        </w:rPr>
        <w:t>平安</w:t>
      </w:r>
      <w:r>
        <w:rPr>
          <w:rFonts w:ascii="宋体" w:hAnsi="宋体" w:hint="eastAsia"/>
          <w:sz w:val="28"/>
          <w:szCs w:val="28"/>
        </w:rPr>
        <w:t>银行股份有限公司</w:t>
      </w:r>
    </w:p>
    <w:p w:rsidR="0081139D" w:rsidRDefault="0081139D">
      <w:pPr>
        <w:spacing w:line="360" w:lineRule="auto"/>
        <w:jc w:val="center"/>
        <w:rPr>
          <w:rFonts w:ascii="宋体" w:hAnsi="宋体"/>
          <w:sz w:val="28"/>
          <w:szCs w:val="28"/>
        </w:rPr>
      </w:pPr>
    </w:p>
    <w:p w:rsidR="0081139D" w:rsidRDefault="0081139D">
      <w:pPr>
        <w:spacing w:line="360" w:lineRule="auto"/>
        <w:jc w:val="center"/>
        <w:rPr>
          <w:rFonts w:ascii="宋体" w:hAnsi="宋体"/>
          <w:sz w:val="28"/>
          <w:szCs w:val="28"/>
        </w:rPr>
      </w:pPr>
    </w:p>
    <w:p w:rsidR="0081139D" w:rsidRDefault="0081139D">
      <w:pPr>
        <w:spacing w:line="360" w:lineRule="auto"/>
        <w:jc w:val="center"/>
        <w:rPr>
          <w:rFonts w:ascii="宋体" w:hAnsi="宋体"/>
          <w:sz w:val="28"/>
          <w:szCs w:val="28"/>
        </w:rPr>
      </w:pPr>
    </w:p>
    <w:p w:rsidR="0081139D" w:rsidRDefault="00FA164F">
      <w:pPr>
        <w:spacing w:line="360" w:lineRule="auto"/>
        <w:jc w:val="center"/>
        <w:rPr>
          <w:rFonts w:ascii="宋体" w:hAnsi="宋体"/>
          <w:sz w:val="28"/>
          <w:szCs w:val="28"/>
        </w:rPr>
      </w:pPr>
      <w:r>
        <w:rPr>
          <w:rFonts w:ascii="宋体" w:hAnsi="宋体"/>
          <w:sz w:val="28"/>
          <w:szCs w:val="28"/>
        </w:rPr>
        <w:t>二〇二</w:t>
      </w:r>
      <w:r>
        <w:rPr>
          <w:rFonts w:ascii="宋体" w:hAnsi="宋体" w:hint="eastAsia"/>
          <w:sz w:val="28"/>
          <w:szCs w:val="28"/>
        </w:rPr>
        <w:t>五</w:t>
      </w:r>
      <w:r>
        <w:rPr>
          <w:rFonts w:ascii="宋体" w:hAnsi="宋体" w:hint="eastAsia"/>
          <w:sz w:val="28"/>
          <w:szCs w:val="28"/>
        </w:rPr>
        <w:t>年</w:t>
      </w:r>
      <w:r>
        <w:rPr>
          <w:rFonts w:ascii="宋体" w:hAnsi="宋体" w:hint="eastAsia"/>
          <w:sz w:val="28"/>
          <w:szCs w:val="28"/>
        </w:rPr>
        <w:t>十一</w:t>
      </w:r>
      <w:r>
        <w:rPr>
          <w:rFonts w:ascii="宋体" w:hAnsi="宋体"/>
          <w:sz w:val="28"/>
          <w:szCs w:val="28"/>
        </w:rPr>
        <w:t>月</w:t>
      </w:r>
    </w:p>
    <w:p w:rsidR="0081139D" w:rsidRDefault="0081139D">
      <w:pPr>
        <w:spacing w:line="360" w:lineRule="auto"/>
        <w:jc w:val="center"/>
        <w:rPr>
          <w:rFonts w:ascii="宋体" w:hAnsi="宋体"/>
          <w:sz w:val="28"/>
          <w:szCs w:val="28"/>
        </w:rPr>
      </w:pPr>
    </w:p>
    <w:p w:rsidR="0081139D" w:rsidRDefault="0081139D">
      <w:pPr>
        <w:spacing w:line="360" w:lineRule="auto"/>
        <w:jc w:val="center"/>
        <w:rPr>
          <w:rFonts w:ascii="宋体" w:hAnsi="宋体"/>
          <w:sz w:val="28"/>
          <w:szCs w:val="28"/>
        </w:rPr>
      </w:pPr>
    </w:p>
    <w:p w:rsidR="0081139D" w:rsidRDefault="0081139D">
      <w:pPr>
        <w:spacing w:line="360" w:lineRule="auto"/>
        <w:jc w:val="center"/>
        <w:rPr>
          <w:rFonts w:ascii="宋体" w:hAnsi="宋体"/>
          <w:sz w:val="28"/>
          <w:szCs w:val="28"/>
        </w:rPr>
      </w:pPr>
    </w:p>
    <w:p w:rsidR="0081139D" w:rsidRDefault="0081139D">
      <w:pPr>
        <w:spacing w:line="360" w:lineRule="auto"/>
        <w:jc w:val="center"/>
        <w:rPr>
          <w:rFonts w:ascii="宋体" w:hAnsi="宋体"/>
          <w:sz w:val="28"/>
          <w:szCs w:val="28"/>
        </w:rPr>
      </w:pPr>
    </w:p>
    <w:p w:rsidR="0081139D" w:rsidRDefault="00FA164F">
      <w:pPr>
        <w:pStyle w:val="a7"/>
        <w:jc w:val="center"/>
        <w:rPr>
          <w:color w:val="auto"/>
        </w:rPr>
      </w:pPr>
      <w:r>
        <w:rPr>
          <w:rFonts w:hint="eastAsia"/>
          <w:color w:val="auto"/>
        </w:rPr>
        <w:t>目</w:t>
      </w:r>
      <w:r>
        <w:rPr>
          <w:rFonts w:hint="eastAsia"/>
          <w:color w:val="auto"/>
        </w:rPr>
        <w:t xml:space="preserve">  </w:t>
      </w:r>
      <w:r>
        <w:rPr>
          <w:rFonts w:hint="eastAsia"/>
          <w:color w:val="auto"/>
        </w:rPr>
        <w:t>录</w:t>
      </w:r>
    </w:p>
    <w:p w:rsidR="0081139D" w:rsidRDefault="0081139D"/>
    <w:p w:rsidR="0081139D" w:rsidRDefault="0081139D" w:rsidP="00FA164F">
      <w:pPr>
        <w:pStyle w:val="10"/>
        <w:tabs>
          <w:tab w:val="right" w:leader="dot" w:pos="7745"/>
        </w:tabs>
        <w:spacing w:before="312" w:after="312"/>
      </w:pPr>
      <w:r>
        <w:rPr>
          <w:rFonts w:ascii="宋体" w:hAnsi="宋体"/>
        </w:rPr>
        <w:fldChar w:fldCharType="begin"/>
      </w:r>
      <w:r w:rsidR="00FA164F">
        <w:rPr>
          <w:rFonts w:ascii="宋体" w:hAnsi="宋体"/>
        </w:rPr>
        <w:instrText xml:space="preserve"> TOC \o "1-1" \h \z \u </w:instrText>
      </w:r>
      <w:r>
        <w:rPr>
          <w:rFonts w:ascii="宋体" w:hAnsi="宋体"/>
        </w:rPr>
        <w:fldChar w:fldCharType="separate"/>
      </w:r>
      <w:hyperlink w:anchor="_Toc9285" w:history="1">
        <w:r w:rsidR="00FA164F">
          <w:rPr>
            <w:rFonts w:ascii="宋体" w:hAnsi="宋体" w:hint="eastAsia"/>
            <w:bCs/>
            <w:szCs w:val="30"/>
          </w:rPr>
          <w:t>【重要提示】</w:t>
        </w:r>
        <w:r w:rsidR="00FA164F">
          <w:tab/>
        </w:r>
        <w:r>
          <w:fldChar w:fldCharType="begin"/>
        </w:r>
        <w:r w:rsidR="00FA164F">
          <w:instrText xml:space="preserve"> PAGEREF _Toc9285 \h </w:instrText>
        </w:r>
        <w:r>
          <w:fldChar w:fldCharType="separate"/>
        </w:r>
        <w:r w:rsidR="00FA164F">
          <w:t>1</w:t>
        </w:r>
        <w:r>
          <w:fldChar w:fldCharType="end"/>
        </w:r>
      </w:hyperlink>
    </w:p>
    <w:p w:rsidR="0081139D" w:rsidRDefault="0081139D" w:rsidP="00FA164F">
      <w:pPr>
        <w:pStyle w:val="10"/>
        <w:tabs>
          <w:tab w:val="right" w:leader="dot" w:pos="7745"/>
        </w:tabs>
        <w:spacing w:before="312" w:after="312"/>
        <w:pPrChange w:id="0" w:author="作者" w:date="2025-11-27T00:03:00Z">
          <w:pPr>
            <w:pStyle w:val="10"/>
            <w:tabs>
              <w:tab w:val="right" w:leader="dot" w:pos="7745"/>
            </w:tabs>
            <w:spacing w:before="312" w:after="312"/>
          </w:pPr>
        </w:pPrChange>
      </w:pPr>
      <w:r>
        <w:rPr>
          <w:rFonts w:ascii="宋体" w:hAnsi="宋体"/>
        </w:rPr>
        <w:fldChar w:fldCharType="begin"/>
      </w:r>
      <w:r w:rsidR="00FA164F">
        <w:rPr>
          <w:rFonts w:ascii="宋体" w:hAnsi="宋体"/>
        </w:rPr>
        <w:instrText xml:space="preserve"> HYPERLINK \l _Toc4015 </w:instrText>
      </w:r>
      <w:r>
        <w:rPr>
          <w:rFonts w:ascii="宋体" w:hAnsi="宋体"/>
        </w:rPr>
        <w:fldChar w:fldCharType="separate"/>
      </w:r>
      <w:r w:rsidR="00FA164F">
        <w:rPr>
          <w:rFonts w:ascii="宋体" w:hAnsi="宋体" w:hint="eastAsia"/>
          <w:bCs/>
          <w:szCs w:val="30"/>
        </w:rPr>
        <w:t>一、基金份额发售基本情况</w:t>
      </w:r>
      <w:r w:rsidR="00FA164F">
        <w:tab/>
      </w:r>
      <w:r>
        <w:fldChar w:fldCharType="begin"/>
      </w:r>
      <w:r w:rsidR="00FA164F">
        <w:instrText xml:space="preserve"> PAGEREF _Toc4015 \h </w:instrText>
      </w:r>
      <w:r>
        <w:fldChar w:fldCharType="separate"/>
      </w:r>
      <w:r w:rsidR="00FA164F">
        <w:t>5</w:t>
      </w:r>
      <w:r>
        <w:fldChar w:fldCharType="end"/>
      </w:r>
      <w:r>
        <w:rPr>
          <w:rFonts w:ascii="宋体" w:hAnsi="宋体"/>
        </w:rPr>
        <w:fldChar w:fldCharType="end"/>
      </w:r>
    </w:p>
    <w:p w:rsidR="0081139D" w:rsidRDefault="0081139D" w:rsidP="00FA164F">
      <w:pPr>
        <w:pStyle w:val="10"/>
        <w:tabs>
          <w:tab w:val="right" w:leader="dot" w:pos="7745"/>
        </w:tabs>
        <w:spacing w:before="312" w:after="312"/>
        <w:pPrChange w:id="1" w:author="作者" w:date="2025-11-27T00:03:00Z">
          <w:pPr>
            <w:pStyle w:val="10"/>
            <w:tabs>
              <w:tab w:val="right" w:leader="dot" w:pos="7745"/>
            </w:tabs>
            <w:spacing w:before="312" w:after="312"/>
          </w:pPr>
        </w:pPrChange>
      </w:pPr>
      <w:r>
        <w:rPr>
          <w:rFonts w:ascii="宋体" w:hAnsi="宋体"/>
        </w:rPr>
        <w:fldChar w:fldCharType="begin"/>
      </w:r>
      <w:r w:rsidR="00FA164F">
        <w:rPr>
          <w:rFonts w:ascii="宋体" w:hAnsi="宋体"/>
        </w:rPr>
        <w:instrText xml:space="preserve"> HYPERLINK \l _Toc29889 </w:instrText>
      </w:r>
      <w:r>
        <w:rPr>
          <w:rFonts w:ascii="宋体" w:hAnsi="宋体"/>
        </w:rPr>
        <w:fldChar w:fldCharType="separate"/>
      </w:r>
      <w:r w:rsidR="00FA164F">
        <w:rPr>
          <w:rFonts w:ascii="宋体" w:hAnsi="宋体" w:hint="eastAsia"/>
          <w:bCs/>
          <w:szCs w:val="30"/>
        </w:rPr>
        <w:t>二、募集方式与相关规定</w:t>
      </w:r>
      <w:bookmarkStart w:id="2" w:name="_GoBack"/>
      <w:bookmarkEnd w:id="2"/>
      <w:r w:rsidR="00FA164F">
        <w:tab/>
      </w:r>
      <w:r>
        <w:fldChar w:fldCharType="begin"/>
      </w:r>
      <w:r w:rsidR="00FA164F">
        <w:instrText xml:space="preserve"> PAGEREF _Toc29889 \h </w:instrText>
      </w:r>
      <w:r>
        <w:fldChar w:fldCharType="separate"/>
      </w:r>
      <w:r w:rsidR="00FA164F">
        <w:t>7</w:t>
      </w:r>
      <w:r>
        <w:fldChar w:fldCharType="end"/>
      </w:r>
      <w:r>
        <w:rPr>
          <w:rFonts w:ascii="宋体" w:hAnsi="宋体"/>
        </w:rPr>
        <w:fldChar w:fldCharType="end"/>
      </w:r>
    </w:p>
    <w:p w:rsidR="0081139D" w:rsidRDefault="0081139D" w:rsidP="00FA164F">
      <w:pPr>
        <w:pStyle w:val="10"/>
        <w:tabs>
          <w:tab w:val="right" w:leader="dot" w:pos="7745"/>
        </w:tabs>
        <w:spacing w:before="312" w:after="312"/>
        <w:pPrChange w:id="3" w:author="作者" w:date="2025-11-27T00:03:00Z">
          <w:pPr>
            <w:pStyle w:val="10"/>
            <w:tabs>
              <w:tab w:val="right" w:leader="dot" w:pos="7745"/>
            </w:tabs>
            <w:spacing w:before="312" w:after="312"/>
          </w:pPr>
        </w:pPrChange>
      </w:pPr>
      <w:r>
        <w:rPr>
          <w:rFonts w:ascii="宋体" w:hAnsi="宋体"/>
        </w:rPr>
        <w:fldChar w:fldCharType="begin"/>
      </w:r>
      <w:r w:rsidR="00FA164F">
        <w:rPr>
          <w:rFonts w:ascii="宋体" w:hAnsi="宋体"/>
        </w:rPr>
        <w:instrText xml:space="preserve"> HYPERLINK \l _Toc20687 </w:instrText>
      </w:r>
      <w:r>
        <w:rPr>
          <w:rFonts w:ascii="宋体" w:hAnsi="宋体"/>
        </w:rPr>
        <w:fldChar w:fldCharType="separate"/>
      </w:r>
      <w:r w:rsidR="00FA164F">
        <w:rPr>
          <w:rFonts w:ascii="宋体" w:hAnsi="宋体" w:hint="eastAsia"/>
          <w:bCs/>
          <w:szCs w:val="30"/>
        </w:rPr>
        <w:t>三、基金管理人直销柜台的开户与认购程序</w:t>
      </w:r>
      <w:r w:rsidR="00FA164F">
        <w:tab/>
      </w:r>
      <w:r>
        <w:fldChar w:fldCharType="begin"/>
      </w:r>
      <w:r w:rsidR="00FA164F">
        <w:instrText xml:space="preserve"> PAGEREF _Toc20687 \h </w:instrText>
      </w:r>
      <w:r>
        <w:fldChar w:fldCharType="separate"/>
      </w:r>
      <w:r w:rsidR="00FA164F">
        <w:t>11</w:t>
      </w:r>
      <w:r>
        <w:fldChar w:fldCharType="end"/>
      </w:r>
      <w:r>
        <w:rPr>
          <w:rFonts w:ascii="宋体" w:hAnsi="宋体"/>
        </w:rPr>
        <w:fldChar w:fldCharType="end"/>
      </w:r>
    </w:p>
    <w:p w:rsidR="0081139D" w:rsidRDefault="0081139D" w:rsidP="00FA164F">
      <w:pPr>
        <w:pStyle w:val="10"/>
        <w:tabs>
          <w:tab w:val="right" w:leader="dot" w:pos="7745"/>
        </w:tabs>
        <w:spacing w:before="312" w:after="312"/>
        <w:pPrChange w:id="4" w:author="作者" w:date="2025-11-27T00:03:00Z">
          <w:pPr>
            <w:pStyle w:val="10"/>
            <w:tabs>
              <w:tab w:val="right" w:leader="dot" w:pos="7745"/>
            </w:tabs>
            <w:spacing w:before="312" w:after="312"/>
          </w:pPr>
        </w:pPrChange>
      </w:pPr>
      <w:r>
        <w:rPr>
          <w:rFonts w:ascii="宋体" w:hAnsi="宋体"/>
        </w:rPr>
        <w:fldChar w:fldCharType="begin"/>
      </w:r>
      <w:r w:rsidR="00FA164F">
        <w:rPr>
          <w:rFonts w:ascii="宋体" w:hAnsi="宋体"/>
        </w:rPr>
        <w:instrText xml:space="preserve"> HYPERLINK \l _Toc22342 </w:instrText>
      </w:r>
      <w:r>
        <w:rPr>
          <w:rFonts w:ascii="宋体" w:hAnsi="宋体"/>
        </w:rPr>
        <w:fldChar w:fldCharType="separate"/>
      </w:r>
      <w:r w:rsidR="00FA164F">
        <w:rPr>
          <w:rFonts w:ascii="宋体" w:hAnsi="宋体" w:hint="eastAsia"/>
          <w:bCs/>
          <w:szCs w:val="30"/>
        </w:rPr>
        <w:t>四、基金管理人</w:t>
      </w:r>
      <w:r w:rsidR="00FA164F">
        <w:rPr>
          <w:rFonts w:ascii="宋体" w:hAnsi="宋体" w:hint="eastAsia"/>
          <w:bCs/>
          <w:szCs w:val="30"/>
        </w:rPr>
        <w:t>网上交易系统的开户与认购程序</w:t>
      </w:r>
      <w:r w:rsidR="00FA164F">
        <w:tab/>
      </w:r>
      <w:r>
        <w:fldChar w:fldCharType="begin"/>
      </w:r>
      <w:r w:rsidR="00FA164F">
        <w:instrText xml:space="preserve"> PAGEREF _Toc22342 \h </w:instrText>
      </w:r>
      <w:r>
        <w:fldChar w:fldCharType="separate"/>
      </w:r>
      <w:r w:rsidR="00FA164F">
        <w:t>15</w:t>
      </w:r>
      <w:r>
        <w:fldChar w:fldCharType="end"/>
      </w:r>
      <w:r>
        <w:rPr>
          <w:rFonts w:ascii="宋体" w:hAnsi="宋体"/>
        </w:rPr>
        <w:fldChar w:fldCharType="end"/>
      </w:r>
    </w:p>
    <w:p w:rsidR="0081139D" w:rsidRDefault="0081139D" w:rsidP="00FA164F">
      <w:pPr>
        <w:pStyle w:val="10"/>
        <w:tabs>
          <w:tab w:val="right" w:leader="dot" w:pos="7745"/>
        </w:tabs>
        <w:spacing w:before="312" w:after="312"/>
        <w:pPrChange w:id="5" w:author="作者" w:date="2025-11-27T00:03:00Z">
          <w:pPr>
            <w:pStyle w:val="10"/>
            <w:tabs>
              <w:tab w:val="right" w:leader="dot" w:pos="7745"/>
            </w:tabs>
            <w:spacing w:before="312" w:after="312"/>
          </w:pPr>
        </w:pPrChange>
      </w:pPr>
      <w:r>
        <w:rPr>
          <w:rFonts w:ascii="宋体" w:hAnsi="宋体"/>
        </w:rPr>
        <w:fldChar w:fldCharType="begin"/>
      </w:r>
      <w:r w:rsidR="00FA164F">
        <w:rPr>
          <w:rFonts w:ascii="宋体" w:hAnsi="宋体"/>
        </w:rPr>
        <w:instrText xml:space="preserve"> HYPERLINK \l _Toc32424 </w:instrText>
      </w:r>
      <w:r>
        <w:rPr>
          <w:rFonts w:ascii="宋体" w:hAnsi="宋体"/>
        </w:rPr>
        <w:fldChar w:fldCharType="separate"/>
      </w:r>
      <w:r w:rsidR="00FA164F">
        <w:rPr>
          <w:rFonts w:ascii="宋体" w:hAnsi="宋体" w:hint="eastAsia"/>
          <w:bCs/>
          <w:szCs w:val="30"/>
        </w:rPr>
        <w:t>五、</w:t>
      </w:r>
      <w:r w:rsidR="00FA164F">
        <w:rPr>
          <w:rFonts w:ascii="宋体" w:hAnsi="宋体" w:hint="eastAsia"/>
          <w:bCs/>
          <w:szCs w:val="30"/>
        </w:rPr>
        <w:t>其他销售机构的开户与认购程序</w:t>
      </w:r>
      <w:r w:rsidR="00FA164F">
        <w:tab/>
      </w:r>
      <w:r>
        <w:fldChar w:fldCharType="begin"/>
      </w:r>
      <w:r w:rsidR="00FA164F">
        <w:instrText xml:space="preserve"> PAGERE</w:instrText>
      </w:r>
      <w:r w:rsidR="00FA164F">
        <w:instrText xml:space="preserve">F _Toc32424 \h </w:instrText>
      </w:r>
      <w:r>
        <w:fldChar w:fldCharType="separate"/>
      </w:r>
      <w:r w:rsidR="00FA164F">
        <w:t>15</w:t>
      </w:r>
      <w:r>
        <w:fldChar w:fldCharType="end"/>
      </w:r>
      <w:r>
        <w:rPr>
          <w:rFonts w:ascii="宋体" w:hAnsi="宋体"/>
        </w:rPr>
        <w:fldChar w:fldCharType="end"/>
      </w:r>
    </w:p>
    <w:p w:rsidR="0081139D" w:rsidRDefault="0081139D" w:rsidP="00FA164F">
      <w:pPr>
        <w:pStyle w:val="10"/>
        <w:tabs>
          <w:tab w:val="right" w:leader="dot" w:pos="7745"/>
        </w:tabs>
        <w:spacing w:before="312" w:after="312"/>
        <w:pPrChange w:id="6" w:author="作者" w:date="2025-11-27T00:03:00Z">
          <w:pPr>
            <w:pStyle w:val="10"/>
            <w:tabs>
              <w:tab w:val="right" w:leader="dot" w:pos="7745"/>
            </w:tabs>
            <w:spacing w:before="312" w:after="312"/>
          </w:pPr>
        </w:pPrChange>
      </w:pPr>
      <w:r>
        <w:rPr>
          <w:rFonts w:ascii="宋体" w:hAnsi="宋体"/>
        </w:rPr>
        <w:fldChar w:fldCharType="begin"/>
      </w:r>
      <w:r w:rsidR="00FA164F">
        <w:rPr>
          <w:rFonts w:ascii="宋体" w:hAnsi="宋体"/>
        </w:rPr>
        <w:instrText xml:space="preserve"> HYPERLINK \l _Toc30749 </w:instrText>
      </w:r>
      <w:r>
        <w:rPr>
          <w:rFonts w:ascii="宋体" w:hAnsi="宋体"/>
        </w:rPr>
        <w:fldChar w:fldCharType="separate"/>
      </w:r>
      <w:r w:rsidR="00FA164F">
        <w:rPr>
          <w:rFonts w:ascii="宋体" w:hAnsi="宋体" w:hint="eastAsia"/>
          <w:bCs/>
          <w:szCs w:val="30"/>
        </w:rPr>
        <w:t>六</w:t>
      </w:r>
      <w:r w:rsidR="00FA164F">
        <w:rPr>
          <w:rFonts w:ascii="宋体" w:hAnsi="宋体" w:hint="eastAsia"/>
          <w:bCs/>
          <w:szCs w:val="30"/>
        </w:rPr>
        <w:t>、清算与交割</w:t>
      </w:r>
      <w:r w:rsidR="00FA164F">
        <w:tab/>
      </w:r>
      <w:r>
        <w:fldChar w:fldCharType="begin"/>
      </w:r>
      <w:r w:rsidR="00FA164F">
        <w:instrText xml:space="preserve"> PAGEREF _Toc30749 \h </w:instrText>
      </w:r>
      <w:r>
        <w:fldChar w:fldCharType="separate"/>
      </w:r>
      <w:r w:rsidR="00FA164F">
        <w:t>15</w:t>
      </w:r>
      <w:r>
        <w:fldChar w:fldCharType="end"/>
      </w:r>
      <w:r>
        <w:rPr>
          <w:rFonts w:ascii="宋体" w:hAnsi="宋体"/>
        </w:rPr>
        <w:fldChar w:fldCharType="end"/>
      </w:r>
    </w:p>
    <w:p w:rsidR="0081139D" w:rsidRDefault="0081139D" w:rsidP="00FA164F">
      <w:pPr>
        <w:pStyle w:val="10"/>
        <w:tabs>
          <w:tab w:val="right" w:leader="dot" w:pos="7745"/>
        </w:tabs>
        <w:spacing w:before="312" w:after="312"/>
        <w:pPrChange w:id="7" w:author="作者" w:date="2025-11-27T00:03:00Z">
          <w:pPr>
            <w:pStyle w:val="10"/>
            <w:tabs>
              <w:tab w:val="right" w:leader="dot" w:pos="7745"/>
            </w:tabs>
            <w:spacing w:before="312" w:after="312"/>
          </w:pPr>
        </w:pPrChange>
      </w:pPr>
      <w:r>
        <w:rPr>
          <w:rFonts w:ascii="宋体" w:hAnsi="宋体"/>
        </w:rPr>
        <w:fldChar w:fldCharType="begin"/>
      </w:r>
      <w:r w:rsidR="00FA164F">
        <w:rPr>
          <w:rFonts w:ascii="宋体" w:hAnsi="宋体"/>
        </w:rPr>
        <w:instrText xml:space="preserve"> HYPERLINK \l _Toc7455 </w:instrText>
      </w:r>
      <w:r>
        <w:rPr>
          <w:rFonts w:ascii="宋体" w:hAnsi="宋体"/>
        </w:rPr>
        <w:fldChar w:fldCharType="separate"/>
      </w:r>
      <w:r w:rsidR="00FA164F">
        <w:rPr>
          <w:rFonts w:ascii="宋体" w:hAnsi="宋体" w:hint="eastAsia"/>
          <w:szCs w:val="30"/>
        </w:rPr>
        <w:t>七</w:t>
      </w:r>
      <w:r w:rsidR="00FA164F">
        <w:rPr>
          <w:rFonts w:ascii="宋体" w:hAnsi="宋体" w:hint="eastAsia"/>
          <w:szCs w:val="30"/>
        </w:rPr>
        <w:t>、基金的验资与基金合同生效</w:t>
      </w:r>
      <w:r w:rsidR="00FA164F">
        <w:tab/>
      </w:r>
      <w:r>
        <w:fldChar w:fldCharType="begin"/>
      </w:r>
      <w:r w:rsidR="00FA164F">
        <w:instrText xml:space="preserve"> PAGEREF _Toc7455 \h </w:instrText>
      </w:r>
      <w:r>
        <w:fldChar w:fldCharType="separate"/>
      </w:r>
      <w:r w:rsidR="00FA164F">
        <w:t>16</w:t>
      </w:r>
      <w:r>
        <w:fldChar w:fldCharType="end"/>
      </w:r>
      <w:r>
        <w:rPr>
          <w:rFonts w:ascii="宋体" w:hAnsi="宋体"/>
        </w:rPr>
        <w:fldChar w:fldCharType="end"/>
      </w:r>
    </w:p>
    <w:p w:rsidR="0081139D" w:rsidRDefault="0081139D" w:rsidP="00FA164F">
      <w:pPr>
        <w:pStyle w:val="10"/>
        <w:tabs>
          <w:tab w:val="right" w:leader="dot" w:pos="7745"/>
        </w:tabs>
        <w:spacing w:before="312" w:after="312"/>
        <w:pPrChange w:id="8" w:author="作者" w:date="2025-11-27T00:03:00Z">
          <w:pPr>
            <w:pStyle w:val="10"/>
            <w:tabs>
              <w:tab w:val="right" w:leader="dot" w:pos="7745"/>
            </w:tabs>
            <w:spacing w:before="312" w:after="312"/>
          </w:pPr>
        </w:pPrChange>
      </w:pPr>
      <w:r>
        <w:rPr>
          <w:rFonts w:ascii="宋体" w:hAnsi="宋体"/>
        </w:rPr>
        <w:fldChar w:fldCharType="begin"/>
      </w:r>
      <w:r w:rsidR="00FA164F">
        <w:rPr>
          <w:rFonts w:ascii="宋体" w:hAnsi="宋体"/>
        </w:rPr>
        <w:instrText xml:space="preserve"> HYPERLINK \l _Toc6504 </w:instrText>
      </w:r>
      <w:r>
        <w:rPr>
          <w:rFonts w:ascii="宋体" w:hAnsi="宋体"/>
        </w:rPr>
        <w:fldChar w:fldCharType="separate"/>
      </w:r>
      <w:r w:rsidR="00FA164F">
        <w:rPr>
          <w:rFonts w:ascii="宋体" w:hAnsi="宋体" w:hint="eastAsia"/>
          <w:szCs w:val="30"/>
        </w:rPr>
        <w:t>八</w:t>
      </w:r>
      <w:r w:rsidR="00FA164F">
        <w:rPr>
          <w:rFonts w:ascii="宋体" w:hAnsi="宋体" w:hint="eastAsia"/>
          <w:szCs w:val="30"/>
        </w:rPr>
        <w:t>、份额发售当事人和中介机构</w:t>
      </w:r>
      <w:r w:rsidR="00FA164F">
        <w:tab/>
      </w:r>
      <w:r>
        <w:fldChar w:fldCharType="begin"/>
      </w:r>
      <w:r w:rsidR="00FA164F">
        <w:instrText xml:space="preserve"> PAGEREF _Toc6504 \h </w:instrText>
      </w:r>
      <w:r>
        <w:fldChar w:fldCharType="separate"/>
      </w:r>
      <w:r w:rsidR="00FA164F">
        <w:t>17</w:t>
      </w:r>
      <w:r>
        <w:fldChar w:fldCharType="end"/>
      </w:r>
      <w:r>
        <w:rPr>
          <w:rFonts w:ascii="宋体" w:hAnsi="宋体"/>
        </w:rPr>
        <w:fldChar w:fldCharType="end"/>
      </w:r>
    </w:p>
    <w:p w:rsidR="0081139D" w:rsidRDefault="0081139D">
      <w:pPr>
        <w:spacing w:line="360" w:lineRule="auto"/>
        <w:rPr>
          <w:rFonts w:ascii="宋体" w:hAnsi="宋体"/>
          <w:sz w:val="24"/>
        </w:rPr>
      </w:pPr>
      <w:r>
        <w:rPr>
          <w:rFonts w:ascii="宋体" w:hAnsi="宋体"/>
          <w:sz w:val="24"/>
          <w:szCs w:val="24"/>
        </w:rPr>
        <w:fldChar w:fldCharType="end"/>
      </w:r>
    </w:p>
    <w:p w:rsidR="0081139D" w:rsidRDefault="0081139D">
      <w:pPr>
        <w:rPr>
          <w:rFonts w:ascii="宋体" w:hAnsi="宋体"/>
          <w:sz w:val="24"/>
        </w:rPr>
      </w:pPr>
    </w:p>
    <w:p w:rsidR="0081139D" w:rsidRDefault="0081139D">
      <w:pPr>
        <w:rPr>
          <w:rFonts w:ascii="宋体" w:hAnsi="宋体"/>
          <w:sz w:val="24"/>
        </w:rPr>
      </w:pPr>
    </w:p>
    <w:p w:rsidR="0081139D" w:rsidRDefault="0081139D">
      <w:pPr>
        <w:rPr>
          <w:rFonts w:ascii="宋体" w:hAnsi="宋体"/>
          <w:sz w:val="24"/>
        </w:rPr>
      </w:pPr>
    </w:p>
    <w:p w:rsidR="0081139D" w:rsidRDefault="0081139D">
      <w:pPr>
        <w:rPr>
          <w:rFonts w:ascii="宋体" w:hAnsi="宋体"/>
          <w:sz w:val="24"/>
        </w:rPr>
      </w:pPr>
    </w:p>
    <w:p w:rsidR="0081139D" w:rsidRDefault="0081139D">
      <w:pPr>
        <w:rPr>
          <w:rFonts w:ascii="宋体" w:hAnsi="宋体"/>
          <w:sz w:val="24"/>
        </w:rPr>
      </w:pPr>
    </w:p>
    <w:p w:rsidR="0081139D" w:rsidRDefault="0081139D">
      <w:pPr>
        <w:rPr>
          <w:rFonts w:ascii="宋体" w:hAnsi="宋体"/>
          <w:sz w:val="24"/>
        </w:rPr>
      </w:pPr>
    </w:p>
    <w:p w:rsidR="0081139D" w:rsidRDefault="0081139D">
      <w:pPr>
        <w:rPr>
          <w:rFonts w:ascii="宋体" w:hAnsi="宋体"/>
          <w:sz w:val="24"/>
        </w:rPr>
      </w:pPr>
    </w:p>
    <w:p w:rsidR="0081139D" w:rsidRDefault="0081139D">
      <w:pPr>
        <w:rPr>
          <w:rFonts w:ascii="宋体" w:hAnsi="宋体"/>
          <w:sz w:val="24"/>
        </w:rPr>
      </w:pPr>
    </w:p>
    <w:p w:rsidR="0081139D" w:rsidRDefault="0081139D">
      <w:pPr>
        <w:rPr>
          <w:rFonts w:ascii="宋体" w:hAnsi="宋体"/>
          <w:sz w:val="24"/>
        </w:rPr>
      </w:pPr>
    </w:p>
    <w:p w:rsidR="0081139D" w:rsidRDefault="0081139D">
      <w:pPr>
        <w:jc w:val="center"/>
        <w:rPr>
          <w:rFonts w:ascii="宋体" w:hAnsi="宋体"/>
          <w:sz w:val="24"/>
        </w:rPr>
      </w:pPr>
    </w:p>
    <w:p w:rsidR="0081139D" w:rsidRDefault="0081139D">
      <w:pPr>
        <w:rPr>
          <w:rFonts w:ascii="宋体" w:hAnsi="宋体"/>
          <w:sz w:val="24"/>
        </w:rPr>
        <w:sectPr w:rsidR="0081139D">
          <w:pgSz w:w="11906" w:h="16838"/>
          <w:pgMar w:top="1440" w:right="1797" w:bottom="1440" w:left="1797" w:header="851" w:footer="992" w:gutter="567"/>
          <w:pgNumType w:start="1"/>
          <w:cols w:space="720"/>
          <w:docGrid w:type="lines" w:linePitch="312"/>
        </w:sectPr>
      </w:pPr>
    </w:p>
    <w:p w:rsidR="0081139D" w:rsidRDefault="00FA164F">
      <w:pPr>
        <w:pStyle w:val="1"/>
        <w:spacing w:before="200" w:after="200" w:line="240" w:lineRule="auto"/>
        <w:ind w:firstLineChars="200" w:firstLine="602"/>
        <w:rPr>
          <w:rFonts w:ascii="宋体" w:eastAsia="宋体" w:hAnsi="宋体"/>
          <w:sz w:val="30"/>
          <w:szCs w:val="30"/>
        </w:rPr>
      </w:pPr>
      <w:bookmarkStart w:id="9" w:name="_Toc43727001"/>
      <w:bookmarkStart w:id="10" w:name="_Toc31167"/>
      <w:bookmarkStart w:id="11" w:name="_Toc9285"/>
      <w:bookmarkStart w:id="12" w:name="_Toc9190"/>
      <w:bookmarkStart w:id="13" w:name="_Toc11080"/>
      <w:r>
        <w:rPr>
          <w:rFonts w:ascii="宋体" w:eastAsia="宋体" w:hAnsi="宋体" w:hint="eastAsia"/>
          <w:sz w:val="30"/>
          <w:szCs w:val="30"/>
        </w:rPr>
        <w:lastRenderedPageBreak/>
        <w:t>【重要提示】</w:t>
      </w:r>
      <w:bookmarkEnd w:id="9"/>
      <w:bookmarkEnd w:id="10"/>
      <w:bookmarkEnd w:id="11"/>
      <w:bookmarkEnd w:id="12"/>
      <w:bookmarkEnd w:id="13"/>
    </w:p>
    <w:p w:rsidR="0081139D" w:rsidRDefault="00FA164F">
      <w:pPr>
        <w:tabs>
          <w:tab w:val="left" w:pos="0"/>
          <w:tab w:val="left" w:pos="720"/>
        </w:tabs>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长江中证全指指数增强型发起式证券投资基金</w:t>
      </w:r>
      <w:r>
        <w:rPr>
          <w:rFonts w:ascii="宋体" w:hAnsi="宋体" w:hint="eastAsia"/>
          <w:sz w:val="24"/>
        </w:rPr>
        <w:t>（以下简称“本基金”）的募集已获中国证监会</w:t>
      </w:r>
      <w:r>
        <w:rPr>
          <w:rFonts w:ascii="宋体" w:hAnsi="宋体" w:hint="eastAsia"/>
          <w:sz w:val="24"/>
        </w:rPr>
        <w:t>20</w:t>
      </w:r>
      <w:r>
        <w:rPr>
          <w:rFonts w:ascii="宋体" w:hAnsi="宋体" w:hint="eastAsia"/>
          <w:sz w:val="24"/>
        </w:rPr>
        <w:t>25</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17</w:t>
      </w:r>
      <w:r>
        <w:rPr>
          <w:rFonts w:ascii="宋体" w:hAnsi="宋体" w:hint="eastAsia"/>
          <w:sz w:val="24"/>
        </w:rPr>
        <w:t>日证监许可</w:t>
      </w:r>
      <w:r>
        <w:rPr>
          <w:rFonts w:ascii="宋体" w:hAnsi="宋体" w:hint="eastAsia"/>
          <w:sz w:val="24"/>
        </w:rPr>
        <w:t>[202</w:t>
      </w:r>
      <w:r>
        <w:rPr>
          <w:rFonts w:ascii="宋体" w:hAnsi="宋体" w:hint="eastAsia"/>
          <w:sz w:val="24"/>
        </w:rPr>
        <w:t>5</w:t>
      </w:r>
      <w:r>
        <w:rPr>
          <w:rFonts w:ascii="宋体" w:hAnsi="宋体" w:hint="eastAsia"/>
          <w:sz w:val="24"/>
        </w:rPr>
        <w:t>]</w:t>
      </w:r>
      <w:r>
        <w:rPr>
          <w:rFonts w:ascii="宋体" w:hAnsi="宋体" w:hint="eastAsia"/>
          <w:sz w:val="24"/>
        </w:rPr>
        <w:t>2540</w:t>
      </w:r>
      <w:r>
        <w:rPr>
          <w:rFonts w:ascii="宋体" w:hAnsi="宋体" w:hint="eastAsia"/>
          <w:sz w:val="24"/>
        </w:rPr>
        <w:t>号文准予募集注册。中国证监会对本基金募集的注册，并不表明其对本基金的价值和收益做出实质性判断或保证，也不表明投资于本基金没有风险。</w:t>
      </w:r>
    </w:p>
    <w:p w:rsidR="0081139D" w:rsidRDefault="00FA164F">
      <w:pPr>
        <w:tabs>
          <w:tab w:val="left" w:pos="0"/>
          <w:tab w:val="left" w:pos="720"/>
        </w:tabs>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、本基金</w:t>
      </w:r>
      <w:r>
        <w:rPr>
          <w:rFonts w:ascii="宋体" w:hAnsi="宋体" w:hint="eastAsia"/>
          <w:sz w:val="24"/>
        </w:rPr>
        <w:t>的基金类型</w:t>
      </w:r>
      <w:r>
        <w:rPr>
          <w:rFonts w:ascii="宋体" w:hAnsi="宋体" w:hint="eastAsia"/>
          <w:sz w:val="24"/>
        </w:rPr>
        <w:t>为</w:t>
      </w:r>
      <w:r>
        <w:rPr>
          <w:rFonts w:ascii="宋体" w:hAnsi="宋体" w:hint="eastAsia"/>
          <w:sz w:val="24"/>
        </w:rPr>
        <w:t>股票</w:t>
      </w:r>
      <w:r>
        <w:rPr>
          <w:rFonts w:ascii="宋体" w:hAnsi="宋体" w:hint="eastAsia"/>
          <w:sz w:val="24"/>
        </w:rPr>
        <w:t>型</w:t>
      </w:r>
      <w:r>
        <w:rPr>
          <w:rFonts w:ascii="宋体" w:hAnsi="宋体" w:hint="eastAsia"/>
          <w:sz w:val="24"/>
        </w:rPr>
        <w:t>证券投资</w:t>
      </w:r>
      <w:r>
        <w:rPr>
          <w:rFonts w:ascii="宋体" w:hAnsi="宋体" w:hint="eastAsia"/>
          <w:sz w:val="24"/>
        </w:rPr>
        <w:t>基金，运作方式为契约型开放式。</w:t>
      </w:r>
    </w:p>
    <w:p w:rsidR="0081139D" w:rsidRDefault="00FA164F">
      <w:pPr>
        <w:tabs>
          <w:tab w:val="left" w:pos="0"/>
          <w:tab w:val="left" w:pos="720"/>
        </w:tabs>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、本基金的</w:t>
      </w:r>
      <w:r>
        <w:rPr>
          <w:rFonts w:ascii="宋体" w:hAnsi="宋体" w:hint="eastAsia"/>
          <w:sz w:val="24"/>
        </w:rPr>
        <w:t>基金</w:t>
      </w:r>
      <w:r>
        <w:rPr>
          <w:rFonts w:ascii="宋体" w:hAnsi="宋体" w:hint="eastAsia"/>
          <w:sz w:val="24"/>
        </w:rPr>
        <w:t>管理人和</w:t>
      </w:r>
      <w:r>
        <w:rPr>
          <w:rFonts w:ascii="宋体" w:hAnsi="宋体"/>
          <w:sz w:val="24"/>
        </w:rPr>
        <w:t>登记机构</w:t>
      </w:r>
      <w:r>
        <w:rPr>
          <w:rFonts w:ascii="宋体" w:hAnsi="宋体" w:hint="eastAsia"/>
          <w:sz w:val="24"/>
        </w:rPr>
        <w:t>均为长江证券（上海）资产管理有限公司（以下简称“本公司”或“基金管理人”）</w:t>
      </w:r>
      <w:r>
        <w:rPr>
          <w:rFonts w:ascii="宋体" w:hAnsi="宋体"/>
          <w:sz w:val="24"/>
        </w:rPr>
        <w:t>，基金托管人为</w:t>
      </w:r>
      <w:r>
        <w:rPr>
          <w:rFonts w:ascii="宋体" w:hAnsi="宋体" w:hint="eastAsia"/>
          <w:sz w:val="24"/>
        </w:rPr>
        <w:t>平安</w:t>
      </w:r>
      <w:r>
        <w:rPr>
          <w:rFonts w:ascii="宋体" w:hAnsi="宋体" w:hint="eastAsia"/>
          <w:sz w:val="24"/>
        </w:rPr>
        <w:t>银行股份有限公司。</w:t>
      </w:r>
    </w:p>
    <w:p w:rsidR="0081139D" w:rsidRDefault="00FA164F">
      <w:pPr>
        <w:tabs>
          <w:tab w:val="left" w:pos="0"/>
          <w:tab w:val="left" w:pos="720"/>
        </w:tabs>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、本基金自</w:t>
      </w:r>
      <w:r>
        <w:rPr>
          <w:rFonts w:ascii="宋体" w:hAnsi="宋体" w:hint="eastAsia"/>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8</w:t>
      </w:r>
      <w:r>
        <w:rPr>
          <w:rFonts w:ascii="宋体" w:hAnsi="宋体" w:hint="eastAsia"/>
          <w:sz w:val="24"/>
        </w:rPr>
        <w:t>日至</w:t>
      </w:r>
      <w:r>
        <w:rPr>
          <w:rFonts w:ascii="宋体" w:hAnsi="宋体" w:hint="eastAsia"/>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31</w:t>
      </w:r>
      <w:r>
        <w:rPr>
          <w:rFonts w:ascii="宋体" w:hAnsi="宋体" w:hint="eastAsia"/>
          <w:sz w:val="24"/>
        </w:rPr>
        <w:t>日</w:t>
      </w:r>
      <w:r>
        <w:rPr>
          <w:rFonts w:ascii="宋体" w:hAnsi="宋体" w:hint="eastAsia"/>
          <w:sz w:val="24"/>
        </w:rPr>
        <w:t>通过基金管理人和基金管理人委托的其他销售机构面向投资者公开发售。基金管理人委托的其他销售机构详见</w:t>
      </w:r>
      <w:r>
        <w:rPr>
          <w:rFonts w:hint="eastAsia"/>
          <w:bCs/>
          <w:color w:val="000000"/>
          <w:sz w:val="24"/>
        </w:rPr>
        <w:t>基金管理人网站（</w:t>
      </w:r>
      <w:r>
        <w:rPr>
          <w:rFonts w:hint="eastAsia"/>
          <w:bCs/>
          <w:color w:val="000000"/>
          <w:sz w:val="24"/>
        </w:rPr>
        <w:t>www.cjzcgl.com</w:t>
      </w:r>
      <w:r>
        <w:rPr>
          <w:rFonts w:hint="eastAsia"/>
          <w:bCs/>
          <w:color w:val="000000"/>
          <w:sz w:val="24"/>
        </w:rPr>
        <w:t>）</w:t>
      </w:r>
      <w:r>
        <w:rPr>
          <w:rFonts w:ascii="宋体" w:hAnsi="宋体" w:hint="eastAsia"/>
          <w:sz w:val="24"/>
        </w:rPr>
        <w:t>。</w:t>
      </w:r>
    </w:p>
    <w:p w:rsidR="0081139D" w:rsidRDefault="00FA164F">
      <w:pPr>
        <w:tabs>
          <w:tab w:val="left" w:pos="0"/>
          <w:tab w:val="left" w:pos="720"/>
        </w:tabs>
        <w:spacing w:line="360" w:lineRule="auto"/>
        <w:ind w:firstLineChars="200" w:firstLine="480"/>
        <w:rPr>
          <w:rFonts w:ascii="宋体" w:hAnsi="宋体"/>
          <w:sz w:val="24"/>
        </w:rPr>
      </w:pPr>
      <w:r>
        <w:rPr>
          <w:rFonts w:ascii="宋体" w:hAnsi="宋体" w:hint="eastAsia"/>
          <w:sz w:val="24"/>
        </w:rPr>
        <w:t>本基金对通过基金管理人直销柜台认购本基金</w:t>
      </w:r>
      <w:r>
        <w:rPr>
          <w:rFonts w:ascii="宋体" w:hAnsi="宋体" w:hint="eastAsia"/>
          <w:sz w:val="24"/>
        </w:rPr>
        <w:t>A</w:t>
      </w:r>
      <w:r>
        <w:rPr>
          <w:rFonts w:ascii="宋体" w:hAnsi="宋体" w:hint="eastAsia"/>
          <w:sz w:val="24"/>
        </w:rPr>
        <w:t>类基金份额的特定投资群体与除此之外的其他投资者实施差别化的认购费率。本基金在首次募集期间，不参与销售机构开展的认购费率优惠活动，具体认购费率请参见本基金份额发售公告及招募说明书。</w:t>
      </w:r>
    </w:p>
    <w:p w:rsidR="0081139D" w:rsidRDefault="00FA164F">
      <w:pPr>
        <w:tabs>
          <w:tab w:val="left" w:pos="0"/>
          <w:tab w:val="left" w:pos="720"/>
        </w:tabs>
        <w:spacing w:line="360" w:lineRule="auto"/>
        <w:ind w:firstLineChars="200" w:firstLine="480"/>
        <w:rPr>
          <w:rFonts w:ascii="宋体" w:hAnsi="宋体"/>
          <w:sz w:val="24"/>
        </w:rPr>
      </w:pPr>
      <w:r>
        <w:rPr>
          <w:rFonts w:ascii="宋体" w:hAnsi="宋体" w:hint="eastAsia"/>
          <w:sz w:val="24"/>
        </w:rPr>
        <w:t>本基金募集期限</w:t>
      </w:r>
      <w:r>
        <w:rPr>
          <w:rFonts w:ascii="宋体" w:hAnsi="宋体"/>
          <w:sz w:val="24"/>
        </w:rPr>
        <w:t>自基金份额发售之日起最长不得超过</w:t>
      </w:r>
      <w:r>
        <w:rPr>
          <w:rFonts w:ascii="宋体" w:hAnsi="宋体"/>
          <w:sz w:val="24"/>
        </w:rPr>
        <w:t>3</w:t>
      </w:r>
      <w:r>
        <w:rPr>
          <w:rFonts w:ascii="宋体" w:hAnsi="宋体"/>
          <w:sz w:val="24"/>
        </w:rPr>
        <w:t>个月</w:t>
      </w:r>
      <w:r>
        <w:rPr>
          <w:rFonts w:ascii="宋体" w:hAnsi="宋体" w:hint="eastAsia"/>
          <w:sz w:val="24"/>
        </w:rPr>
        <w:t>，本公司可根据基金销售情况在募集期限内适当延长或</w:t>
      </w:r>
      <w:r>
        <w:rPr>
          <w:rFonts w:ascii="宋体" w:hAnsi="宋体" w:hint="eastAsia"/>
          <w:sz w:val="24"/>
        </w:rPr>
        <w:t>缩短基金发售时间，并及时公告。</w:t>
      </w:r>
    </w:p>
    <w:p w:rsidR="0081139D" w:rsidRDefault="00FA164F">
      <w:pPr>
        <w:numPr>
          <w:ilvl w:val="0"/>
          <w:numId w:val="1"/>
        </w:numPr>
        <w:tabs>
          <w:tab w:val="left" w:pos="0"/>
          <w:tab w:val="left" w:pos="720"/>
        </w:tabs>
        <w:spacing w:line="360" w:lineRule="auto"/>
        <w:ind w:firstLineChars="200" w:firstLine="480"/>
        <w:rPr>
          <w:rFonts w:ascii="宋体" w:hAnsi="宋体"/>
          <w:sz w:val="24"/>
        </w:rPr>
      </w:pPr>
      <w:r>
        <w:rPr>
          <w:rFonts w:ascii="宋体" w:hAnsi="宋体" w:hint="eastAsia"/>
          <w:sz w:val="24"/>
        </w:rPr>
        <w:t>本基金的募集对象为</w:t>
      </w:r>
      <w:bookmarkStart w:id="14" w:name="_Hlk98927678"/>
      <w:r>
        <w:rPr>
          <w:rFonts w:ascii="宋体" w:hAnsi="宋体" w:hint="eastAsia"/>
          <w:sz w:val="24"/>
        </w:rPr>
        <w:t>符合法律法规规定的可投资于证券投资基金的个人投资者、机构投资者、合格境外投资者、发起资金提供方以及法律法规或中国证监会允许购买证券投资基金的其他投资人。</w:t>
      </w:r>
      <w:bookmarkEnd w:id="14"/>
    </w:p>
    <w:p w:rsidR="0081139D" w:rsidRDefault="00FA164F">
      <w:pPr>
        <w:tabs>
          <w:tab w:val="left" w:pos="0"/>
          <w:tab w:val="left" w:pos="720"/>
        </w:tabs>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、投资人欲购买本基金，需开立本公司基金账户。募集期内</w:t>
      </w:r>
      <w:r>
        <w:rPr>
          <w:rFonts w:ascii="宋体" w:hAnsi="宋体" w:hint="eastAsia"/>
          <w:sz w:val="24"/>
        </w:rPr>
        <w:t>基金管理人</w:t>
      </w:r>
      <w:r>
        <w:rPr>
          <w:rFonts w:ascii="宋体" w:hAnsi="宋体" w:hint="eastAsia"/>
          <w:sz w:val="24"/>
        </w:rPr>
        <w:t>直销</w:t>
      </w:r>
      <w:r>
        <w:rPr>
          <w:rFonts w:ascii="宋体" w:hAnsi="宋体" w:hint="eastAsia"/>
          <w:sz w:val="24"/>
        </w:rPr>
        <w:t>机构</w:t>
      </w:r>
      <w:r>
        <w:rPr>
          <w:rFonts w:ascii="宋体" w:hAnsi="宋体" w:hint="eastAsia"/>
          <w:sz w:val="24"/>
        </w:rPr>
        <w:t>和其他销售机构的销售网点均可为投资人办理基金账户开立手续。投资人在办理基金账户开户手续时可同时办理认购申请，但认购申请的确认须以开户确认成功为前提条件。一个投资人只能开立和使用本公司的一个基金账户；已经开立本公司基金账户的投资人无须重复</w:t>
      </w:r>
      <w:r>
        <w:rPr>
          <w:rFonts w:ascii="宋体" w:hAnsi="宋体" w:hint="eastAsia"/>
          <w:sz w:val="24"/>
        </w:rPr>
        <w:t>开户。</w:t>
      </w:r>
    </w:p>
    <w:p w:rsidR="0081139D" w:rsidRDefault="00FA164F">
      <w:pPr>
        <w:tabs>
          <w:tab w:val="left" w:pos="0"/>
          <w:tab w:val="left" w:pos="720"/>
        </w:tabs>
        <w:spacing w:line="360" w:lineRule="auto"/>
        <w:ind w:firstLineChars="200" w:firstLine="480"/>
        <w:rPr>
          <w:rFonts w:ascii="宋体" w:hAnsi="宋体"/>
          <w:sz w:val="24"/>
        </w:rPr>
      </w:pPr>
      <w:r>
        <w:rPr>
          <w:rFonts w:ascii="宋体" w:hAnsi="宋体" w:hint="eastAsia"/>
          <w:sz w:val="24"/>
        </w:rPr>
        <w:t>投资者应保证用于认购的资金来源合法，投资者应有权自行支配，不存在任何法律上、合约上或其他方面的障碍。投资者已提交的身份证件或身份证明文件如已过有效期，请及时办理相关更新手续，以免影响认购。投资人不得非法利用他人账户或资金进行认购，也不得违规融资或帮助他人违规进行认购。</w:t>
      </w:r>
    </w:p>
    <w:p w:rsidR="0081139D" w:rsidRDefault="00FA164F">
      <w:pPr>
        <w:tabs>
          <w:tab w:val="left" w:pos="2436"/>
        </w:tabs>
        <w:snapToGrid w:val="0"/>
        <w:spacing w:line="440" w:lineRule="exact"/>
        <w:ind w:firstLineChars="200" w:firstLine="480"/>
        <w:rPr>
          <w:rFonts w:ascii="宋体" w:hAnsi="宋体"/>
          <w:sz w:val="24"/>
        </w:rPr>
      </w:pPr>
      <w:r>
        <w:rPr>
          <w:rFonts w:ascii="宋体" w:hAnsi="宋体" w:hint="eastAsia"/>
          <w:sz w:val="24"/>
        </w:rPr>
        <w:t>7</w:t>
      </w:r>
      <w:r>
        <w:rPr>
          <w:rFonts w:ascii="宋体" w:hAnsi="宋体" w:hint="eastAsia"/>
          <w:sz w:val="24"/>
        </w:rPr>
        <w:t>、</w:t>
      </w:r>
      <w:bookmarkStart w:id="15" w:name="_Hlk98927768"/>
      <w:r>
        <w:rPr>
          <w:rFonts w:ascii="宋体" w:hAnsi="宋体" w:hint="eastAsia"/>
          <w:sz w:val="24"/>
        </w:rPr>
        <w:t>投资人通过销售机构认购本基金基金份额单笔最低金额为人民币</w:t>
      </w:r>
      <w:r>
        <w:rPr>
          <w:rFonts w:ascii="宋体" w:hAnsi="宋体" w:hint="eastAsia"/>
          <w:sz w:val="24"/>
        </w:rPr>
        <w:t>10</w:t>
      </w:r>
      <w:r>
        <w:rPr>
          <w:rFonts w:ascii="宋体" w:hAnsi="宋体" w:hint="eastAsia"/>
          <w:sz w:val="24"/>
        </w:rPr>
        <w:t>元（含认购费），追加认购单笔最低金额为</w:t>
      </w:r>
      <w:r>
        <w:rPr>
          <w:rFonts w:ascii="宋体" w:hAnsi="宋体" w:hint="eastAsia"/>
          <w:sz w:val="24"/>
        </w:rPr>
        <w:t>1</w:t>
      </w:r>
      <w:r>
        <w:rPr>
          <w:rFonts w:ascii="宋体" w:hAnsi="宋体" w:hint="eastAsia"/>
          <w:sz w:val="24"/>
        </w:rPr>
        <w:t>元；通过基金管理人的直销柜台首次认购本基金基金份额的最低金额为人民币</w:t>
      </w:r>
      <w:r>
        <w:rPr>
          <w:rFonts w:ascii="宋体" w:hAnsi="宋体" w:hint="eastAsia"/>
          <w:sz w:val="24"/>
        </w:rPr>
        <w:t>1</w:t>
      </w:r>
      <w:r>
        <w:rPr>
          <w:rFonts w:ascii="宋体" w:hAnsi="宋体" w:hint="eastAsia"/>
          <w:sz w:val="24"/>
        </w:rPr>
        <w:t>,000</w:t>
      </w:r>
      <w:r>
        <w:rPr>
          <w:rFonts w:ascii="宋体" w:hAnsi="宋体" w:hint="eastAsia"/>
          <w:sz w:val="24"/>
        </w:rPr>
        <w:t>元（含认购费），追加认购单笔最低金额为</w:t>
      </w:r>
      <w:r>
        <w:rPr>
          <w:rFonts w:ascii="宋体" w:hAnsi="宋体" w:hint="eastAsia"/>
          <w:sz w:val="24"/>
        </w:rPr>
        <w:t>1,000</w:t>
      </w:r>
      <w:r>
        <w:rPr>
          <w:rFonts w:ascii="宋体" w:hAnsi="宋体" w:hint="eastAsia"/>
          <w:sz w:val="24"/>
        </w:rPr>
        <w:t>元，</w:t>
      </w:r>
      <w:r>
        <w:rPr>
          <w:rFonts w:ascii="宋体" w:hAnsi="宋体" w:hint="eastAsia"/>
          <w:sz w:val="24"/>
        </w:rPr>
        <w:t>不设级差限制</w:t>
      </w:r>
      <w:r>
        <w:rPr>
          <w:rFonts w:ascii="宋体" w:hAnsi="宋体" w:hint="eastAsia"/>
          <w:sz w:val="24"/>
        </w:rPr>
        <w:t>；</w:t>
      </w:r>
      <w:r>
        <w:rPr>
          <w:rFonts w:hint="eastAsia"/>
          <w:sz w:val="24"/>
        </w:rPr>
        <w:t>通过基金管理人的</w:t>
      </w:r>
      <w:r>
        <w:rPr>
          <w:rFonts w:hint="eastAsia"/>
          <w:sz w:val="24"/>
        </w:rPr>
        <w:t>网上交易系统</w:t>
      </w:r>
      <w:r>
        <w:rPr>
          <w:rFonts w:hint="eastAsia"/>
          <w:sz w:val="24"/>
        </w:rPr>
        <w:t>首次</w:t>
      </w:r>
      <w:r>
        <w:rPr>
          <w:rFonts w:hint="eastAsia"/>
          <w:sz w:val="24"/>
        </w:rPr>
        <w:t>认</w:t>
      </w:r>
      <w:r>
        <w:rPr>
          <w:rFonts w:hint="eastAsia"/>
          <w:sz w:val="24"/>
        </w:rPr>
        <w:t>购本基金基金份额的最低金额为人民币</w:t>
      </w:r>
      <w:r>
        <w:rPr>
          <w:rFonts w:hint="eastAsia"/>
          <w:sz w:val="24"/>
        </w:rPr>
        <w:t>10</w:t>
      </w:r>
      <w:r>
        <w:rPr>
          <w:rFonts w:hint="eastAsia"/>
          <w:sz w:val="24"/>
        </w:rPr>
        <w:t>元（含</w:t>
      </w:r>
      <w:r>
        <w:rPr>
          <w:rFonts w:hint="eastAsia"/>
          <w:sz w:val="24"/>
        </w:rPr>
        <w:t>认</w:t>
      </w:r>
      <w:r>
        <w:rPr>
          <w:rFonts w:hint="eastAsia"/>
          <w:sz w:val="24"/>
        </w:rPr>
        <w:t>购费），追加</w:t>
      </w:r>
      <w:r>
        <w:rPr>
          <w:rFonts w:hint="eastAsia"/>
          <w:sz w:val="24"/>
        </w:rPr>
        <w:t>认</w:t>
      </w:r>
      <w:r>
        <w:rPr>
          <w:rFonts w:hint="eastAsia"/>
          <w:sz w:val="24"/>
        </w:rPr>
        <w:t>购单笔最低金额为</w:t>
      </w:r>
      <w:r>
        <w:rPr>
          <w:rFonts w:hint="eastAsia"/>
          <w:sz w:val="24"/>
        </w:rPr>
        <w:t>1</w:t>
      </w:r>
      <w:r>
        <w:rPr>
          <w:rFonts w:hint="eastAsia"/>
          <w:sz w:val="24"/>
        </w:rPr>
        <w:t>元</w:t>
      </w:r>
      <w:r>
        <w:rPr>
          <w:kern w:val="0"/>
          <w:sz w:val="24"/>
        </w:rPr>
        <w:t>，不设级差限制</w:t>
      </w:r>
      <w:r>
        <w:rPr>
          <w:rFonts w:hint="eastAsia"/>
          <w:sz w:val="24"/>
        </w:rPr>
        <w:t>。</w:t>
      </w:r>
      <w:r>
        <w:rPr>
          <w:rFonts w:ascii="宋体" w:hAnsi="宋体" w:hint="eastAsia"/>
          <w:sz w:val="24"/>
        </w:rPr>
        <w:t>各销售机构对最低认购金额及交易级差有其他规定的，以各销售机构的业务规定为准，投资人需遵循销售机构的相关规定。基金管理人可根据市场情况，调整认购金额的数量限制并提前公告。</w:t>
      </w:r>
    </w:p>
    <w:p w:rsidR="0081139D" w:rsidRDefault="00FA164F">
      <w:pPr>
        <w:tabs>
          <w:tab w:val="left" w:pos="2436"/>
        </w:tabs>
        <w:snapToGrid w:val="0"/>
        <w:spacing w:line="440" w:lineRule="exact"/>
        <w:ind w:firstLineChars="200" w:firstLine="480"/>
        <w:rPr>
          <w:kern w:val="0"/>
          <w:sz w:val="24"/>
        </w:rPr>
      </w:pPr>
      <w:r>
        <w:rPr>
          <w:rFonts w:ascii="宋体" w:hAnsi="宋体" w:hint="eastAsia"/>
          <w:sz w:val="24"/>
        </w:rPr>
        <w:t>基金管理人可以对募集期间的单个投资人的累计认购金额进行限制</w:t>
      </w:r>
      <w:r>
        <w:rPr>
          <w:rFonts w:ascii="宋体" w:hAnsi="宋体" w:hint="eastAsia"/>
          <w:sz w:val="24"/>
        </w:rPr>
        <w:t>，具体限制和处理方法请参见相关公告</w:t>
      </w:r>
      <w:r>
        <w:rPr>
          <w:rFonts w:ascii="宋体" w:hAnsi="宋体" w:hint="eastAsia"/>
          <w:sz w:val="24"/>
        </w:rPr>
        <w:t>。本基金募集期间单个基金份额持有人最高累计认购的基金份额不得超过基金总份额的</w:t>
      </w:r>
      <w:r>
        <w:rPr>
          <w:rFonts w:ascii="宋体" w:hAnsi="宋体" w:hint="eastAsia"/>
          <w:sz w:val="24"/>
        </w:rPr>
        <w:t>50%</w:t>
      </w:r>
      <w:r>
        <w:rPr>
          <w:rFonts w:ascii="宋体" w:hAnsi="宋体" w:hint="eastAsia"/>
          <w:sz w:val="24"/>
        </w:rPr>
        <w:t>。如本基金单个投资人累计认购的基金份额数超过基金总份额的</w:t>
      </w:r>
      <w:r>
        <w:rPr>
          <w:rFonts w:ascii="宋体" w:hAnsi="宋体" w:hint="eastAsia"/>
          <w:sz w:val="24"/>
        </w:rPr>
        <w:t>50%</w:t>
      </w:r>
      <w:r>
        <w:rPr>
          <w:rFonts w:ascii="宋体" w:hAnsi="宋体" w:hint="eastAsia"/>
          <w:sz w:val="24"/>
        </w:rPr>
        <w:t>，基金管理人可以采取比例确认等方式对该投资人的认购申请进行限制。基金管理人接受某笔或者某些认购申请有可能导致投资者变相规避前述</w:t>
      </w:r>
      <w:r>
        <w:rPr>
          <w:rFonts w:ascii="宋体" w:hAnsi="宋体" w:hint="eastAsia"/>
          <w:sz w:val="24"/>
        </w:rPr>
        <w:t>50%</w:t>
      </w:r>
      <w:r>
        <w:rPr>
          <w:rFonts w:ascii="宋体" w:hAnsi="宋体" w:hint="eastAsia"/>
          <w:sz w:val="24"/>
        </w:rPr>
        <w:t>比例要求的，基金管理人有权拒绝该等全部或者部分认购申请。投资人认购的基金份额数以基金合同生效后登记机构的确认为准。基金管理人、基金管理人高级管理人员或基金经理等人员出资认购的基金份额不受上述比例限制。</w:t>
      </w:r>
    </w:p>
    <w:bookmarkEnd w:id="15"/>
    <w:p w:rsidR="0081139D" w:rsidRDefault="00FA164F">
      <w:pPr>
        <w:tabs>
          <w:tab w:val="left" w:pos="2436"/>
        </w:tabs>
        <w:snapToGrid w:val="0"/>
        <w:spacing w:line="440" w:lineRule="exact"/>
        <w:ind w:firstLineChars="200" w:firstLine="480"/>
        <w:rPr>
          <w:kern w:val="0"/>
          <w:sz w:val="24"/>
        </w:rPr>
      </w:pPr>
      <w:r>
        <w:rPr>
          <w:rFonts w:hint="eastAsia"/>
          <w:kern w:val="0"/>
          <w:sz w:val="24"/>
        </w:rPr>
        <w:t>8</w:t>
      </w:r>
      <w:r>
        <w:rPr>
          <w:rFonts w:hint="eastAsia"/>
          <w:kern w:val="0"/>
          <w:sz w:val="24"/>
        </w:rPr>
        <w:t>、</w:t>
      </w:r>
      <w:bookmarkStart w:id="16" w:name="_Hlk98927816"/>
      <w:r>
        <w:rPr>
          <w:rFonts w:hint="eastAsia"/>
          <w:kern w:val="0"/>
          <w:sz w:val="24"/>
        </w:rPr>
        <w:t>基金销售机构对认购申请的受理并</w:t>
      </w:r>
      <w:r>
        <w:rPr>
          <w:rFonts w:hint="eastAsia"/>
          <w:kern w:val="0"/>
          <w:sz w:val="24"/>
        </w:rPr>
        <w:t>不代表申请一定成功，而仅代表销售机构确实接收到认购申请。认购的确认以登记机构的确认结果为准。对于认购申请及认购份额的确认情况，投资人应及时查询并妥善行使合法权利，否则，由此产生的投资人任何损失由投资人自行承担。</w:t>
      </w:r>
    </w:p>
    <w:p w:rsidR="0081139D" w:rsidRDefault="00FA164F">
      <w:pPr>
        <w:tabs>
          <w:tab w:val="left" w:pos="2436"/>
        </w:tabs>
        <w:snapToGrid w:val="0"/>
        <w:spacing w:line="440" w:lineRule="exact"/>
        <w:ind w:firstLineChars="200" w:firstLine="480"/>
        <w:rPr>
          <w:rFonts w:ascii="宋体" w:hAnsi="宋体"/>
          <w:sz w:val="24"/>
        </w:rPr>
      </w:pPr>
      <w:r>
        <w:rPr>
          <w:rFonts w:hint="eastAsia"/>
          <w:kern w:val="0"/>
          <w:sz w:val="24"/>
        </w:rPr>
        <w:t>投资人应于基金合同生效后及时在原申请网点或通过销售机构提供的其他方式查询认购确认份额。</w:t>
      </w:r>
    </w:p>
    <w:bookmarkEnd w:id="16"/>
    <w:p w:rsidR="0081139D" w:rsidRDefault="00FA164F">
      <w:pPr>
        <w:tabs>
          <w:tab w:val="left" w:pos="720"/>
        </w:tabs>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、本公告仅对本基金募集的有关事项和规定予以说明。投资人欲了解本基金的详细情况，请详细阅读</w:t>
      </w:r>
      <w:r>
        <w:rPr>
          <w:rFonts w:ascii="宋体" w:hAnsi="宋体" w:hint="eastAsia"/>
          <w:sz w:val="24"/>
        </w:rPr>
        <w:t>202</w:t>
      </w:r>
      <w:r>
        <w:rPr>
          <w:rFonts w:ascii="宋体" w:hAnsi="宋体" w:hint="eastAsia"/>
          <w:sz w:val="24"/>
        </w:rPr>
        <w:t>5</w:t>
      </w:r>
      <w:r>
        <w:rPr>
          <w:rFonts w:ascii="宋体" w:hAnsi="宋体" w:hint="eastAsia"/>
          <w:sz w:val="24"/>
        </w:rPr>
        <w:t>年</w:t>
      </w:r>
      <w:r>
        <w:rPr>
          <w:rFonts w:ascii="宋体" w:hAnsi="宋体" w:hint="eastAsia"/>
          <w:sz w:val="24"/>
        </w:rPr>
        <w:t>11</w:t>
      </w:r>
      <w:r>
        <w:rPr>
          <w:rFonts w:ascii="宋体" w:hAnsi="宋体" w:hint="eastAsia"/>
          <w:sz w:val="24"/>
        </w:rPr>
        <w:t>月</w:t>
      </w:r>
      <w:r>
        <w:rPr>
          <w:rFonts w:ascii="宋体" w:hAnsi="宋体" w:hint="eastAsia"/>
          <w:sz w:val="24"/>
        </w:rPr>
        <w:t>27</w:t>
      </w:r>
      <w:r>
        <w:rPr>
          <w:rFonts w:ascii="宋体" w:hAnsi="宋体" w:hint="eastAsia"/>
          <w:sz w:val="24"/>
        </w:rPr>
        <w:t>日发布在</w:t>
      </w:r>
      <w:r>
        <w:rPr>
          <w:rFonts w:ascii="宋体" w:hAnsi="宋体" w:hint="eastAsia"/>
          <w:sz w:val="24"/>
        </w:rPr>
        <w:t>基金管理人</w:t>
      </w:r>
      <w:r>
        <w:rPr>
          <w:rFonts w:ascii="宋体" w:hAnsi="宋体" w:hint="eastAsia"/>
          <w:sz w:val="24"/>
        </w:rPr>
        <w:t>网站（</w:t>
      </w:r>
      <w:r>
        <w:rPr>
          <w:rFonts w:ascii="宋体" w:hAnsi="宋体" w:hint="eastAsia"/>
          <w:sz w:val="24"/>
        </w:rPr>
        <w:t>www.cjzcgl.com</w:t>
      </w:r>
      <w:r>
        <w:rPr>
          <w:rFonts w:ascii="宋体" w:hAnsi="宋体" w:hint="eastAsia"/>
          <w:sz w:val="24"/>
        </w:rPr>
        <w:t>）和中国证监会基金电子披露网站（</w:t>
      </w:r>
      <w:r>
        <w:rPr>
          <w:rFonts w:ascii="宋体" w:hAnsi="宋体" w:hint="eastAsia"/>
          <w:sz w:val="24"/>
        </w:rPr>
        <w:t>http://ei</w:t>
      </w:r>
      <w:r>
        <w:rPr>
          <w:rFonts w:ascii="宋体" w:hAnsi="宋体" w:hint="eastAsia"/>
          <w:sz w:val="24"/>
        </w:rPr>
        <w:t>d.csrc.gov.cn/fund</w:t>
      </w:r>
      <w:r>
        <w:rPr>
          <w:rFonts w:ascii="宋体" w:hAnsi="宋体" w:hint="eastAsia"/>
          <w:sz w:val="24"/>
        </w:rPr>
        <w:t>）上的招募说明书、基金合同及托管协议。投资人亦可通过本公司网站下载基金业务申请表格和了解本基金募集相关事宜。</w:t>
      </w:r>
    </w:p>
    <w:p w:rsidR="0081139D" w:rsidRDefault="00FA164F">
      <w:pPr>
        <w:tabs>
          <w:tab w:val="left" w:pos="720"/>
        </w:tabs>
        <w:spacing w:line="360" w:lineRule="auto"/>
        <w:ind w:left="480"/>
        <w:rPr>
          <w:rFonts w:ascii="宋体" w:hAnsi="宋体"/>
          <w:sz w:val="24"/>
        </w:rPr>
      </w:pPr>
      <w:r>
        <w:rPr>
          <w:rFonts w:ascii="宋体" w:hAnsi="宋体" w:hint="eastAsia"/>
          <w:sz w:val="24"/>
        </w:rPr>
        <w:t>投资者如有疑问，可拨打本公司客户服务电话</w:t>
      </w:r>
      <w:r>
        <w:rPr>
          <w:rFonts w:ascii="宋体" w:hAnsi="宋体"/>
          <w:sz w:val="24"/>
        </w:rPr>
        <w:t>4001-166-866</w:t>
      </w:r>
      <w:r>
        <w:rPr>
          <w:rFonts w:ascii="宋体" w:hAnsi="宋体" w:hint="eastAsia"/>
          <w:sz w:val="24"/>
        </w:rPr>
        <w:t>进行咨询。</w:t>
      </w:r>
    </w:p>
    <w:p w:rsidR="0081139D" w:rsidRDefault="00FA164F">
      <w:pPr>
        <w:tabs>
          <w:tab w:val="left" w:pos="720"/>
        </w:tabs>
        <w:spacing w:line="360" w:lineRule="auto"/>
        <w:ind w:firstLine="480"/>
        <w:rPr>
          <w:rFonts w:ascii="宋体" w:hAnsi="宋体"/>
          <w:sz w:val="24"/>
        </w:rPr>
      </w:pPr>
      <w:r>
        <w:rPr>
          <w:rFonts w:ascii="宋体" w:hAnsi="宋体" w:hint="eastAsia"/>
          <w:sz w:val="24"/>
        </w:rPr>
        <w:t>10</w:t>
      </w:r>
      <w:r>
        <w:rPr>
          <w:rFonts w:ascii="宋体" w:hAnsi="宋体" w:hint="eastAsia"/>
          <w:sz w:val="24"/>
        </w:rPr>
        <w:t>、本公告中的单位“元”均指人民币元。</w:t>
      </w:r>
    </w:p>
    <w:p w:rsidR="0081139D" w:rsidRDefault="00FA164F">
      <w:pPr>
        <w:spacing w:line="360" w:lineRule="auto"/>
        <w:ind w:left="480"/>
        <w:rPr>
          <w:rFonts w:ascii="宋体" w:hAnsi="宋体"/>
          <w:sz w:val="24"/>
        </w:rPr>
      </w:pPr>
      <w:r>
        <w:rPr>
          <w:rFonts w:ascii="宋体" w:hAnsi="宋体" w:hint="eastAsia"/>
          <w:sz w:val="24"/>
        </w:rPr>
        <w:t>11</w:t>
      </w:r>
      <w:r>
        <w:rPr>
          <w:rFonts w:ascii="宋体" w:hAnsi="宋体" w:hint="eastAsia"/>
          <w:sz w:val="24"/>
        </w:rPr>
        <w:t>、风险提示</w:t>
      </w:r>
    </w:p>
    <w:p w:rsidR="0081139D" w:rsidRDefault="00FA164F">
      <w:pPr>
        <w:snapToGrid w:val="0"/>
        <w:spacing w:line="360" w:lineRule="auto"/>
        <w:ind w:firstLineChars="196" w:firstLine="470"/>
        <w:rPr>
          <w:sz w:val="24"/>
        </w:rPr>
      </w:pPr>
      <w:bookmarkStart w:id="17" w:name="_Hlk98927860"/>
      <w:r>
        <w:rPr>
          <w:rFonts w:hint="eastAsia"/>
          <w:sz w:val="24"/>
        </w:rPr>
        <w:t>投资有风险，投资人在投资本基金前应认真阅读本基金的招募说明书、基金产品资料概要，全面认识本基金的风险收益特征，充分考虑自身的风险承受能力，并对认购（或申购）基金的意愿、时机、数量等投资行为作出独立决策。证券投资基金是一种长期投资工具，其主要功能是分散投资，降低投资单一证券所带来的个别风险。投资人购买本基金并不等于将资金作为存款存放在银行或存款类金融机构，基金管理人不保证基金一定盈利，也不保证最低收益。投资人应当全面了解基金的产品特性，根据自身的投资目的、投资期限、投资经验、资产状况等判断基金是否和自身的风险</w:t>
      </w:r>
      <w:r>
        <w:rPr>
          <w:rFonts w:hint="eastAsia"/>
          <w:sz w:val="24"/>
        </w:rPr>
        <w:t>承受能力相适应，理性判断市场，并通过基金管理人或基金管理人委托的具有基金销售业务资格的其他机构购买基金。投资人在获得基金投资收益的同时，亦承担基金投资中出现的各类风险，包括：受经济因素、政治因素、投资心理和交易制度等各种因素的影响而形成的市场风险、受基金管理人的知识、经验、判断、决策、技能等影响而产生的管理风险、流动性风险、策略风险、特有风险以及其他风险等。</w:t>
      </w:r>
    </w:p>
    <w:p w:rsidR="0081139D" w:rsidRDefault="00FA164F">
      <w:pPr>
        <w:snapToGrid w:val="0"/>
        <w:spacing w:line="360" w:lineRule="auto"/>
        <w:ind w:firstLineChars="196" w:firstLine="470"/>
        <w:rPr>
          <w:sz w:val="24"/>
        </w:rPr>
      </w:pPr>
      <w:r>
        <w:rPr>
          <w:rFonts w:hint="eastAsia"/>
          <w:sz w:val="24"/>
        </w:rPr>
        <w:t>本基金为股票指数增强型基金，其预期风险与收益高于混合型基金、债券型基金与货币市场基金。本基金为指数增强型基金，具有与标的指数以及标的指数所代表的股票市</w:t>
      </w:r>
      <w:r>
        <w:rPr>
          <w:rFonts w:hint="eastAsia"/>
          <w:sz w:val="24"/>
        </w:rPr>
        <w:t>场相似的风险收益特征。本基金如果投资港股通标的股票，需承担汇率风险以及港股通机制下因投资环境、投资标的、市场制度以及交易规则等差异带来的特有风险。</w:t>
      </w:r>
    </w:p>
    <w:p w:rsidR="0081139D" w:rsidRDefault="00FA164F">
      <w:pPr>
        <w:snapToGrid w:val="0"/>
        <w:spacing w:line="360" w:lineRule="auto"/>
        <w:ind w:firstLineChars="196" w:firstLine="470"/>
        <w:rPr>
          <w:sz w:val="24"/>
        </w:rPr>
      </w:pPr>
      <w:r>
        <w:rPr>
          <w:rFonts w:hint="eastAsia"/>
          <w:sz w:val="24"/>
        </w:rPr>
        <w:t>本基金为指数基金，投资者投资于本基金面临跟踪误差控制未达约定目标、指数编制机构停止服务、成份股停牌或退市等潜在风险，详见本基金招募说明书的“风险揭示”章节的具体内容。</w:t>
      </w:r>
    </w:p>
    <w:p w:rsidR="0081139D" w:rsidRDefault="00FA164F">
      <w:pPr>
        <w:snapToGrid w:val="0"/>
        <w:spacing w:line="360" w:lineRule="auto"/>
        <w:ind w:firstLineChars="196" w:firstLine="470"/>
        <w:rPr>
          <w:sz w:val="24"/>
        </w:rPr>
      </w:pPr>
      <w:r>
        <w:rPr>
          <w:rFonts w:hint="eastAsia"/>
          <w:sz w:val="24"/>
        </w:rPr>
        <w:t>本基金为发起式基金，</w:t>
      </w:r>
      <w:r>
        <w:rPr>
          <w:rFonts w:hint="eastAsia"/>
          <w:sz w:val="24"/>
        </w:rPr>
        <w:t>《</w:t>
      </w:r>
      <w:r>
        <w:rPr>
          <w:rFonts w:hint="eastAsia"/>
          <w:sz w:val="24"/>
        </w:rPr>
        <w:t>长江中证全指指数增强型发起式证券投资基金基金合同</w:t>
      </w:r>
      <w:r>
        <w:rPr>
          <w:rFonts w:hint="eastAsia"/>
          <w:sz w:val="24"/>
        </w:rPr>
        <w:t>》（</w:t>
      </w:r>
      <w:r>
        <w:rPr>
          <w:rFonts w:hint="eastAsia"/>
          <w:sz w:val="24"/>
        </w:rPr>
        <w:t>以下简称“</w:t>
      </w:r>
      <w:r>
        <w:rPr>
          <w:rFonts w:hint="eastAsia"/>
          <w:sz w:val="24"/>
        </w:rPr>
        <w:t>《基金合同》</w:t>
      </w:r>
      <w:r>
        <w:rPr>
          <w:rFonts w:hint="eastAsia"/>
          <w:sz w:val="24"/>
        </w:rPr>
        <w:t>”</w:t>
      </w:r>
      <w:r>
        <w:rPr>
          <w:rFonts w:hint="eastAsia"/>
          <w:sz w:val="24"/>
        </w:rPr>
        <w:t>或“基金合同”）</w:t>
      </w:r>
      <w:r>
        <w:rPr>
          <w:rFonts w:hint="eastAsia"/>
          <w:sz w:val="24"/>
        </w:rPr>
        <w:t>生效日起</w:t>
      </w:r>
      <w:r>
        <w:rPr>
          <w:rFonts w:hint="eastAsia"/>
          <w:sz w:val="24"/>
        </w:rPr>
        <w:t>3</w:t>
      </w:r>
      <w:r>
        <w:rPr>
          <w:rFonts w:hint="eastAsia"/>
          <w:sz w:val="24"/>
        </w:rPr>
        <w:t>年后的对应日，若基金资产净值低于</w:t>
      </w:r>
      <w:r>
        <w:rPr>
          <w:rFonts w:hint="eastAsia"/>
          <w:sz w:val="24"/>
        </w:rPr>
        <w:t>2</w:t>
      </w:r>
      <w:r>
        <w:rPr>
          <w:rFonts w:hint="eastAsia"/>
          <w:sz w:val="24"/>
        </w:rPr>
        <w:t>亿元的，基金合同自动终止，同时不得通过</w:t>
      </w:r>
      <w:r>
        <w:rPr>
          <w:rFonts w:hint="eastAsia"/>
          <w:sz w:val="24"/>
        </w:rPr>
        <w:t>召开基金份额持有人大会延续基金合同期限。若届时的法律法规或中国证监会规定发生变化，上述终止规定被取消、更改或补充时，则本基金可以参照届时有效的法律法规或中国证监会规定执行。投资者将面临基金合同可能终止的不确定性风险。</w:t>
      </w:r>
    </w:p>
    <w:p w:rsidR="0081139D" w:rsidRDefault="00FA164F">
      <w:pPr>
        <w:snapToGrid w:val="0"/>
        <w:spacing w:line="360" w:lineRule="auto"/>
        <w:ind w:firstLineChars="196" w:firstLine="470"/>
        <w:rPr>
          <w:sz w:val="24"/>
        </w:rPr>
      </w:pPr>
      <w:r>
        <w:rPr>
          <w:rFonts w:hint="eastAsia"/>
          <w:sz w:val="24"/>
        </w:rPr>
        <w:t>本基金可通过内地与香港股票市场交易互联互通机制买卖规定范围内的香港联合交易所上市的股票（以下简称“港股通标的股票”）。本基金基金资产若投资于港股通标的股票，会面临港股通机制下因投资环境、投资标的、市场制度以及交易规则等差异带来的特有风险，包括港股市场股价波动较大的风险（港股市场实行</w:t>
      </w:r>
      <w:r>
        <w:rPr>
          <w:rFonts w:hint="eastAsia"/>
          <w:sz w:val="24"/>
        </w:rPr>
        <w:t>T+0</w:t>
      </w:r>
      <w:r>
        <w:rPr>
          <w:rFonts w:hint="eastAsia"/>
          <w:sz w:val="24"/>
        </w:rPr>
        <w:t>回转交</w:t>
      </w:r>
      <w:r>
        <w:rPr>
          <w:rFonts w:hint="eastAsia"/>
          <w:sz w:val="24"/>
        </w:rPr>
        <w:t>易，且对个股不设涨跌幅限制，港股股价可能表现出比</w:t>
      </w:r>
      <w:r>
        <w:rPr>
          <w:rFonts w:hint="eastAsia"/>
          <w:sz w:val="24"/>
        </w:rPr>
        <w:t>A</w:t>
      </w:r>
      <w:r>
        <w:rPr>
          <w:rFonts w:hint="eastAsia"/>
          <w:sz w:val="24"/>
        </w:rPr>
        <w:t>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请查阅本基金招募说明书的“风险揭示”章节的具体内容。</w:t>
      </w:r>
    </w:p>
    <w:p w:rsidR="0081139D" w:rsidRDefault="00FA164F">
      <w:pPr>
        <w:snapToGrid w:val="0"/>
        <w:spacing w:line="360" w:lineRule="auto"/>
        <w:ind w:firstLineChars="196" w:firstLine="470"/>
        <w:rPr>
          <w:sz w:val="24"/>
        </w:rPr>
      </w:pPr>
      <w:r>
        <w:rPr>
          <w:rFonts w:hint="eastAsia"/>
          <w:sz w:val="24"/>
        </w:rPr>
        <w:t>本基金可根据投资策略需要或不同配置地市场环境的变化，选择将部分基金资产投资于港股通标的股票或选择不将基金资产投资于港股通标的股票，基金资产并非必然投资港股通标的股票。</w:t>
      </w:r>
    </w:p>
    <w:p w:rsidR="0081139D" w:rsidRDefault="00FA164F">
      <w:pPr>
        <w:snapToGrid w:val="0"/>
        <w:spacing w:line="360" w:lineRule="auto"/>
        <w:ind w:firstLineChars="196" w:firstLine="470"/>
        <w:rPr>
          <w:sz w:val="24"/>
        </w:rPr>
      </w:pPr>
      <w:r>
        <w:rPr>
          <w:rFonts w:hint="eastAsia"/>
          <w:sz w:val="24"/>
        </w:rPr>
        <w:t>本基金的投资</w:t>
      </w:r>
      <w:r>
        <w:rPr>
          <w:rFonts w:hint="eastAsia"/>
          <w:sz w:val="24"/>
        </w:rPr>
        <w:t>范围包括存托凭证，若投资会面临与境内上市交易股票投资的共同风险，还可能面临与存托凭证发行及交易机制相关的特有风险。</w:t>
      </w:r>
    </w:p>
    <w:p w:rsidR="0081139D" w:rsidRDefault="00FA164F">
      <w:pPr>
        <w:snapToGrid w:val="0"/>
        <w:spacing w:line="360" w:lineRule="auto"/>
        <w:ind w:firstLineChars="196" w:firstLine="470"/>
        <w:rPr>
          <w:sz w:val="24"/>
        </w:rPr>
      </w:pPr>
      <w:r>
        <w:rPr>
          <w:rFonts w:hint="eastAsia"/>
          <w:sz w:val="24"/>
        </w:rPr>
        <w:t>本基金可投资资产支持证券，资产支持证券具有一定的价格波动风险、流动性风险、信用风险等风险。</w:t>
      </w:r>
    </w:p>
    <w:p w:rsidR="0081139D" w:rsidRDefault="00FA164F">
      <w:pPr>
        <w:snapToGrid w:val="0"/>
        <w:spacing w:line="360" w:lineRule="auto"/>
        <w:ind w:firstLineChars="196" w:firstLine="470"/>
        <w:rPr>
          <w:sz w:val="24"/>
        </w:rPr>
      </w:pPr>
      <w:r>
        <w:rPr>
          <w:rFonts w:hint="eastAsia"/>
          <w:sz w:val="24"/>
        </w:rPr>
        <w:t>本基金将股指期货、国债期货纳入到投资范围中，股指期货、国债期货采用保证金交易制度，由于保证金交易具有杠杆性，当出现不利行情时，微小的变动就可能会使投资人权益遭受较大损失。同时，股指期货、国债期货采用每日无负债结算制度，如果没有在规定的时间内补足保证金，按规定将被强制平仓，可能给基金净值带来重大损失。</w:t>
      </w:r>
    </w:p>
    <w:p w:rsidR="0081139D" w:rsidRDefault="00FA164F">
      <w:pPr>
        <w:snapToGrid w:val="0"/>
        <w:spacing w:line="360" w:lineRule="auto"/>
        <w:ind w:firstLineChars="196" w:firstLine="470"/>
        <w:rPr>
          <w:sz w:val="24"/>
        </w:rPr>
      </w:pPr>
      <w:r>
        <w:rPr>
          <w:rFonts w:hint="eastAsia"/>
          <w:sz w:val="24"/>
        </w:rPr>
        <w:t>本基金若投资于科创板，会面临科创板机制下因投资标的、市场制度以及交易规则等差异带来的特有风险，包括但不限于科创板上市公司股票价格波动较大的风险、流动性风险、退市风险等。</w:t>
      </w:r>
    </w:p>
    <w:p w:rsidR="0081139D" w:rsidRDefault="00FA164F">
      <w:pPr>
        <w:snapToGrid w:val="0"/>
        <w:spacing w:line="360" w:lineRule="auto"/>
        <w:ind w:firstLineChars="196" w:firstLine="470"/>
        <w:rPr>
          <w:sz w:val="24"/>
        </w:rPr>
      </w:pPr>
      <w:r>
        <w:rPr>
          <w:rFonts w:hint="eastAsia"/>
          <w:sz w:val="24"/>
        </w:rPr>
        <w:t>本基金若投资北京证券交易所上市股票（简称“北交所股票”），可能面临投资标的、市场制度以及交易规则等差异带来的特有风险、流动性风险、上市公司经营风险、上市公司退市风险等。</w:t>
      </w:r>
    </w:p>
    <w:p w:rsidR="0081139D" w:rsidRDefault="00FA164F">
      <w:pPr>
        <w:snapToGrid w:val="0"/>
        <w:spacing w:line="360" w:lineRule="auto"/>
        <w:ind w:firstLineChars="196" w:firstLine="470"/>
        <w:rPr>
          <w:sz w:val="24"/>
        </w:rPr>
      </w:pPr>
      <w:r>
        <w:rPr>
          <w:rFonts w:hint="eastAsia"/>
          <w:sz w:val="24"/>
        </w:rPr>
        <w:t>本基金以中证全指指数成份股及备选成份股为主要投资对象。</w:t>
      </w:r>
    </w:p>
    <w:p w:rsidR="0081139D" w:rsidRDefault="00FA164F">
      <w:pPr>
        <w:snapToGrid w:val="0"/>
        <w:spacing w:line="360" w:lineRule="auto"/>
        <w:ind w:firstLineChars="196" w:firstLine="470"/>
        <w:rPr>
          <w:sz w:val="24"/>
        </w:rPr>
      </w:pPr>
      <w:r>
        <w:rPr>
          <w:rFonts w:hint="eastAsia"/>
          <w:sz w:val="24"/>
        </w:rPr>
        <w:t>（</w:t>
      </w:r>
      <w:r>
        <w:rPr>
          <w:rFonts w:hint="eastAsia"/>
          <w:sz w:val="24"/>
        </w:rPr>
        <w:t>1</w:t>
      </w:r>
      <w:r>
        <w:rPr>
          <w:rFonts w:hint="eastAsia"/>
          <w:sz w:val="24"/>
        </w:rPr>
        <w:t>）</w:t>
      </w:r>
      <w:r>
        <w:rPr>
          <w:rFonts w:hint="eastAsia"/>
          <w:sz w:val="24"/>
        </w:rPr>
        <w:t>样本空间</w:t>
      </w:r>
    </w:p>
    <w:p w:rsidR="0081139D" w:rsidRDefault="00FA164F">
      <w:pPr>
        <w:snapToGrid w:val="0"/>
        <w:spacing w:line="360" w:lineRule="auto"/>
        <w:ind w:firstLineChars="196" w:firstLine="470"/>
        <w:rPr>
          <w:sz w:val="24"/>
        </w:rPr>
      </w:pPr>
      <w:r>
        <w:rPr>
          <w:rFonts w:hint="eastAsia"/>
          <w:sz w:val="24"/>
        </w:rPr>
        <w:t>指数样本空间由同时满足以下条件的</w:t>
      </w:r>
      <w:r>
        <w:rPr>
          <w:rFonts w:hint="eastAsia"/>
          <w:sz w:val="24"/>
        </w:rPr>
        <w:t>A</w:t>
      </w:r>
      <w:r>
        <w:rPr>
          <w:rFonts w:hint="eastAsia"/>
          <w:sz w:val="24"/>
        </w:rPr>
        <w:t>股和红筹企业发行的存托凭证组成：</w:t>
      </w:r>
    </w:p>
    <w:p w:rsidR="0081139D" w:rsidRDefault="00FA164F">
      <w:pPr>
        <w:snapToGrid w:val="0"/>
        <w:spacing w:line="360" w:lineRule="auto"/>
        <w:ind w:firstLineChars="196" w:firstLine="470"/>
        <w:rPr>
          <w:sz w:val="24"/>
        </w:rPr>
      </w:pPr>
      <w:r>
        <w:rPr>
          <w:rFonts w:hint="eastAsia"/>
          <w:sz w:val="24"/>
        </w:rPr>
        <w:t>1</w:t>
      </w:r>
      <w:r>
        <w:rPr>
          <w:rFonts w:hint="eastAsia"/>
          <w:sz w:val="24"/>
        </w:rPr>
        <w:t>）非</w:t>
      </w:r>
      <w:r>
        <w:rPr>
          <w:rFonts w:hint="eastAsia"/>
          <w:sz w:val="24"/>
        </w:rPr>
        <w:t>ST</w:t>
      </w:r>
      <w:r>
        <w:rPr>
          <w:rFonts w:hint="eastAsia"/>
          <w:sz w:val="24"/>
        </w:rPr>
        <w:t>、</w:t>
      </w:r>
      <w:r>
        <w:rPr>
          <w:rFonts w:hint="eastAsia"/>
          <w:sz w:val="24"/>
        </w:rPr>
        <w:t>*ST</w:t>
      </w:r>
      <w:r>
        <w:rPr>
          <w:rFonts w:hint="eastAsia"/>
          <w:sz w:val="24"/>
        </w:rPr>
        <w:t>证券；</w:t>
      </w:r>
    </w:p>
    <w:p w:rsidR="0081139D" w:rsidRDefault="00FA164F">
      <w:pPr>
        <w:snapToGrid w:val="0"/>
        <w:spacing w:line="360" w:lineRule="auto"/>
        <w:ind w:firstLineChars="196" w:firstLine="470"/>
        <w:rPr>
          <w:sz w:val="24"/>
        </w:rPr>
      </w:pPr>
      <w:r>
        <w:rPr>
          <w:rFonts w:hint="eastAsia"/>
          <w:sz w:val="24"/>
        </w:rPr>
        <w:t>2</w:t>
      </w:r>
      <w:r>
        <w:rPr>
          <w:rFonts w:hint="eastAsia"/>
          <w:sz w:val="24"/>
        </w:rPr>
        <w:t>）科</w:t>
      </w:r>
      <w:r>
        <w:rPr>
          <w:rFonts w:hint="eastAsia"/>
          <w:sz w:val="24"/>
        </w:rPr>
        <w:t>创板证券和北交所证券：上市时间分别超过一年和两年；</w:t>
      </w:r>
    </w:p>
    <w:p w:rsidR="0081139D" w:rsidRDefault="00FA164F">
      <w:pPr>
        <w:snapToGrid w:val="0"/>
        <w:spacing w:line="360" w:lineRule="auto"/>
        <w:ind w:firstLineChars="196" w:firstLine="470"/>
        <w:rPr>
          <w:sz w:val="24"/>
        </w:rPr>
      </w:pPr>
      <w:r>
        <w:rPr>
          <w:rFonts w:hint="eastAsia"/>
          <w:sz w:val="24"/>
        </w:rPr>
        <w:t>3</w:t>
      </w:r>
      <w:r>
        <w:rPr>
          <w:rFonts w:hint="eastAsia"/>
          <w:sz w:val="24"/>
        </w:rPr>
        <w:t>）其他证券：上市时间超过一个季度，除非该证券自上市以来日均总市值排在前</w:t>
      </w:r>
      <w:r>
        <w:rPr>
          <w:rFonts w:hint="eastAsia"/>
          <w:sz w:val="24"/>
        </w:rPr>
        <w:t>30</w:t>
      </w:r>
      <w:r>
        <w:rPr>
          <w:rFonts w:hint="eastAsia"/>
          <w:sz w:val="24"/>
        </w:rPr>
        <w:t>位。</w:t>
      </w:r>
    </w:p>
    <w:p w:rsidR="0081139D" w:rsidRDefault="00FA164F">
      <w:pPr>
        <w:snapToGrid w:val="0"/>
        <w:spacing w:line="360" w:lineRule="auto"/>
        <w:ind w:firstLineChars="196" w:firstLine="470"/>
        <w:rPr>
          <w:sz w:val="24"/>
        </w:rPr>
      </w:pPr>
      <w:r>
        <w:rPr>
          <w:rFonts w:hint="eastAsia"/>
          <w:sz w:val="24"/>
        </w:rPr>
        <w:t>（</w:t>
      </w:r>
      <w:r>
        <w:rPr>
          <w:rFonts w:hint="eastAsia"/>
          <w:sz w:val="24"/>
        </w:rPr>
        <w:t>2</w:t>
      </w:r>
      <w:r>
        <w:rPr>
          <w:rFonts w:hint="eastAsia"/>
          <w:sz w:val="24"/>
        </w:rPr>
        <w:t>）</w:t>
      </w:r>
      <w:r>
        <w:rPr>
          <w:rFonts w:hint="eastAsia"/>
          <w:sz w:val="24"/>
        </w:rPr>
        <w:t>选样方法</w:t>
      </w:r>
    </w:p>
    <w:p w:rsidR="0081139D" w:rsidRDefault="00FA164F">
      <w:pPr>
        <w:snapToGrid w:val="0"/>
        <w:spacing w:line="360" w:lineRule="auto"/>
        <w:ind w:firstLineChars="196" w:firstLine="470"/>
        <w:rPr>
          <w:sz w:val="24"/>
        </w:rPr>
      </w:pPr>
      <w:r>
        <w:rPr>
          <w:rFonts w:hint="eastAsia"/>
          <w:sz w:val="24"/>
        </w:rPr>
        <w:t>选取样本空间内所有证券作为指数样本。</w:t>
      </w:r>
    </w:p>
    <w:p w:rsidR="0081139D" w:rsidRDefault="00FA164F">
      <w:pPr>
        <w:snapToGrid w:val="0"/>
        <w:spacing w:line="360" w:lineRule="auto"/>
        <w:ind w:firstLineChars="196" w:firstLine="470"/>
        <w:rPr>
          <w:sz w:val="24"/>
        </w:rPr>
      </w:pPr>
      <w:r>
        <w:rPr>
          <w:rFonts w:hint="eastAsia"/>
          <w:sz w:val="24"/>
        </w:rPr>
        <w:t>有关标的指数具体编制方案及成份股信息详见中证指数有限公司网站，网址</w:t>
      </w:r>
      <w:r>
        <w:rPr>
          <w:rFonts w:hint="eastAsia"/>
          <w:sz w:val="24"/>
        </w:rPr>
        <w:t>https://www.csindex.com.cn</w:t>
      </w:r>
      <w:r>
        <w:rPr>
          <w:rFonts w:hint="eastAsia"/>
          <w:sz w:val="24"/>
        </w:rPr>
        <w:t>。</w:t>
      </w:r>
    </w:p>
    <w:p w:rsidR="0081139D" w:rsidRDefault="00FA164F">
      <w:pPr>
        <w:snapToGrid w:val="0"/>
        <w:spacing w:line="360" w:lineRule="auto"/>
        <w:ind w:firstLineChars="196" w:firstLine="470"/>
        <w:rPr>
          <w:sz w:val="24"/>
        </w:rPr>
      </w:pPr>
      <w:r>
        <w:rPr>
          <w:rFonts w:hint="eastAsia"/>
          <w:sz w:val="24"/>
        </w:rPr>
        <w:t>当本基金持有特定资产且存在或潜在大额赎回申请时，基金管理人履行相应程序后，可以启动侧袋机制，具体详见基金合同和本招募说明书“侧袋机制”等有关部分的规定。侧袋机制实施期间，基金管理人将对基金简称进行特殊标</w:t>
      </w:r>
      <w:r>
        <w:rPr>
          <w:rFonts w:hint="eastAsia"/>
          <w:sz w:val="24"/>
        </w:rPr>
        <w:t>识，并不办理侧袋账户的申购、赎回和转换。请基金份额持有人仔细阅读相关内容并关注本基金启用侧袋机制时的特定风险。</w:t>
      </w:r>
    </w:p>
    <w:p w:rsidR="0081139D" w:rsidRDefault="00FA164F">
      <w:pPr>
        <w:snapToGrid w:val="0"/>
        <w:spacing w:line="360" w:lineRule="auto"/>
        <w:ind w:firstLineChars="196" w:firstLine="470"/>
        <w:rPr>
          <w:sz w:val="24"/>
        </w:rPr>
      </w:pPr>
      <w:r>
        <w:rPr>
          <w:rFonts w:hint="eastAsia"/>
          <w:sz w:val="24"/>
        </w:rPr>
        <w:t>基金管理人依照恪尽职守、诚实信用、谨慎勤勉的原则管理和运用基金资产，但不保证基金一定盈利，也不保证最低收益。基金管理人提醒投资人基金投资的“买者自负”原则，在作出投资决策后，基金运营状况与基金净值变化引致的投资风险，由投资人自行负担。投资者应当认真阅读基金招募说明书、基金合同、基金产品资料概要等信息披露文件，自主判断基金的投资价值，自主做出投资决策，自行承担投资风险。</w:t>
      </w:r>
    </w:p>
    <w:p w:rsidR="0081139D" w:rsidRDefault="00FA164F">
      <w:pPr>
        <w:snapToGrid w:val="0"/>
        <w:spacing w:line="360" w:lineRule="auto"/>
        <w:ind w:firstLineChars="196" w:firstLine="470"/>
        <w:rPr>
          <w:sz w:val="24"/>
        </w:rPr>
      </w:pPr>
      <w:r>
        <w:rPr>
          <w:rFonts w:hint="eastAsia"/>
          <w:sz w:val="24"/>
        </w:rPr>
        <w:t>基金的过往业绩并不预示其未来</w:t>
      </w:r>
      <w:r>
        <w:rPr>
          <w:rFonts w:hint="eastAsia"/>
          <w:sz w:val="24"/>
        </w:rPr>
        <w:t>表现，基金管理人管理的其他基金的业绩也不构成对本基金业绩表现的保证。</w:t>
      </w:r>
    </w:p>
    <w:bookmarkEnd w:id="17"/>
    <w:p w:rsidR="0081139D" w:rsidRDefault="00FA164F">
      <w:pPr>
        <w:snapToGrid w:val="0"/>
        <w:spacing w:line="360" w:lineRule="auto"/>
        <w:ind w:firstLineChars="196" w:firstLine="470"/>
        <w:rPr>
          <w:rFonts w:ascii="宋体" w:hAnsi="宋体"/>
          <w:sz w:val="24"/>
        </w:rPr>
      </w:pPr>
      <w:r>
        <w:rPr>
          <w:rFonts w:ascii="宋体" w:hAnsi="宋体" w:hint="eastAsia"/>
          <w:sz w:val="24"/>
        </w:rPr>
        <w:t>12</w:t>
      </w:r>
      <w:r>
        <w:rPr>
          <w:rFonts w:ascii="宋体" w:hAnsi="宋体" w:hint="eastAsia"/>
          <w:sz w:val="24"/>
        </w:rPr>
        <w:t>、本公司可综合各种情况对发售安排做适当调整。本公司拥有对本基金份</w:t>
      </w:r>
    </w:p>
    <w:p w:rsidR="0081139D" w:rsidRDefault="00FA164F">
      <w:pPr>
        <w:spacing w:line="360" w:lineRule="auto"/>
        <w:rPr>
          <w:rFonts w:ascii="宋体" w:hAnsi="宋体"/>
          <w:sz w:val="24"/>
        </w:rPr>
      </w:pPr>
      <w:r>
        <w:rPr>
          <w:rFonts w:ascii="宋体" w:hAnsi="宋体" w:hint="eastAsia"/>
          <w:sz w:val="24"/>
        </w:rPr>
        <w:t>额发售公告的最终解释权。</w:t>
      </w:r>
    </w:p>
    <w:p w:rsidR="0081139D" w:rsidRDefault="00FA164F">
      <w:pPr>
        <w:pStyle w:val="1"/>
        <w:spacing w:before="200" w:after="200" w:line="240" w:lineRule="auto"/>
        <w:ind w:firstLineChars="200" w:firstLine="602"/>
        <w:rPr>
          <w:rFonts w:ascii="宋体" w:eastAsia="宋体" w:hAnsi="宋体"/>
          <w:sz w:val="30"/>
          <w:szCs w:val="30"/>
        </w:rPr>
      </w:pPr>
      <w:bookmarkStart w:id="18" w:name="_Toc43727002"/>
      <w:bookmarkStart w:id="19" w:name="_Toc7609"/>
      <w:bookmarkStart w:id="20" w:name="_Toc959"/>
      <w:bookmarkStart w:id="21" w:name="_Toc4015"/>
      <w:bookmarkStart w:id="22" w:name="_Toc488930839"/>
      <w:bookmarkStart w:id="23" w:name="_Toc31660"/>
      <w:r>
        <w:rPr>
          <w:rFonts w:ascii="宋体" w:eastAsia="宋体" w:hAnsi="宋体" w:hint="eastAsia"/>
          <w:sz w:val="30"/>
          <w:szCs w:val="30"/>
        </w:rPr>
        <w:t>一、基金份额发售基本情况</w:t>
      </w:r>
      <w:bookmarkEnd w:id="18"/>
      <w:bookmarkEnd w:id="19"/>
      <w:bookmarkEnd w:id="20"/>
      <w:bookmarkEnd w:id="21"/>
      <w:bookmarkEnd w:id="22"/>
      <w:bookmarkEnd w:id="23"/>
    </w:p>
    <w:p w:rsidR="0081139D" w:rsidRDefault="00FA164F">
      <w:pPr>
        <w:spacing w:line="360" w:lineRule="auto"/>
        <w:ind w:firstLineChars="200" w:firstLine="562"/>
        <w:rPr>
          <w:rFonts w:ascii="宋体" w:hAnsi="宋体"/>
          <w:b/>
          <w:bCs/>
          <w:sz w:val="28"/>
        </w:rPr>
      </w:pPr>
      <w:r>
        <w:rPr>
          <w:rFonts w:ascii="宋体" w:hAnsi="宋体" w:hint="eastAsia"/>
          <w:b/>
          <w:bCs/>
          <w:sz w:val="28"/>
        </w:rPr>
        <w:t>（一）基金名称及代码</w:t>
      </w:r>
    </w:p>
    <w:p w:rsidR="0081139D" w:rsidRDefault="00FA164F">
      <w:pPr>
        <w:spacing w:line="360" w:lineRule="auto"/>
        <w:ind w:firstLineChars="200" w:firstLine="480"/>
        <w:rPr>
          <w:color w:val="000000"/>
          <w:sz w:val="24"/>
        </w:rPr>
      </w:pPr>
      <w:r>
        <w:rPr>
          <w:rFonts w:ascii="宋体" w:hAnsi="宋体" w:hint="eastAsia"/>
          <w:sz w:val="24"/>
        </w:rPr>
        <w:t>基金名称：</w:t>
      </w:r>
      <w:r>
        <w:rPr>
          <w:rFonts w:hint="eastAsia"/>
          <w:color w:val="000000"/>
          <w:sz w:val="24"/>
        </w:rPr>
        <w:t>长江中证全指指数增强型发起式证券投资基金</w:t>
      </w:r>
    </w:p>
    <w:p w:rsidR="0081139D" w:rsidRDefault="00FA164F">
      <w:pPr>
        <w:spacing w:line="360" w:lineRule="auto"/>
        <w:ind w:firstLineChars="200" w:firstLine="480"/>
        <w:rPr>
          <w:rFonts w:ascii="宋体" w:hAnsi="宋体"/>
          <w:sz w:val="24"/>
        </w:rPr>
      </w:pPr>
      <w:r>
        <w:rPr>
          <w:rFonts w:ascii="宋体" w:hAnsi="宋体" w:hint="eastAsia"/>
          <w:sz w:val="24"/>
        </w:rPr>
        <w:t>基金代码：</w:t>
      </w:r>
      <w:r>
        <w:rPr>
          <w:rFonts w:ascii="宋体" w:hAnsi="宋体" w:hint="eastAsia"/>
          <w:sz w:val="24"/>
        </w:rPr>
        <w:t>A</w:t>
      </w:r>
      <w:r>
        <w:rPr>
          <w:rFonts w:ascii="宋体" w:hAnsi="宋体" w:hint="eastAsia"/>
          <w:sz w:val="24"/>
        </w:rPr>
        <w:t>类</w:t>
      </w:r>
      <w:r>
        <w:rPr>
          <w:rFonts w:ascii="宋体" w:hAnsi="宋体" w:hint="eastAsia"/>
          <w:sz w:val="24"/>
        </w:rPr>
        <w:t>基金</w:t>
      </w:r>
      <w:r>
        <w:rPr>
          <w:rFonts w:ascii="宋体" w:hAnsi="宋体" w:hint="eastAsia"/>
          <w:sz w:val="24"/>
        </w:rPr>
        <w:t>份额：</w:t>
      </w:r>
      <w:r>
        <w:rPr>
          <w:rFonts w:ascii="宋体" w:hAnsi="宋体" w:hint="eastAsia"/>
          <w:sz w:val="24"/>
        </w:rPr>
        <w:t>02</w:t>
      </w:r>
      <w:r>
        <w:rPr>
          <w:rFonts w:ascii="宋体" w:hAnsi="宋体" w:hint="eastAsia"/>
          <w:sz w:val="24"/>
        </w:rPr>
        <w:t>6183</w:t>
      </w:r>
      <w:r>
        <w:rPr>
          <w:rFonts w:ascii="宋体" w:hAnsi="宋体" w:hint="eastAsia"/>
          <w:sz w:val="24"/>
        </w:rPr>
        <w:t xml:space="preserve">      C</w:t>
      </w:r>
      <w:r>
        <w:rPr>
          <w:rFonts w:ascii="宋体" w:hAnsi="宋体" w:hint="eastAsia"/>
          <w:sz w:val="24"/>
        </w:rPr>
        <w:t>类</w:t>
      </w:r>
      <w:r>
        <w:rPr>
          <w:rFonts w:ascii="宋体" w:hAnsi="宋体" w:hint="eastAsia"/>
          <w:sz w:val="24"/>
        </w:rPr>
        <w:t>基金</w:t>
      </w:r>
      <w:r>
        <w:rPr>
          <w:rFonts w:ascii="宋体" w:hAnsi="宋体" w:hint="eastAsia"/>
          <w:sz w:val="24"/>
        </w:rPr>
        <w:t>份额：</w:t>
      </w:r>
      <w:r>
        <w:rPr>
          <w:rFonts w:ascii="宋体" w:hAnsi="宋体" w:hint="eastAsia"/>
          <w:sz w:val="24"/>
        </w:rPr>
        <w:t>02</w:t>
      </w:r>
      <w:r>
        <w:rPr>
          <w:rFonts w:ascii="宋体" w:hAnsi="宋体" w:hint="eastAsia"/>
          <w:sz w:val="24"/>
        </w:rPr>
        <w:t>6184</w:t>
      </w:r>
    </w:p>
    <w:p w:rsidR="0081139D" w:rsidRDefault="00FA164F">
      <w:pPr>
        <w:spacing w:line="360" w:lineRule="auto"/>
        <w:ind w:firstLineChars="200" w:firstLine="562"/>
        <w:rPr>
          <w:rFonts w:ascii="宋体" w:hAnsi="宋体"/>
          <w:b/>
          <w:bCs/>
          <w:sz w:val="28"/>
        </w:rPr>
      </w:pPr>
      <w:r>
        <w:rPr>
          <w:rFonts w:ascii="宋体" w:hAnsi="宋体" w:hint="eastAsia"/>
          <w:b/>
          <w:bCs/>
          <w:sz w:val="28"/>
        </w:rPr>
        <w:t>（二）基金类型</w:t>
      </w:r>
    </w:p>
    <w:p w:rsidR="0081139D" w:rsidRDefault="00FA164F">
      <w:pPr>
        <w:spacing w:line="360" w:lineRule="auto"/>
        <w:ind w:firstLineChars="200" w:firstLine="480"/>
        <w:rPr>
          <w:rFonts w:ascii="宋体" w:hAnsi="宋体"/>
          <w:sz w:val="24"/>
        </w:rPr>
      </w:pPr>
      <w:r>
        <w:rPr>
          <w:rFonts w:ascii="宋体" w:hAnsi="宋体" w:hint="eastAsia"/>
          <w:sz w:val="24"/>
        </w:rPr>
        <w:t>股票</w:t>
      </w:r>
      <w:r>
        <w:rPr>
          <w:rFonts w:ascii="宋体" w:hAnsi="宋体" w:hint="eastAsia"/>
          <w:sz w:val="24"/>
        </w:rPr>
        <w:t>型证券投资基金</w:t>
      </w:r>
    </w:p>
    <w:p w:rsidR="0081139D" w:rsidRDefault="00FA164F">
      <w:pPr>
        <w:spacing w:line="360" w:lineRule="auto"/>
        <w:ind w:firstLineChars="200" w:firstLine="562"/>
        <w:rPr>
          <w:rFonts w:ascii="宋体" w:hAnsi="宋体"/>
          <w:b/>
          <w:bCs/>
          <w:sz w:val="28"/>
        </w:rPr>
      </w:pPr>
      <w:r>
        <w:rPr>
          <w:rFonts w:ascii="宋体" w:hAnsi="宋体" w:hint="eastAsia"/>
          <w:b/>
          <w:bCs/>
          <w:sz w:val="28"/>
        </w:rPr>
        <w:t>（三）运作方式</w:t>
      </w:r>
    </w:p>
    <w:p w:rsidR="0081139D" w:rsidRDefault="00FA164F">
      <w:pPr>
        <w:spacing w:line="360" w:lineRule="auto"/>
        <w:ind w:firstLineChars="200" w:firstLine="480"/>
        <w:rPr>
          <w:rFonts w:ascii="宋体" w:hAnsi="宋体"/>
          <w:sz w:val="24"/>
        </w:rPr>
      </w:pPr>
      <w:r>
        <w:rPr>
          <w:rFonts w:ascii="宋体" w:hAnsi="宋体" w:hint="eastAsia"/>
          <w:sz w:val="24"/>
        </w:rPr>
        <w:t>契约型开放式</w:t>
      </w:r>
    </w:p>
    <w:p w:rsidR="0081139D" w:rsidRDefault="00FA164F">
      <w:pPr>
        <w:spacing w:line="360" w:lineRule="auto"/>
        <w:ind w:firstLine="562"/>
        <w:rPr>
          <w:rFonts w:ascii="宋体" w:hAnsi="宋体"/>
          <w:b/>
          <w:bCs/>
          <w:sz w:val="28"/>
        </w:rPr>
      </w:pPr>
      <w:r>
        <w:rPr>
          <w:rFonts w:ascii="宋体" w:hAnsi="宋体" w:hint="eastAsia"/>
          <w:b/>
          <w:bCs/>
          <w:sz w:val="28"/>
        </w:rPr>
        <w:t>（四）</w:t>
      </w:r>
      <w:r>
        <w:rPr>
          <w:rFonts w:ascii="宋体" w:hAnsi="宋体"/>
          <w:b/>
          <w:bCs/>
          <w:sz w:val="28"/>
        </w:rPr>
        <w:t>基金份额</w:t>
      </w:r>
      <w:r>
        <w:rPr>
          <w:rFonts w:ascii="宋体" w:hAnsi="宋体" w:hint="eastAsia"/>
          <w:b/>
          <w:bCs/>
          <w:sz w:val="28"/>
        </w:rPr>
        <w:t>发售</w:t>
      </w:r>
      <w:r>
        <w:rPr>
          <w:rFonts w:ascii="宋体" w:hAnsi="宋体"/>
          <w:b/>
          <w:bCs/>
          <w:sz w:val="28"/>
        </w:rPr>
        <w:t>面值</w:t>
      </w:r>
    </w:p>
    <w:p w:rsidR="0081139D" w:rsidRDefault="00FA164F">
      <w:pPr>
        <w:spacing w:line="360" w:lineRule="auto"/>
        <w:ind w:firstLineChars="200" w:firstLine="480"/>
        <w:rPr>
          <w:rFonts w:ascii="宋体" w:hAnsi="宋体"/>
          <w:sz w:val="24"/>
        </w:rPr>
      </w:pPr>
      <w:r>
        <w:rPr>
          <w:rFonts w:ascii="宋体" w:hAnsi="宋体" w:hint="eastAsia"/>
          <w:sz w:val="24"/>
        </w:rPr>
        <w:t>本基金基金份额发售面值为人民币</w:t>
      </w:r>
      <w:r>
        <w:rPr>
          <w:rFonts w:ascii="宋体" w:hAnsi="宋体" w:hint="eastAsia"/>
          <w:sz w:val="24"/>
        </w:rPr>
        <w:t>1.00</w:t>
      </w:r>
      <w:r>
        <w:rPr>
          <w:rFonts w:ascii="宋体" w:hAnsi="宋体" w:hint="eastAsia"/>
          <w:sz w:val="24"/>
        </w:rPr>
        <w:t>元，按面值发售。</w:t>
      </w:r>
    </w:p>
    <w:p w:rsidR="0081139D" w:rsidRDefault="00FA164F">
      <w:pPr>
        <w:spacing w:line="360" w:lineRule="auto"/>
        <w:ind w:firstLineChars="200" w:firstLine="562"/>
        <w:rPr>
          <w:rFonts w:ascii="宋体" w:hAnsi="宋体"/>
          <w:b/>
          <w:bCs/>
          <w:sz w:val="28"/>
        </w:rPr>
      </w:pPr>
      <w:r>
        <w:rPr>
          <w:rFonts w:ascii="宋体" w:hAnsi="宋体" w:hint="eastAsia"/>
          <w:b/>
          <w:bCs/>
          <w:sz w:val="28"/>
        </w:rPr>
        <w:t>（五）基金存续期限</w:t>
      </w:r>
    </w:p>
    <w:p w:rsidR="0081139D" w:rsidRDefault="00FA164F">
      <w:pPr>
        <w:spacing w:line="360" w:lineRule="auto"/>
        <w:ind w:firstLineChars="200" w:firstLine="480"/>
        <w:rPr>
          <w:rFonts w:ascii="宋体" w:hAnsi="宋体"/>
          <w:sz w:val="24"/>
        </w:rPr>
      </w:pPr>
      <w:r>
        <w:rPr>
          <w:rFonts w:ascii="宋体" w:hAnsi="宋体" w:hint="eastAsia"/>
          <w:sz w:val="24"/>
        </w:rPr>
        <w:t>不定期</w:t>
      </w:r>
    </w:p>
    <w:p w:rsidR="0081139D" w:rsidRDefault="00FA164F">
      <w:pPr>
        <w:spacing w:line="360" w:lineRule="auto"/>
        <w:ind w:firstLineChars="200" w:firstLine="562"/>
        <w:rPr>
          <w:rFonts w:ascii="宋体" w:hAnsi="宋体"/>
          <w:b/>
          <w:bCs/>
          <w:sz w:val="28"/>
        </w:rPr>
      </w:pPr>
      <w:bookmarkStart w:id="24" w:name="_Hlk98927901"/>
      <w:r>
        <w:rPr>
          <w:rFonts w:ascii="宋体" w:hAnsi="宋体" w:hint="eastAsia"/>
          <w:b/>
          <w:bCs/>
          <w:sz w:val="28"/>
        </w:rPr>
        <w:t>（六）募集对象</w:t>
      </w:r>
    </w:p>
    <w:p w:rsidR="0081139D" w:rsidRDefault="00FA164F">
      <w:pPr>
        <w:spacing w:line="360" w:lineRule="auto"/>
        <w:ind w:firstLineChars="200" w:firstLine="480"/>
        <w:rPr>
          <w:bCs/>
          <w:sz w:val="24"/>
        </w:rPr>
      </w:pPr>
      <w:r>
        <w:rPr>
          <w:rFonts w:hint="eastAsia"/>
          <w:bCs/>
          <w:sz w:val="24"/>
        </w:rPr>
        <w:t>符合法律法规规定的可投资于证券投资基金的个人投资者、机构投资者、合格境外投资者、发起资金提供方以及法律法规或中国证监会允许购买证券投资基金的其他投资人。</w:t>
      </w:r>
    </w:p>
    <w:bookmarkEnd w:id="24"/>
    <w:p w:rsidR="0081139D" w:rsidRDefault="00FA164F">
      <w:pPr>
        <w:spacing w:line="360" w:lineRule="auto"/>
        <w:ind w:firstLineChars="200" w:firstLine="562"/>
        <w:rPr>
          <w:rFonts w:ascii="宋体" w:hAnsi="宋体"/>
          <w:b/>
          <w:bCs/>
          <w:sz w:val="28"/>
        </w:rPr>
      </w:pPr>
      <w:r>
        <w:rPr>
          <w:rFonts w:ascii="宋体" w:hAnsi="宋体" w:hint="eastAsia"/>
          <w:b/>
          <w:bCs/>
          <w:sz w:val="28"/>
        </w:rPr>
        <w:t>（七）销售机构</w:t>
      </w:r>
    </w:p>
    <w:p w:rsidR="0081139D" w:rsidRDefault="00FA164F">
      <w:pPr>
        <w:spacing w:line="360" w:lineRule="auto"/>
        <w:ind w:firstLineChars="200" w:firstLine="480"/>
        <w:rPr>
          <w:bCs/>
          <w:color w:val="000000"/>
          <w:sz w:val="24"/>
        </w:rPr>
      </w:pPr>
      <w:r>
        <w:rPr>
          <w:rFonts w:hint="eastAsia"/>
          <w:bCs/>
          <w:color w:val="000000"/>
          <w:sz w:val="24"/>
        </w:rPr>
        <w:t>本基金份额发售机构包括</w:t>
      </w:r>
      <w:r>
        <w:rPr>
          <w:rFonts w:hint="eastAsia"/>
          <w:bCs/>
          <w:color w:val="000000"/>
          <w:sz w:val="24"/>
        </w:rPr>
        <w:t>基金管理人</w:t>
      </w:r>
      <w:r>
        <w:rPr>
          <w:rFonts w:hint="eastAsia"/>
          <w:bCs/>
          <w:color w:val="000000"/>
          <w:sz w:val="24"/>
        </w:rPr>
        <w:t>及基金管理人委托的其他销售机构，具体销售机构信息详见基金管理人网站（</w:t>
      </w:r>
      <w:r>
        <w:rPr>
          <w:rFonts w:hint="eastAsia"/>
          <w:bCs/>
          <w:color w:val="000000"/>
          <w:sz w:val="24"/>
        </w:rPr>
        <w:t>www.cjzcgl.com</w:t>
      </w:r>
      <w:r>
        <w:rPr>
          <w:rFonts w:hint="eastAsia"/>
          <w:bCs/>
          <w:color w:val="000000"/>
          <w:sz w:val="24"/>
        </w:rPr>
        <w:t>）。基金管理人可根据情况变更销售机构，并在基金管理人网站公示。</w:t>
      </w:r>
    </w:p>
    <w:p w:rsidR="0081139D" w:rsidRDefault="00FA164F">
      <w:pPr>
        <w:spacing w:line="360" w:lineRule="auto"/>
        <w:ind w:firstLineChars="200" w:firstLine="562"/>
        <w:rPr>
          <w:rFonts w:ascii="宋体" w:hAnsi="宋体"/>
          <w:b/>
          <w:bCs/>
          <w:sz w:val="28"/>
        </w:rPr>
      </w:pPr>
      <w:bookmarkStart w:id="25" w:name="_Hlk98927936"/>
      <w:r>
        <w:rPr>
          <w:rFonts w:ascii="宋体" w:hAnsi="宋体" w:hint="eastAsia"/>
          <w:b/>
          <w:bCs/>
          <w:sz w:val="28"/>
        </w:rPr>
        <w:t>（八）募集目标</w:t>
      </w:r>
    </w:p>
    <w:p w:rsidR="0081139D" w:rsidRDefault="00FA164F">
      <w:pPr>
        <w:spacing w:line="360" w:lineRule="auto"/>
        <w:ind w:firstLineChars="200" w:firstLine="480"/>
        <w:rPr>
          <w:sz w:val="24"/>
        </w:rPr>
      </w:pPr>
      <w:r>
        <w:rPr>
          <w:rFonts w:hint="eastAsia"/>
          <w:sz w:val="24"/>
        </w:rPr>
        <w:t>本基金为发起式基金，本基金的最低募集份额总额为</w:t>
      </w:r>
      <w:r>
        <w:rPr>
          <w:rFonts w:hint="eastAsia"/>
          <w:sz w:val="24"/>
        </w:rPr>
        <w:t>1,000</w:t>
      </w:r>
      <w:r>
        <w:rPr>
          <w:rFonts w:hint="eastAsia"/>
          <w:sz w:val="24"/>
        </w:rPr>
        <w:t>万份，基金募集金额不少于</w:t>
      </w:r>
      <w:r>
        <w:rPr>
          <w:rFonts w:hint="eastAsia"/>
          <w:sz w:val="24"/>
        </w:rPr>
        <w:t>1,000</w:t>
      </w:r>
      <w:r>
        <w:rPr>
          <w:rFonts w:hint="eastAsia"/>
          <w:sz w:val="24"/>
        </w:rPr>
        <w:t>万元人民币，其中使用</w:t>
      </w:r>
      <w:r>
        <w:rPr>
          <w:rFonts w:hint="eastAsia"/>
          <w:sz w:val="24"/>
        </w:rPr>
        <w:t>基金管理人股东资金、基金管理人固有资金、基金管理人高级管理人员、基金经理等人员资金认购基金的金额不少于</w:t>
      </w:r>
      <w:r>
        <w:rPr>
          <w:rFonts w:hint="eastAsia"/>
          <w:sz w:val="24"/>
        </w:rPr>
        <w:t>1,000</w:t>
      </w:r>
      <w:r>
        <w:rPr>
          <w:rFonts w:hint="eastAsia"/>
          <w:sz w:val="24"/>
        </w:rPr>
        <w:t>万元人民币。法律法规和监管机构另有规定的除外。</w:t>
      </w:r>
    </w:p>
    <w:p w:rsidR="0081139D" w:rsidRDefault="00FA164F">
      <w:pPr>
        <w:spacing w:line="360" w:lineRule="auto"/>
        <w:ind w:firstLineChars="200" w:firstLine="480"/>
        <w:rPr>
          <w:sz w:val="24"/>
        </w:rPr>
      </w:pPr>
      <w:r>
        <w:rPr>
          <w:rFonts w:hint="eastAsia"/>
          <w:sz w:val="24"/>
        </w:rPr>
        <w:t>本基金设置首次募集规模上限，</w:t>
      </w:r>
      <w:r>
        <w:rPr>
          <w:rFonts w:hint="eastAsia"/>
          <w:sz w:val="24"/>
        </w:rPr>
        <w:t>首次</w:t>
      </w:r>
      <w:r>
        <w:rPr>
          <w:rFonts w:hint="eastAsia"/>
          <w:sz w:val="24"/>
        </w:rPr>
        <w:t>募集期内，本基金</w:t>
      </w:r>
      <w:r>
        <w:rPr>
          <w:rFonts w:hint="eastAsia"/>
          <w:sz w:val="24"/>
        </w:rPr>
        <w:t>的</w:t>
      </w:r>
      <w:r>
        <w:rPr>
          <w:rFonts w:hint="eastAsia"/>
          <w:sz w:val="24"/>
        </w:rPr>
        <w:t>募集规模上限为</w:t>
      </w:r>
      <w:r>
        <w:rPr>
          <w:rFonts w:hint="eastAsia"/>
          <w:sz w:val="24"/>
        </w:rPr>
        <w:t>10</w:t>
      </w:r>
      <w:r>
        <w:rPr>
          <w:rFonts w:hint="eastAsia"/>
          <w:sz w:val="24"/>
        </w:rPr>
        <w:t>亿</w:t>
      </w:r>
      <w:r>
        <w:rPr>
          <w:rFonts w:hint="eastAsia"/>
          <w:sz w:val="24"/>
        </w:rPr>
        <w:t>元人民币（不包括认购资金在募集期间产生的利息），并将采用末日比例确认的方式实现募集规模的有效控制，</w:t>
      </w:r>
      <w:r>
        <w:rPr>
          <w:rFonts w:hint="eastAsia"/>
          <w:sz w:val="24"/>
        </w:rPr>
        <w:t>规模控制的</w:t>
      </w:r>
      <w:r>
        <w:rPr>
          <w:rFonts w:hint="eastAsia"/>
          <w:sz w:val="24"/>
        </w:rPr>
        <w:t>具体方式详见本公告“二、（五）募集期销售规模限制方案”。本基金设置</w:t>
      </w:r>
      <w:r>
        <w:rPr>
          <w:rFonts w:hint="eastAsia"/>
          <w:sz w:val="24"/>
        </w:rPr>
        <w:t>的</w:t>
      </w:r>
      <w:r>
        <w:rPr>
          <w:rFonts w:hint="eastAsia"/>
          <w:sz w:val="24"/>
        </w:rPr>
        <w:t>首次募集规模上限，基金合同生效后不受此募集规模的限制。</w:t>
      </w:r>
    </w:p>
    <w:bookmarkEnd w:id="25"/>
    <w:p w:rsidR="0081139D" w:rsidRDefault="00FA164F">
      <w:pPr>
        <w:spacing w:line="360" w:lineRule="auto"/>
        <w:ind w:firstLineChars="200" w:firstLine="562"/>
        <w:rPr>
          <w:rFonts w:ascii="宋体" w:hAnsi="宋体"/>
          <w:b/>
          <w:bCs/>
          <w:sz w:val="28"/>
        </w:rPr>
      </w:pPr>
      <w:r>
        <w:rPr>
          <w:rFonts w:ascii="宋体" w:hAnsi="宋体" w:hint="eastAsia"/>
          <w:b/>
          <w:bCs/>
          <w:sz w:val="28"/>
        </w:rPr>
        <w:t>（九）募集时间安排</w:t>
      </w:r>
    </w:p>
    <w:p w:rsidR="0081139D" w:rsidRDefault="00FA164F">
      <w:pPr>
        <w:spacing w:line="360" w:lineRule="auto"/>
        <w:ind w:firstLineChars="200" w:firstLine="480"/>
        <w:rPr>
          <w:rFonts w:ascii="宋体" w:hAnsi="宋体"/>
          <w:sz w:val="24"/>
        </w:rPr>
      </w:pPr>
      <w:r>
        <w:rPr>
          <w:rFonts w:ascii="宋体" w:hAnsi="宋体" w:hint="eastAsia"/>
          <w:sz w:val="24"/>
        </w:rPr>
        <w:t>本基金的募集期限为</w:t>
      </w:r>
      <w:r>
        <w:rPr>
          <w:rFonts w:ascii="宋体" w:hAnsi="宋体" w:hint="eastAsia"/>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8</w:t>
      </w:r>
      <w:r>
        <w:rPr>
          <w:rFonts w:ascii="宋体" w:hAnsi="宋体" w:hint="eastAsia"/>
          <w:sz w:val="24"/>
        </w:rPr>
        <w:t>日至</w:t>
      </w:r>
      <w:r>
        <w:rPr>
          <w:rFonts w:ascii="宋体" w:hAnsi="宋体" w:hint="eastAsia"/>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31</w:t>
      </w:r>
      <w:r>
        <w:rPr>
          <w:rFonts w:ascii="宋体" w:hAnsi="宋体" w:hint="eastAsia"/>
          <w:sz w:val="24"/>
        </w:rPr>
        <w:t>日</w:t>
      </w:r>
      <w:r>
        <w:rPr>
          <w:rFonts w:ascii="宋体" w:hAnsi="宋体" w:hint="eastAsia"/>
          <w:sz w:val="24"/>
        </w:rPr>
        <w:t>。基金管理人可根据认购的情况，依据法律法规和基金合同的规定适当延长或缩短募集期，但整个募集期限自基金份额发售之日起不超过三个月。</w:t>
      </w:r>
    </w:p>
    <w:p w:rsidR="0081139D" w:rsidRDefault="00FA164F">
      <w:pPr>
        <w:pStyle w:val="1"/>
        <w:spacing w:before="200" w:after="200" w:line="240" w:lineRule="auto"/>
        <w:ind w:firstLineChars="200" w:firstLine="602"/>
        <w:rPr>
          <w:rFonts w:ascii="宋体" w:eastAsia="宋体" w:hAnsi="宋体"/>
          <w:sz w:val="30"/>
          <w:szCs w:val="30"/>
        </w:rPr>
      </w:pPr>
      <w:bookmarkStart w:id="26" w:name="_Toc3732"/>
      <w:bookmarkStart w:id="27" w:name="_Toc31529"/>
      <w:bookmarkStart w:id="28" w:name="_Toc29889"/>
      <w:bookmarkStart w:id="29" w:name="_Toc43727003"/>
      <w:bookmarkStart w:id="30" w:name="_Toc23207"/>
      <w:r>
        <w:rPr>
          <w:rFonts w:ascii="宋体" w:eastAsia="宋体" w:hAnsi="宋体" w:hint="eastAsia"/>
          <w:sz w:val="30"/>
          <w:szCs w:val="30"/>
        </w:rPr>
        <w:t>二、募集方式与相关规定</w:t>
      </w:r>
      <w:bookmarkEnd w:id="26"/>
      <w:bookmarkEnd w:id="27"/>
      <w:bookmarkEnd w:id="28"/>
      <w:bookmarkEnd w:id="29"/>
      <w:bookmarkEnd w:id="30"/>
    </w:p>
    <w:p w:rsidR="0081139D" w:rsidRDefault="00FA164F">
      <w:pPr>
        <w:spacing w:line="360" w:lineRule="auto"/>
        <w:ind w:firstLineChars="200" w:firstLine="562"/>
        <w:rPr>
          <w:rFonts w:ascii="宋体" w:hAnsi="宋体"/>
          <w:b/>
          <w:bCs/>
          <w:sz w:val="28"/>
        </w:rPr>
      </w:pPr>
      <w:bookmarkStart w:id="31" w:name="_Hlk98927982"/>
      <w:r>
        <w:rPr>
          <w:rFonts w:ascii="宋体" w:hAnsi="宋体" w:hint="eastAsia"/>
          <w:b/>
          <w:bCs/>
          <w:sz w:val="28"/>
        </w:rPr>
        <w:t>（一）基金份额发售面值</w:t>
      </w:r>
    </w:p>
    <w:p w:rsidR="0081139D" w:rsidRDefault="00FA164F" w:rsidP="00FA164F">
      <w:pPr>
        <w:autoSpaceDE w:val="0"/>
        <w:autoSpaceDN w:val="0"/>
        <w:adjustRightInd w:val="0"/>
        <w:spacing w:beforeLines="50" w:line="360" w:lineRule="auto"/>
        <w:ind w:firstLineChars="200" w:firstLine="480"/>
        <w:rPr>
          <w:rFonts w:ascii="宋体" w:hAnsi="宋体" w:cs="Arial"/>
          <w:sz w:val="24"/>
          <w:szCs w:val="24"/>
        </w:rPr>
        <w:pPrChange w:id="32" w:author="作者" w:date="2025-11-27T00:03:00Z">
          <w:pPr>
            <w:autoSpaceDE w:val="0"/>
            <w:autoSpaceDN w:val="0"/>
            <w:adjustRightInd w:val="0"/>
            <w:spacing w:beforeLines="50" w:line="360" w:lineRule="auto"/>
            <w:ind w:firstLineChars="200" w:firstLine="480"/>
          </w:pPr>
        </w:pPrChange>
      </w:pPr>
      <w:r>
        <w:rPr>
          <w:rFonts w:ascii="宋体" w:hAnsi="宋体" w:cs="宋体" w:hint="eastAsia"/>
          <w:kern w:val="0"/>
          <w:sz w:val="24"/>
        </w:rPr>
        <w:t>本基金基金份额发售面值为人民币</w:t>
      </w:r>
      <w:r>
        <w:rPr>
          <w:rFonts w:ascii="宋体" w:hAnsi="宋体" w:cs="宋体" w:hint="eastAsia"/>
          <w:kern w:val="0"/>
          <w:sz w:val="24"/>
        </w:rPr>
        <w:t>1.00</w:t>
      </w:r>
      <w:r>
        <w:rPr>
          <w:rFonts w:ascii="宋体" w:hAnsi="宋体" w:cs="宋体" w:hint="eastAsia"/>
          <w:kern w:val="0"/>
          <w:sz w:val="24"/>
        </w:rPr>
        <w:t>元，按面值发售</w:t>
      </w:r>
      <w:r>
        <w:rPr>
          <w:rFonts w:ascii="宋体" w:hAnsi="宋体" w:cs="Arial" w:hint="eastAsia"/>
          <w:sz w:val="24"/>
          <w:szCs w:val="24"/>
        </w:rPr>
        <w:t>。</w:t>
      </w:r>
    </w:p>
    <w:p w:rsidR="0081139D" w:rsidRDefault="00FA164F">
      <w:pPr>
        <w:spacing w:line="360" w:lineRule="auto"/>
        <w:ind w:firstLineChars="200" w:firstLine="562"/>
        <w:rPr>
          <w:rFonts w:ascii="宋体" w:hAnsi="宋体"/>
          <w:b/>
          <w:bCs/>
          <w:sz w:val="28"/>
        </w:rPr>
      </w:pPr>
      <w:r>
        <w:rPr>
          <w:rFonts w:ascii="宋体" w:hAnsi="宋体" w:hint="eastAsia"/>
          <w:b/>
          <w:bCs/>
          <w:sz w:val="28"/>
        </w:rPr>
        <w:t>（二）认购费用</w:t>
      </w:r>
    </w:p>
    <w:p w:rsidR="0081139D" w:rsidRDefault="00FA164F">
      <w:pPr>
        <w:spacing w:line="440" w:lineRule="exact"/>
        <w:ind w:firstLine="420"/>
        <w:rPr>
          <w:kern w:val="0"/>
          <w:sz w:val="24"/>
        </w:rPr>
      </w:pPr>
      <w:r>
        <w:rPr>
          <w:rFonts w:hint="eastAsia"/>
          <w:kern w:val="0"/>
          <w:sz w:val="24"/>
        </w:rPr>
        <w:t xml:space="preserve">  </w:t>
      </w:r>
      <w:r>
        <w:rPr>
          <w:rFonts w:hint="eastAsia"/>
          <w:kern w:val="0"/>
          <w:sz w:val="24"/>
        </w:rPr>
        <w:t>本基金</w:t>
      </w:r>
      <w:r>
        <w:rPr>
          <w:rFonts w:hint="eastAsia"/>
          <w:kern w:val="0"/>
          <w:sz w:val="24"/>
        </w:rPr>
        <w:t>A</w:t>
      </w:r>
      <w:r>
        <w:rPr>
          <w:rFonts w:hint="eastAsia"/>
          <w:kern w:val="0"/>
          <w:sz w:val="24"/>
        </w:rPr>
        <w:t>类基金份额在认购时收取认购费，认购费率随认购金额的增加而递减。本基金</w:t>
      </w:r>
      <w:r>
        <w:rPr>
          <w:rFonts w:hint="eastAsia"/>
          <w:kern w:val="0"/>
          <w:sz w:val="24"/>
        </w:rPr>
        <w:t>C</w:t>
      </w:r>
      <w:r>
        <w:rPr>
          <w:rFonts w:hint="eastAsia"/>
          <w:kern w:val="0"/>
          <w:sz w:val="24"/>
        </w:rPr>
        <w:t>类基金份额不收取认购费用。</w:t>
      </w:r>
    </w:p>
    <w:p w:rsidR="0081139D" w:rsidRDefault="00FA164F">
      <w:pPr>
        <w:spacing w:line="440" w:lineRule="exact"/>
        <w:ind w:firstLine="420"/>
        <w:rPr>
          <w:kern w:val="0"/>
          <w:sz w:val="24"/>
        </w:rPr>
      </w:pPr>
      <w:r>
        <w:rPr>
          <w:rFonts w:hint="eastAsia"/>
          <w:kern w:val="0"/>
          <w:sz w:val="24"/>
        </w:rPr>
        <w:t>本基金对通过基金管理人直销柜台认购本基金</w:t>
      </w:r>
      <w:r>
        <w:rPr>
          <w:rFonts w:hint="eastAsia"/>
          <w:kern w:val="0"/>
          <w:sz w:val="24"/>
        </w:rPr>
        <w:t>A</w:t>
      </w:r>
      <w:r>
        <w:rPr>
          <w:rFonts w:hint="eastAsia"/>
          <w:kern w:val="0"/>
          <w:sz w:val="24"/>
        </w:rPr>
        <w:t>类基金份额的特定投资群体与除此之外的其他投资者实施差别化的认购费率。</w:t>
      </w:r>
    </w:p>
    <w:p w:rsidR="0081139D" w:rsidRDefault="00FA164F">
      <w:pPr>
        <w:spacing w:line="440" w:lineRule="exact"/>
        <w:ind w:firstLine="420"/>
        <w:rPr>
          <w:kern w:val="0"/>
          <w:sz w:val="24"/>
        </w:rPr>
      </w:pPr>
      <w:r>
        <w:rPr>
          <w:rFonts w:hint="eastAsia"/>
          <w:kern w:val="0"/>
          <w:sz w:val="24"/>
        </w:rPr>
        <w:t>特定投资群体指全国社会保障基金、基本养老保险基金、可以投资基金的地方社会保障基金、企业年金基金、职业年金基金，以及个人税收递延型商业养老保险、养老目标证券投资基金等。如将来出现经养老基金监管部门认可的新的养老基金类型，基金管理人可将其纳入特定投资群体范围。非特定投资群体指除特定投资群体外的其他投资人。</w:t>
      </w:r>
    </w:p>
    <w:p w:rsidR="0081139D" w:rsidRDefault="00FA164F">
      <w:pPr>
        <w:spacing w:line="440" w:lineRule="exact"/>
        <w:ind w:firstLine="420"/>
        <w:rPr>
          <w:kern w:val="0"/>
          <w:sz w:val="24"/>
        </w:rPr>
      </w:pPr>
      <w:r>
        <w:rPr>
          <w:rFonts w:hint="eastAsia"/>
          <w:kern w:val="0"/>
          <w:sz w:val="24"/>
        </w:rPr>
        <w:t>通过基金管理人直销柜台认购本基金</w:t>
      </w:r>
      <w:r>
        <w:rPr>
          <w:rFonts w:hint="eastAsia"/>
          <w:kern w:val="0"/>
          <w:sz w:val="24"/>
        </w:rPr>
        <w:t>A</w:t>
      </w:r>
      <w:r>
        <w:rPr>
          <w:rFonts w:hint="eastAsia"/>
          <w:kern w:val="0"/>
          <w:sz w:val="24"/>
        </w:rPr>
        <w:t>类基金份额的特定投资群体适用下表特定认购费率，认购本基金</w:t>
      </w:r>
      <w:r>
        <w:rPr>
          <w:rFonts w:hint="eastAsia"/>
          <w:kern w:val="0"/>
          <w:sz w:val="24"/>
        </w:rPr>
        <w:t>A</w:t>
      </w:r>
      <w:r>
        <w:rPr>
          <w:rFonts w:hint="eastAsia"/>
          <w:kern w:val="0"/>
          <w:sz w:val="24"/>
        </w:rPr>
        <w:t>类基金份额的其他投资人适用下表一般认购费率。</w:t>
      </w:r>
    </w:p>
    <w:p w:rsidR="0081139D" w:rsidRDefault="00FA164F">
      <w:pPr>
        <w:spacing w:line="440" w:lineRule="exact"/>
        <w:ind w:firstLine="420"/>
        <w:rPr>
          <w:kern w:val="0"/>
          <w:sz w:val="24"/>
        </w:rPr>
      </w:pPr>
      <w:r>
        <w:rPr>
          <w:rFonts w:hint="eastAsia"/>
          <w:kern w:val="0"/>
          <w:sz w:val="24"/>
        </w:rPr>
        <w:t>本基金</w:t>
      </w:r>
      <w:r>
        <w:rPr>
          <w:rFonts w:hint="eastAsia"/>
          <w:kern w:val="0"/>
          <w:sz w:val="24"/>
        </w:rPr>
        <w:t>A</w:t>
      </w:r>
      <w:r>
        <w:rPr>
          <w:rFonts w:hint="eastAsia"/>
          <w:kern w:val="0"/>
          <w:sz w:val="24"/>
        </w:rPr>
        <w:t>类基金份额的认购费用采取前端收费模式，认购费率如下：</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6"/>
        <w:gridCol w:w="2737"/>
        <w:gridCol w:w="2663"/>
      </w:tblGrid>
      <w:tr w:rsidR="0081139D">
        <w:trPr>
          <w:jc w:val="center"/>
        </w:trPr>
        <w:tc>
          <w:tcPr>
            <w:tcW w:w="1753" w:type="pct"/>
          </w:tcPr>
          <w:p w:rsidR="0081139D" w:rsidRDefault="00FA164F">
            <w:pPr>
              <w:spacing w:line="440" w:lineRule="exact"/>
              <w:jc w:val="center"/>
              <w:rPr>
                <w:kern w:val="0"/>
                <w:sz w:val="24"/>
              </w:rPr>
            </w:pPr>
            <w:bookmarkStart w:id="33" w:name="_Hlk192081189"/>
            <w:r>
              <w:rPr>
                <w:rFonts w:hint="eastAsia"/>
                <w:kern w:val="0"/>
                <w:sz w:val="24"/>
              </w:rPr>
              <w:t>认购金额（</w:t>
            </w:r>
            <w:r>
              <w:rPr>
                <w:rFonts w:hint="eastAsia"/>
                <w:kern w:val="0"/>
                <w:sz w:val="24"/>
              </w:rPr>
              <w:t>M</w:t>
            </w:r>
            <w:r>
              <w:rPr>
                <w:rFonts w:hint="eastAsia"/>
                <w:kern w:val="0"/>
                <w:sz w:val="24"/>
              </w:rPr>
              <w:t>）</w:t>
            </w:r>
          </w:p>
        </w:tc>
        <w:tc>
          <w:tcPr>
            <w:tcW w:w="1645" w:type="pct"/>
          </w:tcPr>
          <w:p w:rsidR="0081139D" w:rsidRDefault="00FA164F">
            <w:pPr>
              <w:spacing w:line="440" w:lineRule="exact"/>
              <w:jc w:val="center"/>
              <w:rPr>
                <w:kern w:val="0"/>
                <w:sz w:val="24"/>
              </w:rPr>
            </w:pPr>
            <w:r>
              <w:rPr>
                <w:rFonts w:hint="eastAsia"/>
                <w:kern w:val="0"/>
                <w:sz w:val="24"/>
              </w:rPr>
              <w:t>一般认购费率</w:t>
            </w:r>
          </w:p>
        </w:tc>
        <w:tc>
          <w:tcPr>
            <w:tcW w:w="1600" w:type="pct"/>
          </w:tcPr>
          <w:p w:rsidR="0081139D" w:rsidRDefault="00FA164F">
            <w:pPr>
              <w:spacing w:line="440" w:lineRule="exact"/>
              <w:jc w:val="center"/>
              <w:rPr>
                <w:kern w:val="0"/>
                <w:sz w:val="24"/>
              </w:rPr>
            </w:pPr>
            <w:r>
              <w:rPr>
                <w:rFonts w:hint="eastAsia"/>
                <w:kern w:val="0"/>
                <w:sz w:val="24"/>
              </w:rPr>
              <w:t>特定认购费率</w:t>
            </w:r>
          </w:p>
        </w:tc>
      </w:tr>
      <w:tr w:rsidR="0081139D">
        <w:trPr>
          <w:jc w:val="center"/>
        </w:trPr>
        <w:tc>
          <w:tcPr>
            <w:tcW w:w="1753" w:type="pct"/>
          </w:tcPr>
          <w:p w:rsidR="0081139D" w:rsidRDefault="00FA164F">
            <w:pPr>
              <w:spacing w:line="440" w:lineRule="exact"/>
              <w:jc w:val="center"/>
              <w:rPr>
                <w:kern w:val="0"/>
                <w:sz w:val="24"/>
              </w:rPr>
            </w:pPr>
            <w:r>
              <w:rPr>
                <w:rFonts w:hint="eastAsia"/>
                <w:kern w:val="0"/>
                <w:sz w:val="24"/>
              </w:rPr>
              <w:t>M</w:t>
            </w:r>
            <w:r>
              <w:rPr>
                <w:rFonts w:hint="eastAsia"/>
                <w:kern w:val="0"/>
                <w:sz w:val="24"/>
              </w:rPr>
              <w:t>＜</w:t>
            </w:r>
            <w:r>
              <w:rPr>
                <w:rFonts w:hint="eastAsia"/>
                <w:kern w:val="0"/>
                <w:sz w:val="24"/>
              </w:rPr>
              <w:t>100</w:t>
            </w:r>
            <w:r>
              <w:rPr>
                <w:rFonts w:hint="eastAsia"/>
                <w:kern w:val="0"/>
                <w:sz w:val="24"/>
              </w:rPr>
              <w:t>万</w:t>
            </w:r>
          </w:p>
        </w:tc>
        <w:tc>
          <w:tcPr>
            <w:tcW w:w="1645" w:type="pct"/>
          </w:tcPr>
          <w:p w:rsidR="0081139D" w:rsidRDefault="00FA164F">
            <w:pPr>
              <w:spacing w:line="440" w:lineRule="exact"/>
              <w:jc w:val="center"/>
              <w:rPr>
                <w:kern w:val="0"/>
                <w:sz w:val="24"/>
              </w:rPr>
            </w:pPr>
            <w:r>
              <w:rPr>
                <w:rFonts w:hint="eastAsia"/>
                <w:kern w:val="0"/>
                <w:sz w:val="24"/>
              </w:rPr>
              <w:t>1.00%</w:t>
            </w:r>
          </w:p>
        </w:tc>
        <w:tc>
          <w:tcPr>
            <w:tcW w:w="1600" w:type="pct"/>
          </w:tcPr>
          <w:p w:rsidR="0081139D" w:rsidRDefault="00FA164F">
            <w:pPr>
              <w:spacing w:line="440" w:lineRule="exact"/>
              <w:jc w:val="center"/>
              <w:rPr>
                <w:kern w:val="0"/>
                <w:sz w:val="24"/>
              </w:rPr>
            </w:pPr>
            <w:r>
              <w:rPr>
                <w:rFonts w:hint="eastAsia"/>
                <w:kern w:val="0"/>
                <w:sz w:val="24"/>
              </w:rPr>
              <w:t>0.10%</w:t>
            </w:r>
          </w:p>
        </w:tc>
      </w:tr>
      <w:tr w:rsidR="0081139D">
        <w:trPr>
          <w:jc w:val="center"/>
        </w:trPr>
        <w:tc>
          <w:tcPr>
            <w:tcW w:w="1753" w:type="pct"/>
          </w:tcPr>
          <w:p w:rsidR="0081139D" w:rsidRDefault="00FA164F">
            <w:pPr>
              <w:spacing w:line="440" w:lineRule="exact"/>
              <w:jc w:val="center"/>
              <w:rPr>
                <w:kern w:val="0"/>
                <w:sz w:val="24"/>
              </w:rPr>
            </w:pPr>
            <w:r>
              <w:rPr>
                <w:rFonts w:hint="eastAsia"/>
                <w:kern w:val="0"/>
                <w:sz w:val="24"/>
              </w:rPr>
              <w:t>100</w:t>
            </w:r>
            <w:r>
              <w:rPr>
                <w:rFonts w:hint="eastAsia"/>
                <w:kern w:val="0"/>
                <w:sz w:val="24"/>
              </w:rPr>
              <w:t>万≤</w:t>
            </w:r>
            <w:r>
              <w:rPr>
                <w:rFonts w:hint="eastAsia"/>
                <w:kern w:val="0"/>
                <w:sz w:val="24"/>
              </w:rPr>
              <w:t>M</w:t>
            </w:r>
            <w:r>
              <w:rPr>
                <w:rFonts w:hint="eastAsia"/>
                <w:kern w:val="0"/>
                <w:sz w:val="24"/>
              </w:rPr>
              <w:t>＜</w:t>
            </w:r>
            <w:r>
              <w:rPr>
                <w:rFonts w:hint="eastAsia"/>
                <w:kern w:val="0"/>
                <w:sz w:val="24"/>
              </w:rPr>
              <w:t>300</w:t>
            </w:r>
            <w:r>
              <w:rPr>
                <w:rFonts w:hint="eastAsia"/>
                <w:kern w:val="0"/>
                <w:sz w:val="24"/>
              </w:rPr>
              <w:t>万</w:t>
            </w:r>
          </w:p>
        </w:tc>
        <w:tc>
          <w:tcPr>
            <w:tcW w:w="1645" w:type="pct"/>
          </w:tcPr>
          <w:p w:rsidR="0081139D" w:rsidRDefault="00FA164F">
            <w:pPr>
              <w:spacing w:line="440" w:lineRule="exact"/>
              <w:jc w:val="center"/>
              <w:rPr>
                <w:kern w:val="0"/>
                <w:sz w:val="24"/>
              </w:rPr>
            </w:pPr>
            <w:r>
              <w:rPr>
                <w:rFonts w:hint="eastAsia"/>
                <w:kern w:val="0"/>
                <w:sz w:val="24"/>
              </w:rPr>
              <w:t>0.60%</w:t>
            </w:r>
          </w:p>
        </w:tc>
        <w:tc>
          <w:tcPr>
            <w:tcW w:w="1600" w:type="pct"/>
          </w:tcPr>
          <w:p w:rsidR="0081139D" w:rsidRDefault="00FA164F">
            <w:pPr>
              <w:spacing w:line="440" w:lineRule="exact"/>
              <w:jc w:val="center"/>
              <w:rPr>
                <w:kern w:val="0"/>
                <w:sz w:val="24"/>
              </w:rPr>
            </w:pPr>
            <w:r>
              <w:rPr>
                <w:rFonts w:hint="eastAsia"/>
                <w:kern w:val="0"/>
                <w:sz w:val="24"/>
              </w:rPr>
              <w:t>0.06%</w:t>
            </w:r>
          </w:p>
        </w:tc>
      </w:tr>
      <w:tr w:rsidR="0081139D">
        <w:trPr>
          <w:jc w:val="center"/>
        </w:trPr>
        <w:tc>
          <w:tcPr>
            <w:tcW w:w="1753" w:type="pct"/>
          </w:tcPr>
          <w:p w:rsidR="0081139D" w:rsidRDefault="00FA164F">
            <w:pPr>
              <w:spacing w:line="440" w:lineRule="exact"/>
              <w:jc w:val="center"/>
              <w:rPr>
                <w:kern w:val="0"/>
                <w:sz w:val="24"/>
              </w:rPr>
            </w:pPr>
            <w:r>
              <w:rPr>
                <w:rFonts w:hint="eastAsia"/>
                <w:kern w:val="0"/>
                <w:sz w:val="24"/>
              </w:rPr>
              <w:t>300</w:t>
            </w:r>
            <w:r>
              <w:rPr>
                <w:rFonts w:hint="eastAsia"/>
                <w:kern w:val="0"/>
                <w:sz w:val="24"/>
              </w:rPr>
              <w:t>万≤</w:t>
            </w:r>
            <w:r>
              <w:rPr>
                <w:rFonts w:hint="eastAsia"/>
                <w:kern w:val="0"/>
                <w:sz w:val="24"/>
              </w:rPr>
              <w:t>M</w:t>
            </w:r>
            <w:r>
              <w:rPr>
                <w:rFonts w:hint="eastAsia"/>
                <w:kern w:val="0"/>
                <w:sz w:val="24"/>
              </w:rPr>
              <w:t>＜</w:t>
            </w:r>
            <w:r>
              <w:rPr>
                <w:rFonts w:hint="eastAsia"/>
                <w:kern w:val="0"/>
                <w:sz w:val="24"/>
              </w:rPr>
              <w:t>500</w:t>
            </w:r>
            <w:r>
              <w:rPr>
                <w:rFonts w:hint="eastAsia"/>
                <w:kern w:val="0"/>
                <w:sz w:val="24"/>
              </w:rPr>
              <w:t>万</w:t>
            </w:r>
          </w:p>
        </w:tc>
        <w:tc>
          <w:tcPr>
            <w:tcW w:w="1645" w:type="pct"/>
          </w:tcPr>
          <w:p w:rsidR="0081139D" w:rsidRDefault="00FA164F">
            <w:pPr>
              <w:spacing w:line="440" w:lineRule="exact"/>
              <w:jc w:val="center"/>
              <w:rPr>
                <w:kern w:val="0"/>
                <w:sz w:val="24"/>
              </w:rPr>
            </w:pPr>
            <w:r>
              <w:rPr>
                <w:rFonts w:hint="eastAsia"/>
                <w:kern w:val="0"/>
                <w:sz w:val="24"/>
              </w:rPr>
              <w:t>0.30%</w:t>
            </w:r>
          </w:p>
        </w:tc>
        <w:tc>
          <w:tcPr>
            <w:tcW w:w="1600" w:type="pct"/>
          </w:tcPr>
          <w:p w:rsidR="0081139D" w:rsidRDefault="00FA164F">
            <w:pPr>
              <w:spacing w:line="440" w:lineRule="exact"/>
              <w:jc w:val="center"/>
              <w:rPr>
                <w:kern w:val="0"/>
                <w:sz w:val="24"/>
              </w:rPr>
            </w:pPr>
            <w:r>
              <w:rPr>
                <w:rFonts w:hint="eastAsia"/>
                <w:kern w:val="0"/>
                <w:sz w:val="24"/>
              </w:rPr>
              <w:t>0.03%</w:t>
            </w:r>
          </w:p>
        </w:tc>
      </w:tr>
      <w:tr w:rsidR="0081139D">
        <w:trPr>
          <w:jc w:val="center"/>
        </w:trPr>
        <w:tc>
          <w:tcPr>
            <w:tcW w:w="1753" w:type="pct"/>
          </w:tcPr>
          <w:p w:rsidR="0081139D" w:rsidRDefault="00FA164F">
            <w:pPr>
              <w:spacing w:line="440" w:lineRule="exact"/>
              <w:jc w:val="center"/>
              <w:rPr>
                <w:kern w:val="0"/>
                <w:sz w:val="24"/>
              </w:rPr>
            </w:pPr>
            <w:r>
              <w:rPr>
                <w:rFonts w:hint="eastAsia"/>
                <w:kern w:val="0"/>
                <w:sz w:val="24"/>
              </w:rPr>
              <w:t>M</w:t>
            </w:r>
            <w:r>
              <w:rPr>
                <w:rFonts w:hint="eastAsia"/>
                <w:kern w:val="0"/>
                <w:sz w:val="24"/>
              </w:rPr>
              <w:t>≥</w:t>
            </w:r>
            <w:r>
              <w:rPr>
                <w:rFonts w:hint="eastAsia"/>
                <w:kern w:val="0"/>
                <w:sz w:val="24"/>
              </w:rPr>
              <w:t>500</w:t>
            </w:r>
            <w:r>
              <w:rPr>
                <w:rFonts w:hint="eastAsia"/>
                <w:kern w:val="0"/>
                <w:sz w:val="24"/>
              </w:rPr>
              <w:t>万</w:t>
            </w:r>
          </w:p>
        </w:tc>
        <w:tc>
          <w:tcPr>
            <w:tcW w:w="1645" w:type="pct"/>
          </w:tcPr>
          <w:p w:rsidR="0081139D" w:rsidRDefault="00FA164F">
            <w:pPr>
              <w:spacing w:line="440" w:lineRule="exact"/>
              <w:jc w:val="center"/>
              <w:rPr>
                <w:kern w:val="0"/>
                <w:sz w:val="24"/>
              </w:rPr>
            </w:pPr>
            <w:r>
              <w:rPr>
                <w:rFonts w:hint="eastAsia"/>
                <w:kern w:val="0"/>
                <w:sz w:val="24"/>
              </w:rPr>
              <w:t>按笔收取，</w:t>
            </w:r>
            <w:r>
              <w:rPr>
                <w:rFonts w:hint="eastAsia"/>
                <w:kern w:val="0"/>
                <w:sz w:val="24"/>
              </w:rPr>
              <w:t>1,000</w:t>
            </w:r>
            <w:r>
              <w:rPr>
                <w:rFonts w:hint="eastAsia"/>
                <w:kern w:val="0"/>
                <w:sz w:val="24"/>
              </w:rPr>
              <w:t>元</w:t>
            </w:r>
            <w:r>
              <w:rPr>
                <w:rFonts w:hint="eastAsia"/>
                <w:kern w:val="0"/>
                <w:sz w:val="24"/>
              </w:rPr>
              <w:t>/</w:t>
            </w:r>
            <w:r>
              <w:rPr>
                <w:rFonts w:hint="eastAsia"/>
                <w:kern w:val="0"/>
                <w:sz w:val="24"/>
              </w:rPr>
              <w:t>笔</w:t>
            </w:r>
          </w:p>
        </w:tc>
        <w:tc>
          <w:tcPr>
            <w:tcW w:w="1600" w:type="pct"/>
          </w:tcPr>
          <w:p w:rsidR="0081139D" w:rsidRDefault="00FA164F">
            <w:pPr>
              <w:spacing w:line="440" w:lineRule="exact"/>
              <w:jc w:val="center"/>
              <w:rPr>
                <w:kern w:val="0"/>
                <w:sz w:val="24"/>
              </w:rPr>
            </w:pPr>
            <w:r>
              <w:rPr>
                <w:rFonts w:hint="eastAsia"/>
                <w:kern w:val="0"/>
                <w:sz w:val="24"/>
              </w:rPr>
              <w:t>按笔收取，</w:t>
            </w:r>
            <w:r>
              <w:rPr>
                <w:rFonts w:hint="eastAsia"/>
                <w:kern w:val="0"/>
                <w:sz w:val="24"/>
              </w:rPr>
              <w:t>100</w:t>
            </w:r>
            <w:r>
              <w:rPr>
                <w:rFonts w:hint="eastAsia"/>
                <w:kern w:val="0"/>
                <w:sz w:val="24"/>
              </w:rPr>
              <w:t>元</w:t>
            </w:r>
            <w:r>
              <w:rPr>
                <w:rFonts w:hint="eastAsia"/>
                <w:kern w:val="0"/>
                <w:sz w:val="24"/>
              </w:rPr>
              <w:t>/</w:t>
            </w:r>
            <w:r>
              <w:rPr>
                <w:rFonts w:hint="eastAsia"/>
                <w:kern w:val="0"/>
                <w:sz w:val="24"/>
              </w:rPr>
              <w:t>笔</w:t>
            </w:r>
          </w:p>
        </w:tc>
      </w:tr>
    </w:tbl>
    <w:bookmarkEnd w:id="33"/>
    <w:p w:rsidR="0081139D" w:rsidRDefault="00FA164F">
      <w:pPr>
        <w:spacing w:line="440" w:lineRule="exact"/>
        <w:ind w:firstLine="420"/>
        <w:rPr>
          <w:kern w:val="0"/>
          <w:sz w:val="24"/>
        </w:rPr>
      </w:pPr>
      <w:r>
        <w:rPr>
          <w:rFonts w:hint="eastAsia"/>
          <w:kern w:val="0"/>
          <w:sz w:val="24"/>
        </w:rPr>
        <w:t>投资人在募集期内可以多次认购基金份额，</w:t>
      </w:r>
      <w:r>
        <w:rPr>
          <w:rFonts w:hint="eastAsia"/>
          <w:kern w:val="0"/>
          <w:sz w:val="24"/>
        </w:rPr>
        <w:t>A</w:t>
      </w:r>
      <w:r>
        <w:rPr>
          <w:rFonts w:hint="eastAsia"/>
          <w:kern w:val="0"/>
          <w:sz w:val="24"/>
        </w:rPr>
        <w:t>类基金份额的认购费按每笔</w:t>
      </w:r>
      <w:r>
        <w:rPr>
          <w:rFonts w:hint="eastAsia"/>
          <w:kern w:val="0"/>
          <w:sz w:val="24"/>
        </w:rPr>
        <w:t>A</w:t>
      </w:r>
      <w:r>
        <w:rPr>
          <w:rFonts w:hint="eastAsia"/>
          <w:kern w:val="0"/>
          <w:sz w:val="24"/>
        </w:rPr>
        <w:t>类基金份额认购申请单独计算。</w:t>
      </w:r>
    </w:p>
    <w:p w:rsidR="0081139D" w:rsidRDefault="00FA164F">
      <w:pPr>
        <w:spacing w:line="440" w:lineRule="exact"/>
        <w:ind w:firstLine="420"/>
        <w:rPr>
          <w:kern w:val="0"/>
          <w:sz w:val="24"/>
        </w:rPr>
      </w:pPr>
      <w:r>
        <w:rPr>
          <w:rFonts w:hint="eastAsia"/>
          <w:kern w:val="0"/>
          <w:sz w:val="24"/>
        </w:rPr>
        <w:t>A</w:t>
      </w:r>
      <w:r>
        <w:rPr>
          <w:rFonts w:hint="eastAsia"/>
          <w:kern w:val="0"/>
          <w:sz w:val="24"/>
        </w:rPr>
        <w:t>类基金份额的认购费用由认购本基金</w:t>
      </w:r>
      <w:r>
        <w:rPr>
          <w:rFonts w:hint="eastAsia"/>
          <w:kern w:val="0"/>
          <w:sz w:val="24"/>
        </w:rPr>
        <w:t>A</w:t>
      </w:r>
      <w:r>
        <w:rPr>
          <w:rFonts w:hint="eastAsia"/>
          <w:kern w:val="0"/>
          <w:sz w:val="24"/>
        </w:rPr>
        <w:t>类基金份额的投资人承担，基金认购费用不列入基金财产，主要用于本基金的市场推广、销售、登记等基金募集期间发生的各项费用。</w:t>
      </w:r>
    </w:p>
    <w:p w:rsidR="0081139D" w:rsidRDefault="00FA164F">
      <w:pPr>
        <w:spacing w:line="440" w:lineRule="exact"/>
        <w:ind w:firstLine="420"/>
        <w:rPr>
          <w:rFonts w:ascii="宋体" w:hAnsi="宋体"/>
          <w:kern w:val="0"/>
          <w:sz w:val="24"/>
          <w:szCs w:val="24"/>
        </w:rPr>
      </w:pPr>
      <w:r>
        <w:rPr>
          <w:rFonts w:hint="eastAsia"/>
          <w:kern w:val="0"/>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对基金销售费用实行一定的优惠</w:t>
      </w:r>
      <w:r>
        <w:rPr>
          <w:rFonts w:ascii="宋体" w:hAnsi="宋体" w:hint="eastAsia"/>
          <w:kern w:val="0"/>
          <w:sz w:val="24"/>
          <w:szCs w:val="24"/>
        </w:rPr>
        <w:t>。</w:t>
      </w:r>
      <w:r>
        <w:rPr>
          <w:rFonts w:ascii="宋体" w:hAnsi="宋体" w:hint="eastAsia"/>
          <w:sz w:val="24"/>
        </w:rPr>
        <w:t>本基金在首次募集期间，不参与销售机构开展的认购费率优惠活动。</w:t>
      </w:r>
    </w:p>
    <w:p w:rsidR="0081139D" w:rsidRDefault="00FA164F">
      <w:pPr>
        <w:numPr>
          <w:ilvl w:val="0"/>
          <w:numId w:val="2"/>
        </w:numPr>
        <w:spacing w:line="360" w:lineRule="auto"/>
        <w:ind w:firstLineChars="200" w:firstLine="562"/>
        <w:rPr>
          <w:rFonts w:ascii="宋体" w:hAnsi="宋体"/>
          <w:b/>
          <w:bCs/>
          <w:sz w:val="28"/>
        </w:rPr>
      </w:pPr>
      <w:r>
        <w:rPr>
          <w:rFonts w:ascii="宋体" w:hAnsi="宋体" w:hint="eastAsia"/>
          <w:b/>
          <w:bCs/>
          <w:sz w:val="28"/>
        </w:rPr>
        <w:t>认购份额的计算</w:t>
      </w:r>
    </w:p>
    <w:p w:rsidR="0081139D" w:rsidRDefault="00FA164F">
      <w:pPr>
        <w:spacing w:line="360" w:lineRule="auto"/>
        <w:ind w:firstLineChars="200" w:firstLine="480"/>
        <w:rPr>
          <w:rFonts w:ascii="宋体" w:hAnsi="宋体"/>
          <w:kern w:val="0"/>
          <w:sz w:val="24"/>
          <w:szCs w:val="24"/>
        </w:rPr>
      </w:pPr>
      <w:r>
        <w:rPr>
          <w:rFonts w:ascii="宋体" w:hAnsi="宋体" w:hint="eastAsia"/>
          <w:kern w:val="0"/>
          <w:sz w:val="24"/>
          <w:szCs w:val="24"/>
        </w:rPr>
        <w:t>基金认购采用金额认购的方式。基金的认购金额包括认购费用和净认购金额。</w:t>
      </w:r>
    </w:p>
    <w:p w:rsidR="0081139D" w:rsidRDefault="00FA164F">
      <w:pPr>
        <w:spacing w:line="360" w:lineRule="auto"/>
        <w:ind w:firstLineChars="200" w:firstLine="480"/>
        <w:rPr>
          <w:rFonts w:ascii="宋体" w:hAnsi="宋体"/>
          <w:kern w:val="0"/>
          <w:sz w:val="24"/>
          <w:szCs w:val="24"/>
        </w:rPr>
      </w:pPr>
      <w:r>
        <w:rPr>
          <w:rFonts w:ascii="宋体" w:hAnsi="宋体" w:hint="eastAsia"/>
          <w:kern w:val="0"/>
          <w:sz w:val="24"/>
          <w:szCs w:val="24"/>
        </w:rPr>
        <w:t>认购份额的计算保留到小数点后</w:t>
      </w:r>
      <w:r>
        <w:rPr>
          <w:rFonts w:ascii="宋体" w:hAnsi="宋体" w:hint="eastAsia"/>
          <w:kern w:val="0"/>
          <w:sz w:val="24"/>
          <w:szCs w:val="24"/>
        </w:rPr>
        <w:t>2</w:t>
      </w:r>
      <w:r>
        <w:rPr>
          <w:rFonts w:ascii="宋体" w:hAnsi="宋体" w:hint="eastAsia"/>
          <w:kern w:val="0"/>
          <w:sz w:val="24"/>
          <w:szCs w:val="24"/>
        </w:rPr>
        <w:t>位，小数点</w:t>
      </w:r>
      <w:r>
        <w:rPr>
          <w:rFonts w:ascii="宋体" w:hAnsi="宋体" w:hint="eastAsia"/>
          <w:kern w:val="0"/>
          <w:sz w:val="24"/>
          <w:szCs w:val="24"/>
        </w:rPr>
        <w:t>2</w:t>
      </w:r>
      <w:r>
        <w:rPr>
          <w:rFonts w:ascii="宋体" w:hAnsi="宋体" w:hint="eastAsia"/>
          <w:kern w:val="0"/>
          <w:sz w:val="24"/>
          <w:szCs w:val="24"/>
        </w:rPr>
        <w:t>位以后的部分四舍五入，由此误差产生的收益或损失由基金财产承担。</w:t>
      </w:r>
    </w:p>
    <w:p w:rsidR="0081139D" w:rsidRDefault="00FA164F">
      <w:pPr>
        <w:spacing w:line="360" w:lineRule="auto"/>
        <w:ind w:firstLineChars="200" w:firstLine="480"/>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1</w:t>
      </w:r>
      <w:r>
        <w:rPr>
          <w:rFonts w:ascii="宋体" w:hAnsi="宋体" w:hint="eastAsia"/>
          <w:kern w:val="0"/>
          <w:sz w:val="24"/>
          <w:szCs w:val="24"/>
        </w:rPr>
        <w:t>）若投资者选择认购本基金</w:t>
      </w:r>
      <w:r>
        <w:rPr>
          <w:rFonts w:ascii="宋体" w:hAnsi="宋体" w:hint="eastAsia"/>
          <w:kern w:val="0"/>
          <w:sz w:val="24"/>
          <w:szCs w:val="24"/>
        </w:rPr>
        <w:t>A</w:t>
      </w:r>
      <w:r>
        <w:rPr>
          <w:rFonts w:ascii="宋体" w:hAnsi="宋体" w:hint="eastAsia"/>
          <w:kern w:val="0"/>
          <w:sz w:val="24"/>
          <w:szCs w:val="24"/>
        </w:rPr>
        <w:t>类基金份额，认购份额的计算公式如下：</w:t>
      </w:r>
    </w:p>
    <w:p w:rsidR="0081139D" w:rsidRDefault="00FA164F">
      <w:pPr>
        <w:spacing w:line="360" w:lineRule="auto"/>
        <w:ind w:firstLineChars="200" w:firstLine="480"/>
        <w:rPr>
          <w:rFonts w:ascii="宋体" w:hAnsi="宋体"/>
          <w:kern w:val="0"/>
          <w:sz w:val="24"/>
          <w:szCs w:val="24"/>
        </w:rPr>
      </w:pPr>
      <w:r>
        <w:rPr>
          <w:rFonts w:ascii="宋体" w:hAnsi="宋体" w:hint="eastAsia"/>
          <w:kern w:val="0"/>
          <w:sz w:val="24"/>
          <w:szCs w:val="24"/>
        </w:rPr>
        <w:t>净认购金额</w:t>
      </w:r>
      <w:r>
        <w:rPr>
          <w:rFonts w:ascii="宋体" w:hAnsi="宋体" w:hint="eastAsia"/>
          <w:kern w:val="0"/>
          <w:sz w:val="24"/>
          <w:szCs w:val="24"/>
        </w:rPr>
        <w:t>=</w:t>
      </w:r>
      <w:r>
        <w:rPr>
          <w:rFonts w:ascii="宋体" w:hAnsi="宋体" w:hint="eastAsia"/>
          <w:kern w:val="0"/>
          <w:sz w:val="24"/>
          <w:szCs w:val="24"/>
        </w:rPr>
        <w:t>认购金额</w:t>
      </w:r>
      <w:r>
        <w:rPr>
          <w:rFonts w:ascii="宋体" w:hAnsi="宋体" w:hint="eastAsia"/>
          <w:kern w:val="0"/>
          <w:sz w:val="24"/>
          <w:szCs w:val="24"/>
        </w:rPr>
        <w:t>/</w:t>
      </w:r>
      <w:r>
        <w:rPr>
          <w:rFonts w:ascii="宋体" w:hAnsi="宋体" w:hint="eastAsia"/>
          <w:kern w:val="0"/>
          <w:sz w:val="24"/>
          <w:szCs w:val="24"/>
        </w:rPr>
        <w:t>（</w:t>
      </w:r>
      <w:r>
        <w:rPr>
          <w:rFonts w:ascii="宋体" w:hAnsi="宋体" w:hint="eastAsia"/>
          <w:kern w:val="0"/>
          <w:sz w:val="24"/>
          <w:szCs w:val="24"/>
        </w:rPr>
        <w:t>1+</w:t>
      </w:r>
      <w:r>
        <w:rPr>
          <w:rFonts w:ascii="宋体" w:hAnsi="宋体" w:hint="eastAsia"/>
          <w:kern w:val="0"/>
          <w:sz w:val="24"/>
          <w:szCs w:val="24"/>
        </w:rPr>
        <w:t>认购费率）</w:t>
      </w:r>
    </w:p>
    <w:p w:rsidR="0081139D" w:rsidRDefault="00FA164F">
      <w:pPr>
        <w:spacing w:line="360" w:lineRule="auto"/>
        <w:ind w:firstLineChars="200" w:firstLine="480"/>
        <w:rPr>
          <w:rFonts w:ascii="宋体" w:hAnsi="宋体"/>
          <w:kern w:val="0"/>
          <w:sz w:val="24"/>
          <w:szCs w:val="24"/>
        </w:rPr>
      </w:pPr>
      <w:r>
        <w:rPr>
          <w:rFonts w:ascii="宋体" w:hAnsi="宋体" w:hint="eastAsia"/>
          <w:kern w:val="0"/>
          <w:sz w:val="24"/>
          <w:szCs w:val="24"/>
        </w:rPr>
        <w:t>（注：对于适用固定金额认购费的认购，净认购金额</w:t>
      </w:r>
      <w:r>
        <w:rPr>
          <w:rFonts w:ascii="宋体" w:hAnsi="宋体" w:hint="eastAsia"/>
          <w:kern w:val="0"/>
          <w:sz w:val="24"/>
          <w:szCs w:val="24"/>
        </w:rPr>
        <w:t>=</w:t>
      </w:r>
      <w:r>
        <w:rPr>
          <w:rFonts w:ascii="宋体" w:hAnsi="宋体" w:hint="eastAsia"/>
          <w:kern w:val="0"/>
          <w:sz w:val="24"/>
          <w:szCs w:val="24"/>
        </w:rPr>
        <w:t>认购金额</w:t>
      </w:r>
      <w:r>
        <w:rPr>
          <w:rFonts w:ascii="宋体" w:hAnsi="宋体" w:hint="eastAsia"/>
          <w:kern w:val="0"/>
          <w:sz w:val="24"/>
          <w:szCs w:val="24"/>
        </w:rPr>
        <w:t>-</w:t>
      </w:r>
      <w:r>
        <w:rPr>
          <w:rFonts w:ascii="宋体" w:hAnsi="宋体" w:hint="eastAsia"/>
          <w:kern w:val="0"/>
          <w:sz w:val="24"/>
          <w:szCs w:val="24"/>
        </w:rPr>
        <w:t>固定认购费用）</w:t>
      </w:r>
    </w:p>
    <w:p w:rsidR="0081139D" w:rsidRDefault="00FA164F">
      <w:pPr>
        <w:spacing w:line="360" w:lineRule="auto"/>
        <w:ind w:firstLineChars="200" w:firstLine="480"/>
        <w:rPr>
          <w:rFonts w:ascii="宋体" w:hAnsi="宋体"/>
          <w:kern w:val="0"/>
          <w:sz w:val="24"/>
          <w:szCs w:val="24"/>
        </w:rPr>
      </w:pPr>
      <w:r>
        <w:rPr>
          <w:rFonts w:ascii="宋体" w:hAnsi="宋体" w:hint="eastAsia"/>
          <w:kern w:val="0"/>
          <w:sz w:val="24"/>
          <w:szCs w:val="24"/>
        </w:rPr>
        <w:t>认购费用</w:t>
      </w:r>
      <w:r>
        <w:rPr>
          <w:rFonts w:ascii="宋体" w:hAnsi="宋体" w:hint="eastAsia"/>
          <w:kern w:val="0"/>
          <w:sz w:val="24"/>
          <w:szCs w:val="24"/>
        </w:rPr>
        <w:t>=</w:t>
      </w:r>
      <w:r>
        <w:rPr>
          <w:rFonts w:ascii="宋体" w:hAnsi="宋体" w:hint="eastAsia"/>
          <w:kern w:val="0"/>
          <w:sz w:val="24"/>
          <w:szCs w:val="24"/>
        </w:rPr>
        <w:t>认购金额</w:t>
      </w:r>
      <w:r>
        <w:rPr>
          <w:rFonts w:ascii="宋体" w:hAnsi="宋体" w:hint="eastAsia"/>
          <w:kern w:val="0"/>
          <w:sz w:val="24"/>
          <w:szCs w:val="24"/>
        </w:rPr>
        <w:t>-</w:t>
      </w:r>
      <w:r>
        <w:rPr>
          <w:rFonts w:ascii="宋体" w:hAnsi="宋体" w:hint="eastAsia"/>
          <w:kern w:val="0"/>
          <w:sz w:val="24"/>
          <w:szCs w:val="24"/>
        </w:rPr>
        <w:t>净认购金额</w:t>
      </w:r>
    </w:p>
    <w:p w:rsidR="0081139D" w:rsidRDefault="00FA164F">
      <w:pPr>
        <w:spacing w:line="360" w:lineRule="auto"/>
        <w:ind w:firstLineChars="200" w:firstLine="480"/>
        <w:rPr>
          <w:rFonts w:ascii="宋体" w:hAnsi="宋体"/>
          <w:kern w:val="0"/>
          <w:sz w:val="24"/>
          <w:szCs w:val="24"/>
        </w:rPr>
      </w:pPr>
      <w:r>
        <w:rPr>
          <w:rFonts w:ascii="宋体" w:hAnsi="宋体" w:hint="eastAsia"/>
          <w:kern w:val="0"/>
          <w:sz w:val="24"/>
          <w:szCs w:val="24"/>
        </w:rPr>
        <w:t>认购份额</w:t>
      </w:r>
      <w:r>
        <w:rPr>
          <w:rFonts w:ascii="宋体" w:hAnsi="宋体" w:hint="eastAsia"/>
          <w:kern w:val="0"/>
          <w:sz w:val="24"/>
          <w:szCs w:val="24"/>
        </w:rPr>
        <w:t>=</w:t>
      </w:r>
      <w:r>
        <w:rPr>
          <w:rFonts w:ascii="宋体" w:hAnsi="宋体" w:hint="eastAsia"/>
          <w:kern w:val="0"/>
          <w:sz w:val="24"/>
          <w:szCs w:val="24"/>
        </w:rPr>
        <w:t>（净认购金额</w:t>
      </w:r>
      <w:r>
        <w:rPr>
          <w:rFonts w:ascii="宋体" w:hAnsi="宋体" w:hint="eastAsia"/>
          <w:kern w:val="0"/>
          <w:sz w:val="24"/>
          <w:szCs w:val="24"/>
        </w:rPr>
        <w:t>+</w:t>
      </w:r>
      <w:r>
        <w:rPr>
          <w:rFonts w:ascii="宋体" w:hAnsi="宋体" w:hint="eastAsia"/>
          <w:kern w:val="0"/>
          <w:sz w:val="24"/>
          <w:szCs w:val="24"/>
        </w:rPr>
        <w:t>认购利息）</w:t>
      </w:r>
      <w:r>
        <w:rPr>
          <w:rFonts w:ascii="宋体" w:hAnsi="宋体" w:hint="eastAsia"/>
          <w:kern w:val="0"/>
          <w:sz w:val="24"/>
          <w:szCs w:val="24"/>
        </w:rPr>
        <w:t>/</w:t>
      </w:r>
      <w:r>
        <w:rPr>
          <w:rFonts w:ascii="宋体" w:hAnsi="宋体" w:hint="eastAsia"/>
          <w:kern w:val="0"/>
          <w:sz w:val="24"/>
          <w:szCs w:val="24"/>
        </w:rPr>
        <w:t>基金份额</w:t>
      </w:r>
      <w:r>
        <w:rPr>
          <w:rFonts w:ascii="宋体" w:hAnsi="宋体" w:hint="eastAsia"/>
          <w:kern w:val="0"/>
          <w:sz w:val="24"/>
          <w:szCs w:val="24"/>
        </w:rPr>
        <w:t>发售面值</w:t>
      </w:r>
    </w:p>
    <w:p w:rsidR="0081139D" w:rsidRDefault="00FA164F">
      <w:pPr>
        <w:spacing w:line="360" w:lineRule="auto"/>
        <w:ind w:firstLineChars="200" w:firstLine="480"/>
        <w:rPr>
          <w:rFonts w:ascii="宋体" w:hAnsi="宋体"/>
          <w:kern w:val="0"/>
          <w:sz w:val="24"/>
          <w:szCs w:val="24"/>
        </w:rPr>
      </w:pPr>
      <w:r>
        <w:rPr>
          <w:rFonts w:ascii="宋体" w:hAnsi="宋体" w:hint="eastAsia"/>
          <w:kern w:val="0"/>
          <w:sz w:val="24"/>
          <w:szCs w:val="24"/>
        </w:rPr>
        <w:t>例：某投资人（非特定投资群体）在募集期内投资</w:t>
      </w:r>
      <w:r>
        <w:rPr>
          <w:rFonts w:ascii="宋体" w:hAnsi="宋体" w:hint="eastAsia"/>
          <w:kern w:val="0"/>
          <w:sz w:val="24"/>
          <w:szCs w:val="24"/>
        </w:rPr>
        <w:t>100,000</w:t>
      </w:r>
      <w:r>
        <w:rPr>
          <w:rFonts w:ascii="宋体" w:hAnsi="宋体" w:hint="eastAsia"/>
          <w:kern w:val="0"/>
          <w:sz w:val="24"/>
          <w:szCs w:val="24"/>
        </w:rPr>
        <w:t>元认购本基金</w:t>
      </w:r>
      <w:r>
        <w:rPr>
          <w:rFonts w:ascii="宋体" w:hAnsi="宋体" w:hint="eastAsia"/>
          <w:kern w:val="0"/>
          <w:sz w:val="24"/>
          <w:szCs w:val="24"/>
        </w:rPr>
        <w:t>A</w:t>
      </w:r>
      <w:r>
        <w:rPr>
          <w:rFonts w:ascii="宋体" w:hAnsi="宋体" w:hint="eastAsia"/>
          <w:kern w:val="0"/>
          <w:sz w:val="24"/>
          <w:szCs w:val="24"/>
        </w:rPr>
        <w:t>类基金份额，对应认购费率为</w:t>
      </w:r>
      <w:r>
        <w:rPr>
          <w:rFonts w:ascii="宋体" w:hAnsi="宋体" w:hint="eastAsia"/>
          <w:kern w:val="0"/>
          <w:sz w:val="24"/>
          <w:szCs w:val="24"/>
        </w:rPr>
        <w:t>1.00%</w:t>
      </w:r>
      <w:r>
        <w:rPr>
          <w:rFonts w:ascii="宋体" w:hAnsi="宋体" w:hint="eastAsia"/>
          <w:kern w:val="0"/>
          <w:sz w:val="24"/>
          <w:szCs w:val="24"/>
        </w:rPr>
        <w:t>，在募集期结束时，假设这</w:t>
      </w:r>
      <w:r>
        <w:rPr>
          <w:rFonts w:ascii="宋体" w:hAnsi="宋体" w:hint="eastAsia"/>
          <w:kern w:val="0"/>
          <w:sz w:val="24"/>
          <w:szCs w:val="24"/>
        </w:rPr>
        <w:t>100,000</w:t>
      </w:r>
      <w:r>
        <w:rPr>
          <w:rFonts w:ascii="宋体" w:hAnsi="宋体" w:hint="eastAsia"/>
          <w:kern w:val="0"/>
          <w:sz w:val="24"/>
          <w:szCs w:val="24"/>
        </w:rPr>
        <w:t>元在募集期间产生的利息为</w:t>
      </w:r>
      <w:r>
        <w:rPr>
          <w:rFonts w:ascii="宋体" w:hAnsi="宋体" w:hint="eastAsia"/>
          <w:kern w:val="0"/>
          <w:sz w:val="24"/>
          <w:szCs w:val="24"/>
        </w:rPr>
        <w:t>29.50</w:t>
      </w:r>
      <w:r>
        <w:rPr>
          <w:rFonts w:ascii="宋体" w:hAnsi="宋体" w:hint="eastAsia"/>
          <w:kern w:val="0"/>
          <w:sz w:val="24"/>
          <w:szCs w:val="24"/>
        </w:rPr>
        <w:t>元，则其可得到的</w:t>
      </w:r>
      <w:r>
        <w:rPr>
          <w:rFonts w:ascii="宋体" w:hAnsi="宋体" w:hint="eastAsia"/>
          <w:kern w:val="0"/>
          <w:sz w:val="24"/>
          <w:szCs w:val="24"/>
        </w:rPr>
        <w:t>A</w:t>
      </w:r>
      <w:r>
        <w:rPr>
          <w:rFonts w:ascii="宋体" w:hAnsi="宋体" w:hint="eastAsia"/>
          <w:kern w:val="0"/>
          <w:sz w:val="24"/>
          <w:szCs w:val="24"/>
        </w:rPr>
        <w:t>类基金份额数计算如下：</w:t>
      </w:r>
    </w:p>
    <w:p w:rsidR="0081139D" w:rsidRDefault="00FA164F">
      <w:pPr>
        <w:spacing w:line="360" w:lineRule="auto"/>
        <w:ind w:firstLineChars="200" w:firstLine="480"/>
        <w:rPr>
          <w:rFonts w:ascii="宋体" w:hAnsi="宋体"/>
          <w:kern w:val="0"/>
          <w:sz w:val="24"/>
          <w:szCs w:val="24"/>
        </w:rPr>
      </w:pPr>
      <w:r>
        <w:rPr>
          <w:rFonts w:ascii="宋体" w:hAnsi="宋体" w:hint="eastAsia"/>
          <w:kern w:val="0"/>
          <w:sz w:val="24"/>
          <w:szCs w:val="24"/>
        </w:rPr>
        <w:t>净认购金额＝</w:t>
      </w:r>
      <w:r>
        <w:rPr>
          <w:rFonts w:ascii="宋体" w:hAnsi="宋体" w:hint="eastAsia"/>
          <w:kern w:val="0"/>
          <w:sz w:val="24"/>
          <w:szCs w:val="24"/>
        </w:rPr>
        <w:t>100,000/</w:t>
      </w:r>
      <w:r>
        <w:rPr>
          <w:rFonts w:ascii="宋体" w:hAnsi="宋体" w:hint="eastAsia"/>
          <w:kern w:val="0"/>
          <w:sz w:val="24"/>
          <w:szCs w:val="24"/>
        </w:rPr>
        <w:t>（</w:t>
      </w:r>
      <w:r>
        <w:rPr>
          <w:rFonts w:ascii="宋体" w:hAnsi="宋体" w:hint="eastAsia"/>
          <w:kern w:val="0"/>
          <w:sz w:val="24"/>
          <w:szCs w:val="24"/>
        </w:rPr>
        <w:t>1+1.00%</w:t>
      </w:r>
      <w:r>
        <w:rPr>
          <w:rFonts w:ascii="宋体" w:hAnsi="宋体" w:hint="eastAsia"/>
          <w:kern w:val="0"/>
          <w:sz w:val="24"/>
          <w:szCs w:val="24"/>
        </w:rPr>
        <w:t>）</w:t>
      </w:r>
      <w:r>
        <w:rPr>
          <w:rFonts w:ascii="宋体" w:hAnsi="宋体" w:hint="eastAsia"/>
          <w:kern w:val="0"/>
          <w:sz w:val="24"/>
          <w:szCs w:val="24"/>
        </w:rPr>
        <w:t>=99,009.90</w:t>
      </w:r>
      <w:r>
        <w:rPr>
          <w:rFonts w:ascii="宋体" w:hAnsi="宋体" w:hint="eastAsia"/>
          <w:kern w:val="0"/>
          <w:sz w:val="24"/>
          <w:szCs w:val="24"/>
        </w:rPr>
        <w:t>元</w:t>
      </w:r>
    </w:p>
    <w:p w:rsidR="0081139D" w:rsidRDefault="00FA164F">
      <w:pPr>
        <w:spacing w:line="360" w:lineRule="auto"/>
        <w:ind w:firstLineChars="200" w:firstLine="480"/>
        <w:rPr>
          <w:rFonts w:ascii="宋体" w:hAnsi="宋体"/>
          <w:kern w:val="0"/>
          <w:sz w:val="24"/>
          <w:szCs w:val="24"/>
        </w:rPr>
      </w:pPr>
      <w:r>
        <w:rPr>
          <w:rFonts w:ascii="宋体" w:hAnsi="宋体" w:hint="eastAsia"/>
          <w:kern w:val="0"/>
          <w:sz w:val="24"/>
          <w:szCs w:val="24"/>
        </w:rPr>
        <w:t>认购费用＝</w:t>
      </w:r>
      <w:r>
        <w:rPr>
          <w:rFonts w:ascii="宋体" w:hAnsi="宋体" w:hint="eastAsia"/>
          <w:kern w:val="0"/>
          <w:sz w:val="24"/>
          <w:szCs w:val="24"/>
        </w:rPr>
        <w:t>100,000-99,009.90=990.10</w:t>
      </w:r>
      <w:r>
        <w:rPr>
          <w:rFonts w:ascii="宋体" w:hAnsi="宋体" w:hint="eastAsia"/>
          <w:kern w:val="0"/>
          <w:sz w:val="24"/>
          <w:szCs w:val="24"/>
        </w:rPr>
        <w:t>元</w:t>
      </w:r>
    </w:p>
    <w:p w:rsidR="0081139D" w:rsidRDefault="00FA164F">
      <w:pPr>
        <w:spacing w:line="360" w:lineRule="auto"/>
        <w:ind w:firstLineChars="200" w:firstLine="480"/>
        <w:rPr>
          <w:rFonts w:ascii="宋体" w:hAnsi="宋体"/>
          <w:kern w:val="0"/>
          <w:sz w:val="24"/>
          <w:szCs w:val="24"/>
        </w:rPr>
      </w:pPr>
      <w:r>
        <w:rPr>
          <w:rFonts w:ascii="宋体" w:hAnsi="宋体" w:hint="eastAsia"/>
          <w:kern w:val="0"/>
          <w:sz w:val="24"/>
          <w:szCs w:val="24"/>
        </w:rPr>
        <w:t>认购份额＝（</w:t>
      </w:r>
      <w:r>
        <w:rPr>
          <w:rFonts w:ascii="宋体" w:hAnsi="宋体" w:hint="eastAsia"/>
          <w:kern w:val="0"/>
          <w:sz w:val="24"/>
          <w:szCs w:val="24"/>
        </w:rPr>
        <w:t>99,009.90+29.50</w:t>
      </w:r>
      <w:r>
        <w:rPr>
          <w:rFonts w:ascii="宋体" w:hAnsi="宋体" w:hint="eastAsia"/>
          <w:kern w:val="0"/>
          <w:sz w:val="24"/>
          <w:szCs w:val="24"/>
        </w:rPr>
        <w:t>）</w:t>
      </w:r>
      <w:r>
        <w:rPr>
          <w:rFonts w:ascii="宋体" w:hAnsi="宋体" w:hint="eastAsia"/>
          <w:kern w:val="0"/>
          <w:sz w:val="24"/>
          <w:szCs w:val="24"/>
        </w:rPr>
        <w:t>/1.00=99,039.40</w:t>
      </w:r>
      <w:r>
        <w:rPr>
          <w:rFonts w:ascii="宋体" w:hAnsi="宋体" w:hint="eastAsia"/>
          <w:kern w:val="0"/>
          <w:sz w:val="24"/>
          <w:szCs w:val="24"/>
        </w:rPr>
        <w:t>份</w:t>
      </w:r>
    </w:p>
    <w:p w:rsidR="0081139D" w:rsidRDefault="00FA164F">
      <w:pPr>
        <w:spacing w:line="360" w:lineRule="auto"/>
        <w:ind w:firstLineChars="200" w:firstLine="480"/>
        <w:rPr>
          <w:rFonts w:ascii="宋体" w:hAnsi="宋体"/>
          <w:kern w:val="0"/>
          <w:sz w:val="24"/>
          <w:szCs w:val="24"/>
        </w:rPr>
      </w:pPr>
      <w:r>
        <w:rPr>
          <w:rFonts w:ascii="宋体" w:hAnsi="宋体" w:hint="eastAsia"/>
          <w:kern w:val="0"/>
          <w:sz w:val="24"/>
          <w:szCs w:val="24"/>
        </w:rPr>
        <w:t>即：投资人（非特定投资群体）投资</w:t>
      </w:r>
      <w:r>
        <w:rPr>
          <w:rFonts w:ascii="宋体" w:hAnsi="宋体" w:hint="eastAsia"/>
          <w:kern w:val="0"/>
          <w:sz w:val="24"/>
          <w:szCs w:val="24"/>
        </w:rPr>
        <w:t>100,000</w:t>
      </w:r>
      <w:r>
        <w:rPr>
          <w:rFonts w:ascii="宋体" w:hAnsi="宋体" w:hint="eastAsia"/>
          <w:kern w:val="0"/>
          <w:sz w:val="24"/>
          <w:szCs w:val="24"/>
        </w:rPr>
        <w:t>元认购本基金</w:t>
      </w:r>
      <w:r>
        <w:rPr>
          <w:rFonts w:ascii="宋体" w:hAnsi="宋体" w:hint="eastAsia"/>
          <w:kern w:val="0"/>
          <w:sz w:val="24"/>
          <w:szCs w:val="24"/>
        </w:rPr>
        <w:t>A</w:t>
      </w:r>
      <w:r>
        <w:rPr>
          <w:rFonts w:ascii="宋体" w:hAnsi="宋体" w:hint="eastAsia"/>
          <w:kern w:val="0"/>
          <w:sz w:val="24"/>
          <w:szCs w:val="24"/>
        </w:rPr>
        <w:t>类基金份额，在募集期结束时，假设这</w:t>
      </w:r>
      <w:r>
        <w:rPr>
          <w:rFonts w:ascii="宋体" w:hAnsi="宋体" w:hint="eastAsia"/>
          <w:kern w:val="0"/>
          <w:sz w:val="24"/>
          <w:szCs w:val="24"/>
        </w:rPr>
        <w:t>100,000</w:t>
      </w:r>
      <w:r>
        <w:rPr>
          <w:rFonts w:ascii="宋体" w:hAnsi="宋体" w:hint="eastAsia"/>
          <w:kern w:val="0"/>
          <w:sz w:val="24"/>
          <w:szCs w:val="24"/>
        </w:rPr>
        <w:t>元在募集期间产生的利息为</w:t>
      </w:r>
      <w:r>
        <w:rPr>
          <w:rFonts w:ascii="宋体" w:hAnsi="宋体" w:hint="eastAsia"/>
          <w:kern w:val="0"/>
          <w:sz w:val="24"/>
          <w:szCs w:val="24"/>
        </w:rPr>
        <w:t>29.50</w:t>
      </w:r>
      <w:r>
        <w:rPr>
          <w:rFonts w:ascii="宋体" w:hAnsi="宋体" w:hint="eastAsia"/>
          <w:kern w:val="0"/>
          <w:sz w:val="24"/>
          <w:szCs w:val="24"/>
        </w:rPr>
        <w:t>元，则投资人可得到</w:t>
      </w:r>
      <w:r>
        <w:rPr>
          <w:rFonts w:ascii="宋体" w:hAnsi="宋体" w:hint="eastAsia"/>
          <w:kern w:val="0"/>
          <w:sz w:val="24"/>
          <w:szCs w:val="24"/>
        </w:rPr>
        <w:t>99,039.40</w:t>
      </w:r>
      <w:r>
        <w:rPr>
          <w:rFonts w:ascii="宋体" w:hAnsi="宋体" w:hint="eastAsia"/>
          <w:kern w:val="0"/>
          <w:sz w:val="24"/>
          <w:szCs w:val="24"/>
        </w:rPr>
        <w:t>份</w:t>
      </w:r>
      <w:r>
        <w:rPr>
          <w:rFonts w:ascii="宋体" w:hAnsi="宋体" w:hint="eastAsia"/>
          <w:kern w:val="0"/>
          <w:sz w:val="24"/>
          <w:szCs w:val="24"/>
        </w:rPr>
        <w:t>A</w:t>
      </w:r>
      <w:r>
        <w:rPr>
          <w:rFonts w:ascii="宋体" w:hAnsi="宋体" w:hint="eastAsia"/>
          <w:kern w:val="0"/>
          <w:sz w:val="24"/>
          <w:szCs w:val="24"/>
        </w:rPr>
        <w:t>类基金份额。</w:t>
      </w:r>
    </w:p>
    <w:p w:rsidR="0081139D" w:rsidRDefault="00FA164F">
      <w:pPr>
        <w:spacing w:line="360" w:lineRule="auto"/>
        <w:ind w:firstLineChars="200" w:firstLine="480"/>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2</w:t>
      </w:r>
      <w:r>
        <w:rPr>
          <w:rFonts w:ascii="宋体" w:hAnsi="宋体" w:hint="eastAsia"/>
          <w:kern w:val="0"/>
          <w:sz w:val="24"/>
          <w:szCs w:val="24"/>
        </w:rPr>
        <w:t>）若投资者选择认购本基金</w:t>
      </w:r>
      <w:r>
        <w:rPr>
          <w:rFonts w:ascii="宋体" w:hAnsi="宋体" w:hint="eastAsia"/>
          <w:kern w:val="0"/>
          <w:sz w:val="24"/>
          <w:szCs w:val="24"/>
        </w:rPr>
        <w:t>C</w:t>
      </w:r>
      <w:r>
        <w:rPr>
          <w:rFonts w:ascii="宋体" w:hAnsi="宋体" w:hint="eastAsia"/>
          <w:kern w:val="0"/>
          <w:sz w:val="24"/>
          <w:szCs w:val="24"/>
        </w:rPr>
        <w:t>类基金份额，认购份额的计算公式如下：</w:t>
      </w:r>
    </w:p>
    <w:p w:rsidR="0081139D" w:rsidRDefault="00FA164F">
      <w:pPr>
        <w:spacing w:line="360" w:lineRule="auto"/>
        <w:ind w:firstLineChars="200" w:firstLine="480"/>
        <w:rPr>
          <w:rFonts w:ascii="宋体" w:hAnsi="宋体"/>
          <w:kern w:val="0"/>
          <w:sz w:val="24"/>
          <w:szCs w:val="24"/>
        </w:rPr>
      </w:pPr>
      <w:r>
        <w:rPr>
          <w:rFonts w:ascii="宋体" w:hAnsi="宋体" w:hint="eastAsia"/>
          <w:kern w:val="0"/>
          <w:sz w:val="24"/>
          <w:szCs w:val="24"/>
        </w:rPr>
        <w:t>认购份额</w:t>
      </w:r>
      <w:r>
        <w:rPr>
          <w:rFonts w:ascii="宋体" w:hAnsi="宋体" w:hint="eastAsia"/>
          <w:kern w:val="0"/>
          <w:sz w:val="24"/>
          <w:szCs w:val="24"/>
        </w:rPr>
        <w:t>=</w:t>
      </w:r>
      <w:r>
        <w:rPr>
          <w:rFonts w:ascii="宋体" w:hAnsi="宋体" w:hint="eastAsia"/>
          <w:kern w:val="0"/>
          <w:sz w:val="24"/>
          <w:szCs w:val="24"/>
        </w:rPr>
        <w:t>（认购金额</w:t>
      </w:r>
      <w:r>
        <w:rPr>
          <w:rFonts w:ascii="宋体" w:hAnsi="宋体" w:hint="eastAsia"/>
          <w:kern w:val="0"/>
          <w:sz w:val="24"/>
          <w:szCs w:val="24"/>
        </w:rPr>
        <w:t>+</w:t>
      </w:r>
      <w:r>
        <w:rPr>
          <w:rFonts w:ascii="宋体" w:hAnsi="宋体" w:hint="eastAsia"/>
          <w:kern w:val="0"/>
          <w:sz w:val="24"/>
          <w:szCs w:val="24"/>
        </w:rPr>
        <w:t>认购利息）</w:t>
      </w:r>
      <w:r>
        <w:rPr>
          <w:rFonts w:ascii="宋体" w:hAnsi="宋体" w:hint="eastAsia"/>
          <w:kern w:val="0"/>
          <w:sz w:val="24"/>
          <w:szCs w:val="24"/>
        </w:rPr>
        <w:t>/</w:t>
      </w:r>
      <w:r>
        <w:rPr>
          <w:rFonts w:ascii="宋体" w:hAnsi="宋体" w:hint="eastAsia"/>
          <w:kern w:val="0"/>
          <w:sz w:val="24"/>
          <w:szCs w:val="24"/>
        </w:rPr>
        <w:t>基金份额发售面值</w:t>
      </w:r>
    </w:p>
    <w:p w:rsidR="0081139D" w:rsidRDefault="00FA164F">
      <w:pPr>
        <w:spacing w:line="360" w:lineRule="auto"/>
        <w:ind w:firstLineChars="200" w:firstLine="480"/>
        <w:rPr>
          <w:rFonts w:ascii="宋体" w:hAnsi="宋体"/>
          <w:kern w:val="0"/>
          <w:sz w:val="24"/>
          <w:szCs w:val="24"/>
        </w:rPr>
      </w:pPr>
      <w:r>
        <w:rPr>
          <w:rFonts w:ascii="宋体" w:hAnsi="宋体" w:hint="eastAsia"/>
          <w:kern w:val="0"/>
          <w:sz w:val="24"/>
          <w:szCs w:val="24"/>
        </w:rPr>
        <w:t>例：某投资人在募集期内投资</w:t>
      </w:r>
      <w:r>
        <w:rPr>
          <w:rFonts w:ascii="宋体" w:hAnsi="宋体" w:hint="eastAsia"/>
          <w:kern w:val="0"/>
          <w:sz w:val="24"/>
          <w:szCs w:val="24"/>
        </w:rPr>
        <w:t>100,000</w:t>
      </w:r>
      <w:r>
        <w:rPr>
          <w:rFonts w:ascii="宋体" w:hAnsi="宋体" w:hint="eastAsia"/>
          <w:kern w:val="0"/>
          <w:sz w:val="24"/>
          <w:szCs w:val="24"/>
        </w:rPr>
        <w:t>元认购本基金</w:t>
      </w:r>
      <w:r>
        <w:rPr>
          <w:rFonts w:ascii="宋体" w:hAnsi="宋体" w:hint="eastAsia"/>
          <w:kern w:val="0"/>
          <w:sz w:val="24"/>
          <w:szCs w:val="24"/>
        </w:rPr>
        <w:t>C</w:t>
      </w:r>
      <w:r>
        <w:rPr>
          <w:rFonts w:ascii="宋体" w:hAnsi="宋体" w:hint="eastAsia"/>
          <w:kern w:val="0"/>
          <w:sz w:val="24"/>
          <w:szCs w:val="24"/>
        </w:rPr>
        <w:t>类基金份额，对应认购费率为</w:t>
      </w:r>
      <w:r>
        <w:rPr>
          <w:rFonts w:ascii="宋体" w:hAnsi="宋体" w:hint="eastAsia"/>
          <w:kern w:val="0"/>
          <w:sz w:val="24"/>
          <w:szCs w:val="24"/>
        </w:rPr>
        <w:t>0.00%</w:t>
      </w:r>
      <w:r>
        <w:rPr>
          <w:rFonts w:ascii="宋体" w:hAnsi="宋体" w:hint="eastAsia"/>
          <w:kern w:val="0"/>
          <w:sz w:val="24"/>
          <w:szCs w:val="24"/>
        </w:rPr>
        <w:t>，在募集期结束时，假设这</w:t>
      </w:r>
      <w:r>
        <w:rPr>
          <w:rFonts w:ascii="宋体" w:hAnsi="宋体" w:hint="eastAsia"/>
          <w:kern w:val="0"/>
          <w:sz w:val="24"/>
          <w:szCs w:val="24"/>
        </w:rPr>
        <w:t>100,000</w:t>
      </w:r>
      <w:r>
        <w:rPr>
          <w:rFonts w:ascii="宋体" w:hAnsi="宋体" w:hint="eastAsia"/>
          <w:kern w:val="0"/>
          <w:sz w:val="24"/>
          <w:szCs w:val="24"/>
        </w:rPr>
        <w:t>元在募集期间产生的利息为</w:t>
      </w:r>
      <w:r>
        <w:rPr>
          <w:rFonts w:ascii="宋体" w:hAnsi="宋体" w:hint="eastAsia"/>
          <w:kern w:val="0"/>
          <w:sz w:val="24"/>
          <w:szCs w:val="24"/>
        </w:rPr>
        <w:t>29.50</w:t>
      </w:r>
      <w:r>
        <w:rPr>
          <w:rFonts w:ascii="宋体" w:hAnsi="宋体" w:hint="eastAsia"/>
          <w:kern w:val="0"/>
          <w:sz w:val="24"/>
          <w:szCs w:val="24"/>
        </w:rPr>
        <w:t>元，则其可得到的</w:t>
      </w:r>
      <w:r>
        <w:rPr>
          <w:rFonts w:ascii="宋体" w:hAnsi="宋体" w:hint="eastAsia"/>
          <w:kern w:val="0"/>
          <w:sz w:val="24"/>
          <w:szCs w:val="24"/>
        </w:rPr>
        <w:t>C</w:t>
      </w:r>
      <w:r>
        <w:rPr>
          <w:rFonts w:ascii="宋体" w:hAnsi="宋体" w:hint="eastAsia"/>
          <w:kern w:val="0"/>
          <w:sz w:val="24"/>
          <w:szCs w:val="24"/>
        </w:rPr>
        <w:t>类基金份额数计算</w:t>
      </w:r>
      <w:r>
        <w:rPr>
          <w:rFonts w:ascii="宋体" w:hAnsi="宋体" w:hint="eastAsia"/>
          <w:kern w:val="0"/>
          <w:sz w:val="24"/>
          <w:szCs w:val="24"/>
        </w:rPr>
        <w:t>如下：</w:t>
      </w:r>
    </w:p>
    <w:p w:rsidR="0081139D" w:rsidRDefault="00FA164F">
      <w:pPr>
        <w:spacing w:line="360" w:lineRule="auto"/>
        <w:ind w:firstLineChars="200" w:firstLine="480"/>
        <w:rPr>
          <w:rFonts w:ascii="宋体" w:hAnsi="宋体"/>
          <w:kern w:val="0"/>
          <w:sz w:val="24"/>
          <w:szCs w:val="24"/>
        </w:rPr>
      </w:pPr>
      <w:r>
        <w:rPr>
          <w:rFonts w:ascii="宋体" w:hAnsi="宋体" w:hint="eastAsia"/>
          <w:kern w:val="0"/>
          <w:sz w:val="24"/>
          <w:szCs w:val="24"/>
        </w:rPr>
        <w:t>认购份额＝（</w:t>
      </w:r>
      <w:r>
        <w:rPr>
          <w:rFonts w:ascii="宋体" w:hAnsi="宋体" w:hint="eastAsia"/>
          <w:kern w:val="0"/>
          <w:sz w:val="24"/>
          <w:szCs w:val="24"/>
        </w:rPr>
        <w:t>100,000+29.50</w:t>
      </w:r>
      <w:r>
        <w:rPr>
          <w:rFonts w:ascii="宋体" w:hAnsi="宋体" w:hint="eastAsia"/>
          <w:kern w:val="0"/>
          <w:sz w:val="24"/>
          <w:szCs w:val="24"/>
        </w:rPr>
        <w:t>）</w:t>
      </w:r>
      <w:r>
        <w:rPr>
          <w:rFonts w:ascii="宋体" w:hAnsi="宋体" w:hint="eastAsia"/>
          <w:kern w:val="0"/>
          <w:sz w:val="24"/>
          <w:szCs w:val="24"/>
        </w:rPr>
        <w:t>/1.00=100,029.50</w:t>
      </w:r>
      <w:r>
        <w:rPr>
          <w:rFonts w:ascii="宋体" w:hAnsi="宋体" w:hint="eastAsia"/>
          <w:kern w:val="0"/>
          <w:sz w:val="24"/>
          <w:szCs w:val="24"/>
        </w:rPr>
        <w:t>份</w:t>
      </w:r>
    </w:p>
    <w:p w:rsidR="0081139D" w:rsidRDefault="00FA164F">
      <w:pPr>
        <w:spacing w:line="360" w:lineRule="auto"/>
        <w:ind w:firstLineChars="200" w:firstLine="480"/>
        <w:rPr>
          <w:rFonts w:ascii="宋体" w:hAnsi="宋体"/>
          <w:kern w:val="0"/>
          <w:sz w:val="24"/>
          <w:szCs w:val="24"/>
        </w:rPr>
      </w:pPr>
      <w:r>
        <w:rPr>
          <w:rFonts w:ascii="宋体" w:hAnsi="宋体" w:hint="eastAsia"/>
          <w:kern w:val="0"/>
          <w:sz w:val="24"/>
          <w:szCs w:val="24"/>
        </w:rPr>
        <w:t>即：投资人投资</w:t>
      </w:r>
      <w:r>
        <w:rPr>
          <w:rFonts w:ascii="宋体" w:hAnsi="宋体" w:hint="eastAsia"/>
          <w:kern w:val="0"/>
          <w:sz w:val="24"/>
          <w:szCs w:val="24"/>
        </w:rPr>
        <w:t>100,000</w:t>
      </w:r>
      <w:r>
        <w:rPr>
          <w:rFonts w:ascii="宋体" w:hAnsi="宋体" w:hint="eastAsia"/>
          <w:kern w:val="0"/>
          <w:sz w:val="24"/>
          <w:szCs w:val="24"/>
        </w:rPr>
        <w:t>元认购本基金</w:t>
      </w:r>
      <w:r>
        <w:rPr>
          <w:rFonts w:ascii="宋体" w:hAnsi="宋体" w:hint="eastAsia"/>
          <w:kern w:val="0"/>
          <w:sz w:val="24"/>
          <w:szCs w:val="24"/>
        </w:rPr>
        <w:t>C</w:t>
      </w:r>
      <w:r>
        <w:rPr>
          <w:rFonts w:ascii="宋体" w:hAnsi="宋体" w:hint="eastAsia"/>
          <w:kern w:val="0"/>
          <w:sz w:val="24"/>
          <w:szCs w:val="24"/>
        </w:rPr>
        <w:t>类基金份额，在募集期结束时，假设这</w:t>
      </w:r>
      <w:r>
        <w:rPr>
          <w:rFonts w:ascii="宋体" w:hAnsi="宋体" w:hint="eastAsia"/>
          <w:kern w:val="0"/>
          <w:sz w:val="24"/>
          <w:szCs w:val="24"/>
        </w:rPr>
        <w:t>100,000</w:t>
      </w:r>
      <w:r>
        <w:rPr>
          <w:rFonts w:ascii="宋体" w:hAnsi="宋体" w:hint="eastAsia"/>
          <w:kern w:val="0"/>
          <w:sz w:val="24"/>
          <w:szCs w:val="24"/>
        </w:rPr>
        <w:t>元在募集期间产生的利息为</w:t>
      </w:r>
      <w:r>
        <w:rPr>
          <w:rFonts w:ascii="宋体" w:hAnsi="宋体" w:hint="eastAsia"/>
          <w:kern w:val="0"/>
          <w:sz w:val="24"/>
          <w:szCs w:val="24"/>
        </w:rPr>
        <w:t>29.50</w:t>
      </w:r>
      <w:r>
        <w:rPr>
          <w:rFonts w:ascii="宋体" w:hAnsi="宋体" w:hint="eastAsia"/>
          <w:kern w:val="0"/>
          <w:sz w:val="24"/>
          <w:szCs w:val="24"/>
        </w:rPr>
        <w:t>元，则投资人可得到</w:t>
      </w:r>
      <w:r>
        <w:rPr>
          <w:rFonts w:ascii="宋体" w:hAnsi="宋体" w:hint="eastAsia"/>
          <w:kern w:val="0"/>
          <w:sz w:val="24"/>
          <w:szCs w:val="24"/>
        </w:rPr>
        <w:t>100,029.50</w:t>
      </w:r>
      <w:r>
        <w:rPr>
          <w:rFonts w:ascii="宋体" w:hAnsi="宋体" w:hint="eastAsia"/>
          <w:kern w:val="0"/>
          <w:sz w:val="24"/>
          <w:szCs w:val="24"/>
        </w:rPr>
        <w:t>份</w:t>
      </w:r>
      <w:r>
        <w:rPr>
          <w:rFonts w:ascii="宋体" w:hAnsi="宋体" w:hint="eastAsia"/>
          <w:kern w:val="0"/>
          <w:sz w:val="24"/>
          <w:szCs w:val="24"/>
        </w:rPr>
        <w:t>C</w:t>
      </w:r>
      <w:r>
        <w:rPr>
          <w:rFonts w:ascii="宋体" w:hAnsi="宋体" w:hint="eastAsia"/>
          <w:kern w:val="0"/>
          <w:sz w:val="24"/>
          <w:szCs w:val="24"/>
        </w:rPr>
        <w:t>类基金份额。</w:t>
      </w:r>
    </w:p>
    <w:bookmarkEnd w:id="31"/>
    <w:p w:rsidR="0081139D" w:rsidRDefault="00FA164F">
      <w:pPr>
        <w:numPr>
          <w:ilvl w:val="0"/>
          <w:numId w:val="2"/>
        </w:numPr>
        <w:spacing w:line="360" w:lineRule="auto"/>
        <w:ind w:firstLineChars="200" w:firstLine="562"/>
        <w:rPr>
          <w:rFonts w:ascii="宋体" w:hAnsi="宋体"/>
          <w:b/>
          <w:bCs/>
          <w:sz w:val="28"/>
        </w:rPr>
      </w:pPr>
      <w:r>
        <w:rPr>
          <w:rFonts w:ascii="宋体" w:hAnsi="宋体" w:hint="eastAsia"/>
          <w:b/>
          <w:bCs/>
          <w:sz w:val="28"/>
        </w:rPr>
        <w:t>投资人对基金份额的认购</w:t>
      </w:r>
    </w:p>
    <w:p w:rsidR="0081139D" w:rsidRDefault="00FA164F">
      <w:pPr>
        <w:spacing w:line="360" w:lineRule="auto"/>
        <w:ind w:firstLineChars="200" w:firstLine="480"/>
        <w:rPr>
          <w:kern w:val="0"/>
          <w:sz w:val="24"/>
        </w:rPr>
      </w:pPr>
      <w:r>
        <w:rPr>
          <w:kern w:val="0"/>
          <w:sz w:val="24"/>
        </w:rPr>
        <w:t>1</w:t>
      </w:r>
      <w:r>
        <w:rPr>
          <w:kern w:val="0"/>
          <w:sz w:val="24"/>
        </w:rPr>
        <w:t>、认购时间安排</w:t>
      </w:r>
    </w:p>
    <w:p w:rsidR="0081139D" w:rsidRDefault="00FA164F">
      <w:pPr>
        <w:spacing w:line="360" w:lineRule="auto"/>
        <w:ind w:firstLineChars="200" w:firstLine="480"/>
        <w:rPr>
          <w:kern w:val="0"/>
          <w:sz w:val="24"/>
        </w:rPr>
      </w:pPr>
      <w:r>
        <w:rPr>
          <w:kern w:val="0"/>
          <w:sz w:val="24"/>
        </w:rPr>
        <w:t>投资人认购本基金的具体业务办理时间</w:t>
      </w:r>
      <w:r>
        <w:rPr>
          <w:rFonts w:hint="eastAsia"/>
          <w:kern w:val="0"/>
          <w:sz w:val="24"/>
        </w:rPr>
        <w:t>由基金管理人和基金销售机构确定，请参见本公告及各销售机构发布的相关公告</w:t>
      </w:r>
      <w:r>
        <w:rPr>
          <w:kern w:val="0"/>
          <w:sz w:val="24"/>
        </w:rPr>
        <w:t>。</w:t>
      </w:r>
    </w:p>
    <w:p w:rsidR="0081139D" w:rsidRDefault="00FA164F">
      <w:pPr>
        <w:spacing w:line="360" w:lineRule="auto"/>
        <w:ind w:firstLineChars="200" w:firstLine="480"/>
        <w:rPr>
          <w:kern w:val="0"/>
          <w:sz w:val="24"/>
        </w:rPr>
      </w:pPr>
      <w:r>
        <w:rPr>
          <w:kern w:val="0"/>
          <w:sz w:val="24"/>
        </w:rPr>
        <w:t>2</w:t>
      </w:r>
      <w:r>
        <w:rPr>
          <w:kern w:val="0"/>
          <w:sz w:val="24"/>
        </w:rPr>
        <w:t>、投资人认购本基金应提交的文件和办理的手续</w:t>
      </w:r>
    </w:p>
    <w:p w:rsidR="0081139D" w:rsidRDefault="00FA164F">
      <w:pPr>
        <w:spacing w:line="360" w:lineRule="auto"/>
        <w:ind w:firstLineChars="200" w:firstLine="480"/>
        <w:rPr>
          <w:kern w:val="0"/>
          <w:sz w:val="24"/>
        </w:rPr>
      </w:pPr>
      <w:r>
        <w:rPr>
          <w:rFonts w:hint="eastAsia"/>
          <w:kern w:val="0"/>
          <w:sz w:val="24"/>
        </w:rPr>
        <w:t>投资人通过基金管理人认购本基金份额应提交的文件和办理</w:t>
      </w:r>
      <w:r>
        <w:rPr>
          <w:rFonts w:hint="eastAsia"/>
          <w:kern w:val="0"/>
          <w:sz w:val="24"/>
        </w:rPr>
        <w:t>的手续，请参见本公告第三</w:t>
      </w:r>
      <w:r>
        <w:rPr>
          <w:rFonts w:hint="eastAsia"/>
          <w:kern w:val="0"/>
          <w:sz w:val="24"/>
        </w:rPr>
        <w:t>、四</w:t>
      </w:r>
      <w:r>
        <w:rPr>
          <w:rFonts w:hint="eastAsia"/>
          <w:kern w:val="0"/>
          <w:sz w:val="24"/>
        </w:rPr>
        <w:t>部分。投资人通过其他销售机构认购本基金份额应提交的文件和办理的手续以各销售机构的规定为准。</w:t>
      </w:r>
    </w:p>
    <w:p w:rsidR="0081139D" w:rsidRDefault="00FA164F">
      <w:pPr>
        <w:spacing w:line="360" w:lineRule="auto"/>
        <w:ind w:firstLineChars="200" w:firstLine="480"/>
        <w:rPr>
          <w:kern w:val="0"/>
          <w:sz w:val="24"/>
        </w:rPr>
      </w:pPr>
      <w:bookmarkStart w:id="34" w:name="_Hlk98928036"/>
      <w:r>
        <w:rPr>
          <w:kern w:val="0"/>
          <w:sz w:val="24"/>
        </w:rPr>
        <w:t>3</w:t>
      </w:r>
      <w:r>
        <w:rPr>
          <w:kern w:val="0"/>
          <w:sz w:val="24"/>
        </w:rPr>
        <w:t>、认购的方式及确认</w:t>
      </w:r>
    </w:p>
    <w:p w:rsidR="0081139D" w:rsidRDefault="00FA164F">
      <w:pPr>
        <w:spacing w:line="360" w:lineRule="auto"/>
        <w:ind w:firstLineChars="200" w:firstLine="480"/>
        <w:rPr>
          <w:kern w:val="0"/>
          <w:sz w:val="24"/>
        </w:rPr>
      </w:pPr>
      <w:r>
        <w:rPr>
          <w:rFonts w:hint="eastAsia"/>
          <w:kern w:val="0"/>
          <w:sz w:val="24"/>
        </w:rPr>
        <w:t>投资人认购时，需按销售机构规定的方式全额缴款。若认购资金未全额到账则认购不成立，基金管理人将认购不成立或无效的款项退回。</w:t>
      </w:r>
    </w:p>
    <w:p w:rsidR="0081139D" w:rsidRDefault="00FA164F">
      <w:pPr>
        <w:spacing w:line="360" w:lineRule="auto"/>
        <w:ind w:firstLineChars="200" w:firstLine="480"/>
        <w:rPr>
          <w:kern w:val="0"/>
          <w:sz w:val="24"/>
        </w:rPr>
      </w:pPr>
      <w:r>
        <w:rPr>
          <w:rFonts w:hint="eastAsia"/>
          <w:kern w:val="0"/>
          <w:sz w:val="24"/>
        </w:rPr>
        <w:t>投资人在募集期内可以多次认购基金份额，</w:t>
      </w:r>
      <w:r>
        <w:rPr>
          <w:rFonts w:hint="eastAsia"/>
          <w:kern w:val="0"/>
          <w:sz w:val="24"/>
        </w:rPr>
        <w:t>A</w:t>
      </w:r>
      <w:r>
        <w:rPr>
          <w:rFonts w:hint="eastAsia"/>
          <w:kern w:val="0"/>
          <w:sz w:val="24"/>
        </w:rPr>
        <w:t>类基金份额的认购费按每笔</w:t>
      </w:r>
      <w:r>
        <w:rPr>
          <w:rFonts w:hint="eastAsia"/>
          <w:kern w:val="0"/>
          <w:sz w:val="24"/>
        </w:rPr>
        <w:t>A</w:t>
      </w:r>
      <w:r>
        <w:rPr>
          <w:rFonts w:hint="eastAsia"/>
          <w:kern w:val="0"/>
          <w:sz w:val="24"/>
        </w:rPr>
        <w:t>类基金份额认购申请单独计算。认购一经受理不得撤销。</w:t>
      </w:r>
    </w:p>
    <w:p w:rsidR="0081139D" w:rsidRDefault="00FA164F">
      <w:pPr>
        <w:spacing w:line="360" w:lineRule="auto"/>
        <w:ind w:firstLineChars="200" w:firstLine="480"/>
        <w:rPr>
          <w:kern w:val="0"/>
          <w:sz w:val="24"/>
        </w:rPr>
      </w:pPr>
      <w:r>
        <w:rPr>
          <w:rFonts w:hint="eastAsia"/>
          <w:kern w:val="0"/>
          <w:sz w:val="24"/>
        </w:rPr>
        <w:t>投资人在</w:t>
      </w:r>
      <w:r>
        <w:rPr>
          <w:rFonts w:hint="eastAsia"/>
          <w:kern w:val="0"/>
          <w:sz w:val="24"/>
        </w:rPr>
        <w:t>T</w:t>
      </w:r>
      <w:r>
        <w:rPr>
          <w:rFonts w:hint="eastAsia"/>
          <w:kern w:val="0"/>
          <w:sz w:val="24"/>
        </w:rPr>
        <w:t>日规定时间内提交的认购申请，应于</w:t>
      </w:r>
      <w:r>
        <w:rPr>
          <w:rFonts w:hint="eastAsia"/>
          <w:kern w:val="0"/>
          <w:sz w:val="24"/>
        </w:rPr>
        <w:t>T+2</w:t>
      </w:r>
      <w:r>
        <w:rPr>
          <w:rFonts w:hint="eastAsia"/>
          <w:kern w:val="0"/>
          <w:sz w:val="24"/>
        </w:rPr>
        <w:t>日（包括该日）后及时在原申请网点或通过销售机构提供的其他方式查询认购申请是否被成功受理。</w:t>
      </w:r>
    </w:p>
    <w:p w:rsidR="0081139D" w:rsidRDefault="00FA164F">
      <w:pPr>
        <w:spacing w:line="360" w:lineRule="auto"/>
        <w:ind w:firstLineChars="200" w:firstLine="480"/>
        <w:rPr>
          <w:kern w:val="0"/>
          <w:sz w:val="24"/>
        </w:rPr>
      </w:pPr>
      <w:r>
        <w:rPr>
          <w:rFonts w:hint="eastAsia"/>
          <w:kern w:val="0"/>
          <w:sz w:val="24"/>
        </w:rPr>
        <w:t>基金销售机构对认购申请的受理并不代表</w:t>
      </w:r>
      <w:r>
        <w:rPr>
          <w:rFonts w:hint="eastAsia"/>
          <w:kern w:val="0"/>
          <w:sz w:val="24"/>
        </w:rPr>
        <w:t>该</w:t>
      </w:r>
      <w:r>
        <w:rPr>
          <w:rFonts w:hint="eastAsia"/>
          <w:kern w:val="0"/>
          <w:sz w:val="24"/>
        </w:rPr>
        <w:t>申请一定成功，而仅代表销售机构</w:t>
      </w:r>
      <w:r>
        <w:rPr>
          <w:rFonts w:hint="eastAsia"/>
          <w:kern w:val="0"/>
          <w:sz w:val="24"/>
        </w:rPr>
        <w:t>已</w:t>
      </w:r>
      <w:r>
        <w:rPr>
          <w:rFonts w:hint="eastAsia"/>
          <w:kern w:val="0"/>
          <w:sz w:val="24"/>
        </w:rPr>
        <w:t>接收到认购申请。认购的确认以登记机构的确认结果为准。对于认购申请及认购份额的确认情况，投资人应及时查询并妥善行使合法权利，否则，由此产生的投资人任何损失由投资人自行承担。</w:t>
      </w:r>
    </w:p>
    <w:p w:rsidR="0081139D" w:rsidRDefault="00FA164F">
      <w:pPr>
        <w:spacing w:line="360" w:lineRule="auto"/>
        <w:ind w:firstLineChars="200" w:firstLine="480"/>
        <w:rPr>
          <w:kern w:val="0"/>
          <w:sz w:val="24"/>
        </w:rPr>
      </w:pPr>
      <w:r>
        <w:rPr>
          <w:rFonts w:hint="eastAsia"/>
          <w:kern w:val="0"/>
          <w:sz w:val="24"/>
        </w:rPr>
        <w:t>投资人应于基金合同生效后及时在原申请网点或通过销售机构提供的其他方式查询认购确认份额。</w:t>
      </w:r>
    </w:p>
    <w:p w:rsidR="0081139D" w:rsidRDefault="00FA164F">
      <w:pPr>
        <w:spacing w:line="360" w:lineRule="auto"/>
        <w:ind w:firstLineChars="200" w:firstLine="480"/>
        <w:rPr>
          <w:kern w:val="0"/>
          <w:sz w:val="24"/>
        </w:rPr>
      </w:pPr>
      <w:r>
        <w:rPr>
          <w:kern w:val="0"/>
          <w:sz w:val="24"/>
        </w:rPr>
        <w:t>4</w:t>
      </w:r>
      <w:r>
        <w:rPr>
          <w:kern w:val="0"/>
          <w:sz w:val="24"/>
        </w:rPr>
        <w:t>、认购的限额</w:t>
      </w:r>
    </w:p>
    <w:p w:rsidR="0081139D" w:rsidRDefault="00FA164F">
      <w:pPr>
        <w:adjustRightInd w:val="0"/>
        <w:snapToGrid w:val="0"/>
        <w:spacing w:line="360" w:lineRule="auto"/>
        <w:ind w:firstLineChars="200" w:firstLine="480"/>
        <w:rPr>
          <w:rFonts w:ascii="宋体" w:hAnsi="宋体"/>
          <w:sz w:val="24"/>
          <w:szCs w:val="24"/>
        </w:rPr>
      </w:pPr>
      <w:r>
        <w:rPr>
          <w:rFonts w:ascii="宋体" w:hAnsi="宋体" w:hint="eastAsia"/>
          <w:sz w:val="24"/>
          <w:szCs w:val="24"/>
        </w:rPr>
        <w:t>投资人通过销售机构认购本基金</w:t>
      </w:r>
      <w:r>
        <w:rPr>
          <w:rFonts w:ascii="宋体" w:hAnsi="宋体" w:hint="eastAsia"/>
          <w:sz w:val="24"/>
          <w:szCs w:val="24"/>
        </w:rPr>
        <w:t>基金份额单笔最低金额为人民币</w:t>
      </w:r>
      <w:r>
        <w:rPr>
          <w:rFonts w:ascii="宋体" w:hAnsi="宋体" w:hint="eastAsia"/>
          <w:sz w:val="24"/>
          <w:szCs w:val="24"/>
        </w:rPr>
        <w:t>10</w:t>
      </w:r>
      <w:r>
        <w:rPr>
          <w:rFonts w:ascii="宋体" w:hAnsi="宋体" w:hint="eastAsia"/>
          <w:sz w:val="24"/>
          <w:szCs w:val="24"/>
        </w:rPr>
        <w:t>元（含认购费），追加认购单笔最低金额为</w:t>
      </w:r>
      <w:r>
        <w:rPr>
          <w:rFonts w:ascii="宋体" w:hAnsi="宋体" w:hint="eastAsia"/>
          <w:sz w:val="24"/>
          <w:szCs w:val="24"/>
        </w:rPr>
        <w:t>1</w:t>
      </w:r>
      <w:r>
        <w:rPr>
          <w:rFonts w:ascii="宋体" w:hAnsi="宋体" w:hint="eastAsia"/>
          <w:sz w:val="24"/>
          <w:szCs w:val="24"/>
        </w:rPr>
        <w:t>元；通过基金管理人的直销柜台首次认购本基金基金份额的最低金额为人民币</w:t>
      </w:r>
      <w:r>
        <w:rPr>
          <w:rFonts w:ascii="宋体" w:hAnsi="宋体" w:hint="eastAsia"/>
          <w:sz w:val="24"/>
          <w:szCs w:val="24"/>
        </w:rPr>
        <w:t>1</w:t>
      </w:r>
      <w:r>
        <w:rPr>
          <w:rFonts w:ascii="宋体" w:hAnsi="宋体" w:hint="eastAsia"/>
          <w:sz w:val="24"/>
          <w:szCs w:val="24"/>
        </w:rPr>
        <w:t>,000</w:t>
      </w:r>
      <w:r>
        <w:rPr>
          <w:rFonts w:ascii="宋体" w:hAnsi="宋体" w:hint="eastAsia"/>
          <w:sz w:val="24"/>
          <w:szCs w:val="24"/>
        </w:rPr>
        <w:t>元（含认购费），追加认购单笔最低金额为</w:t>
      </w:r>
      <w:r>
        <w:rPr>
          <w:rFonts w:ascii="宋体" w:hAnsi="宋体" w:hint="eastAsia"/>
          <w:sz w:val="24"/>
          <w:szCs w:val="24"/>
        </w:rPr>
        <w:t>1,000</w:t>
      </w:r>
      <w:r>
        <w:rPr>
          <w:rFonts w:ascii="宋体" w:hAnsi="宋体" w:hint="eastAsia"/>
          <w:sz w:val="24"/>
          <w:szCs w:val="24"/>
        </w:rPr>
        <w:t>元，不设级差限制</w:t>
      </w:r>
      <w:r>
        <w:rPr>
          <w:rFonts w:ascii="宋体" w:hAnsi="宋体" w:hint="eastAsia"/>
          <w:sz w:val="24"/>
          <w:szCs w:val="24"/>
        </w:rPr>
        <w:t>；</w:t>
      </w:r>
      <w:r>
        <w:rPr>
          <w:rFonts w:hint="eastAsia"/>
          <w:sz w:val="24"/>
        </w:rPr>
        <w:t>通过基金管理人的</w:t>
      </w:r>
      <w:r>
        <w:rPr>
          <w:rFonts w:hint="eastAsia"/>
          <w:sz w:val="24"/>
        </w:rPr>
        <w:t>网上交易系统</w:t>
      </w:r>
      <w:r>
        <w:rPr>
          <w:rFonts w:hint="eastAsia"/>
          <w:sz w:val="24"/>
        </w:rPr>
        <w:t>首次</w:t>
      </w:r>
      <w:r>
        <w:rPr>
          <w:rFonts w:hint="eastAsia"/>
          <w:sz w:val="24"/>
        </w:rPr>
        <w:t>认</w:t>
      </w:r>
      <w:r>
        <w:rPr>
          <w:rFonts w:hint="eastAsia"/>
          <w:sz w:val="24"/>
        </w:rPr>
        <w:t>购本基金基金份额的最低金额为人民币</w:t>
      </w:r>
      <w:r>
        <w:rPr>
          <w:rFonts w:hint="eastAsia"/>
          <w:sz w:val="24"/>
        </w:rPr>
        <w:t>10</w:t>
      </w:r>
      <w:r>
        <w:rPr>
          <w:rFonts w:hint="eastAsia"/>
          <w:sz w:val="24"/>
        </w:rPr>
        <w:t>元（含</w:t>
      </w:r>
      <w:r>
        <w:rPr>
          <w:rFonts w:hint="eastAsia"/>
          <w:sz w:val="24"/>
        </w:rPr>
        <w:t>认</w:t>
      </w:r>
      <w:r>
        <w:rPr>
          <w:rFonts w:hint="eastAsia"/>
          <w:sz w:val="24"/>
        </w:rPr>
        <w:t>购费），追加</w:t>
      </w:r>
      <w:r>
        <w:rPr>
          <w:rFonts w:hint="eastAsia"/>
          <w:sz w:val="24"/>
        </w:rPr>
        <w:t>认</w:t>
      </w:r>
      <w:r>
        <w:rPr>
          <w:rFonts w:hint="eastAsia"/>
          <w:sz w:val="24"/>
        </w:rPr>
        <w:t>购单笔最低金额为</w:t>
      </w:r>
      <w:r>
        <w:rPr>
          <w:rFonts w:hint="eastAsia"/>
          <w:sz w:val="24"/>
        </w:rPr>
        <w:t>1</w:t>
      </w:r>
      <w:r>
        <w:rPr>
          <w:rFonts w:hint="eastAsia"/>
          <w:sz w:val="24"/>
        </w:rPr>
        <w:t>元</w:t>
      </w:r>
      <w:r>
        <w:rPr>
          <w:kern w:val="0"/>
          <w:sz w:val="24"/>
        </w:rPr>
        <w:t>，不设级差限制</w:t>
      </w:r>
      <w:r>
        <w:rPr>
          <w:rFonts w:hint="eastAsia"/>
          <w:sz w:val="24"/>
        </w:rPr>
        <w:t>。</w:t>
      </w:r>
      <w:r>
        <w:rPr>
          <w:rFonts w:ascii="宋体" w:hAnsi="宋体" w:hint="eastAsia"/>
          <w:sz w:val="24"/>
          <w:szCs w:val="24"/>
        </w:rPr>
        <w:t>各销售机构对最低认购金额及交易级差有其他规定的，以各销售机构的业务规定为准，投资人需遵循销售机构的相关规定。基金管理人可根据市场情况，调整认购金额的数量限制并提前公告。</w:t>
      </w:r>
    </w:p>
    <w:p w:rsidR="0081139D" w:rsidRDefault="00FA164F">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基金管理人可以对募集期间的单个投资人的累计认购金额进行限制，具体限制和处理方法请参见相关公告。本基金募集期间单个基金份额持有人最高累计认购的基金份额不得超过基金总份额的</w:t>
      </w:r>
      <w:r>
        <w:rPr>
          <w:rFonts w:ascii="宋体" w:hAnsi="宋体" w:hint="eastAsia"/>
          <w:sz w:val="24"/>
          <w:szCs w:val="24"/>
        </w:rPr>
        <w:t>50%</w:t>
      </w:r>
      <w:r>
        <w:rPr>
          <w:rFonts w:ascii="宋体" w:hAnsi="宋体" w:hint="eastAsia"/>
          <w:sz w:val="24"/>
          <w:szCs w:val="24"/>
        </w:rPr>
        <w:t>。如本基金单个投资人累计认购的基金份额数超过基金总份额的</w:t>
      </w:r>
      <w:r>
        <w:rPr>
          <w:rFonts w:ascii="宋体" w:hAnsi="宋体" w:hint="eastAsia"/>
          <w:sz w:val="24"/>
          <w:szCs w:val="24"/>
        </w:rPr>
        <w:t>50%</w:t>
      </w:r>
      <w:r>
        <w:rPr>
          <w:rFonts w:ascii="宋体" w:hAnsi="宋体" w:hint="eastAsia"/>
          <w:sz w:val="24"/>
          <w:szCs w:val="24"/>
        </w:rPr>
        <w:t>，基金管理人可以采取比例确认等方式对该投资人的认购申请进行限制。基金管理人接受某笔或者某些认购申请有可能导</w:t>
      </w:r>
      <w:r>
        <w:rPr>
          <w:rFonts w:ascii="宋体" w:hAnsi="宋体" w:hint="eastAsia"/>
          <w:sz w:val="24"/>
          <w:szCs w:val="24"/>
        </w:rPr>
        <w:t>致投资者变相规避前述</w:t>
      </w:r>
      <w:r>
        <w:rPr>
          <w:rFonts w:ascii="宋体" w:hAnsi="宋体" w:hint="eastAsia"/>
          <w:sz w:val="24"/>
          <w:szCs w:val="24"/>
        </w:rPr>
        <w:t>50%</w:t>
      </w:r>
      <w:r>
        <w:rPr>
          <w:rFonts w:ascii="宋体" w:hAnsi="宋体" w:hint="eastAsia"/>
          <w:sz w:val="24"/>
          <w:szCs w:val="24"/>
        </w:rPr>
        <w:t>比例要求的，基金管理人有权拒绝该等全部或者部分认购申请。投资人认购的基金份额数以基金合同生效后登记机构的确认为准。基金管理人、基金管理人高级管理人员或基金经理等人员出资认购的基金份额不受上述比例限制。</w:t>
      </w:r>
    </w:p>
    <w:p w:rsidR="0081139D" w:rsidRDefault="00FA164F">
      <w:pPr>
        <w:numPr>
          <w:ilvl w:val="0"/>
          <w:numId w:val="2"/>
        </w:numPr>
        <w:spacing w:line="360" w:lineRule="auto"/>
        <w:ind w:firstLineChars="200" w:firstLine="562"/>
        <w:rPr>
          <w:rFonts w:ascii="宋体" w:hAnsi="宋体"/>
          <w:b/>
          <w:bCs/>
          <w:sz w:val="28"/>
        </w:rPr>
      </w:pPr>
      <w:bookmarkStart w:id="35" w:name="_Hlk98928092"/>
      <w:bookmarkEnd w:id="34"/>
      <w:r>
        <w:rPr>
          <w:rFonts w:ascii="宋体" w:hAnsi="宋体" w:hint="eastAsia"/>
          <w:b/>
          <w:bCs/>
          <w:sz w:val="28"/>
        </w:rPr>
        <w:t>募集期销售规模限制方案</w:t>
      </w:r>
    </w:p>
    <w:p w:rsidR="0081139D" w:rsidRDefault="00FA164F">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本基金在首次募集期内设置募集规模上限，发生超过募集规模上限的情况基金管理人将采用末日比例确认的方式实现募集规模的有效控制。</w:t>
      </w:r>
    </w:p>
    <w:p w:rsidR="0081139D" w:rsidRDefault="00FA164F">
      <w:pPr>
        <w:adjustRightInd w:val="0"/>
        <w:snapToGrid w:val="0"/>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、募集期内，若本基金</w:t>
      </w:r>
      <w:r>
        <w:rPr>
          <w:rFonts w:ascii="宋体" w:hAnsi="宋体" w:hint="eastAsia"/>
          <w:sz w:val="24"/>
          <w:szCs w:val="24"/>
        </w:rPr>
        <w:t>A</w:t>
      </w:r>
      <w:r>
        <w:rPr>
          <w:rFonts w:ascii="宋体" w:hAnsi="宋体" w:hint="eastAsia"/>
          <w:sz w:val="24"/>
          <w:szCs w:val="24"/>
        </w:rPr>
        <w:t>类份额和</w:t>
      </w:r>
      <w:r>
        <w:rPr>
          <w:rFonts w:ascii="宋体" w:hAnsi="宋体" w:hint="eastAsia"/>
          <w:sz w:val="24"/>
          <w:szCs w:val="24"/>
        </w:rPr>
        <w:t>C</w:t>
      </w:r>
      <w:r>
        <w:rPr>
          <w:rFonts w:ascii="宋体" w:hAnsi="宋体" w:hint="eastAsia"/>
          <w:sz w:val="24"/>
          <w:szCs w:val="24"/>
        </w:rPr>
        <w:t>类份额的有效认购总金额未超过</w:t>
      </w:r>
      <w:r>
        <w:rPr>
          <w:rFonts w:ascii="宋体" w:hAnsi="宋体" w:hint="eastAsia"/>
          <w:sz w:val="24"/>
          <w:szCs w:val="24"/>
        </w:rPr>
        <w:t>10</w:t>
      </w:r>
      <w:r>
        <w:rPr>
          <w:rFonts w:ascii="宋体" w:hAnsi="宋体" w:hint="eastAsia"/>
          <w:sz w:val="24"/>
          <w:szCs w:val="24"/>
        </w:rPr>
        <w:t>亿</w:t>
      </w:r>
      <w:r>
        <w:rPr>
          <w:rFonts w:ascii="宋体" w:hAnsi="宋体" w:hint="eastAsia"/>
          <w:sz w:val="24"/>
          <w:szCs w:val="24"/>
        </w:rPr>
        <w:t>元（含</w:t>
      </w:r>
      <w:r>
        <w:rPr>
          <w:rFonts w:ascii="宋体" w:hAnsi="宋体" w:hint="eastAsia"/>
          <w:sz w:val="24"/>
          <w:szCs w:val="24"/>
        </w:rPr>
        <w:t>10</w:t>
      </w:r>
      <w:r>
        <w:rPr>
          <w:rFonts w:ascii="宋体" w:hAnsi="宋体" w:hint="eastAsia"/>
          <w:sz w:val="24"/>
          <w:szCs w:val="24"/>
        </w:rPr>
        <w:t>亿</w:t>
      </w:r>
      <w:r>
        <w:rPr>
          <w:rFonts w:ascii="宋体" w:hAnsi="宋体" w:hint="eastAsia"/>
          <w:sz w:val="24"/>
          <w:szCs w:val="24"/>
        </w:rPr>
        <w:t>元，不包括认购资金在募集期间产生的利息），基金管理人则对</w:t>
      </w:r>
      <w:r>
        <w:rPr>
          <w:rFonts w:ascii="宋体" w:hAnsi="宋体" w:hint="eastAsia"/>
          <w:sz w:val="24"/>
          <w:szCs w:val="24"/>
        </w:rPr>
        <w:t>募集期内的所有有效认购申请予以全部确认。</w:t>
      </w:r>
    </w:p>
    <w:p w:rsidR="0081139D" w:rsidRDefault="00FA164F">
      <w:pPr>
        <w:adjustRightInd w:val="0"/>
        <w:snapToGrid w:val="0"/>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、募集期内任何一日（</w:t>
      </w:r>
      <w:r>
        <w:rPr>
          <w:rFonts w:ascii="宋体" w:hAnsi="宋体" w:hint="eastAsia"/>
          <w:sz w:val="24"/>
          <w:szCs w:val="24"/>
        </w:rPr>
        <w:t>T</w:t>
      </w:r>
      <w:r>
        <w:rPr>
          <w:rFonts w:ascii="宋体" w:hAnsi="宋体" w:hint="eastAsia"/>
          <w:sz w:val="24"/>
          <w:szCs w:val="24"/>
        </w:rPr>
        <w:t>日）日终，若本基金</w:t>
      </w:r>
      <w:r>
        <w:rPr>
          <w:rFonts w:ascii="宋体" w:hAnsi="宋体" w:hint="eastAsia"/>
          <w:sz w:val="24"/>
          <w:szCs w:val="24"/>
        </w:rPr>
        <w:t>A</w:t>
      </w:r>
      <w:r>
        <w:rPr>
          <w:rFonts w:ascii="宋体" w:hAnsi="宋体" w:hint="eastAsia"/>
          <w:sz w:val="24"/>
          <w:szCs w:val="24"/>
        </w:rPr>
        <w:t>类份额和</w:t>
      </w:r>
      <w:r>
        <w:rPr>
          <w:rFonts w:ascii="宋体" w:hAnsi="宋体" w:hint="eastAsia"/>
          <w:sz w:val="24"/>
          <w:szCs w:val="24"/>
        </w:rPr>
        <w:t>C</w:t>
      </w:r>
      <w:r>
        <w:rPr>
          <w:rFonts w:ascii="宋体" w:hAnsi="宋体" w:hint="eastAsia"/>
          <w:sz w:val="24"/>
          <w:szCs w:val="24"/>
        </w:rPr>
        <w:t>类份额的有效认购总金额超过</w:t>
      </w:r>
      <w:r>
        <w:rPr>
          <w:rFonts w:ascii="宋体" w:hAnsi="宋体" w:hint="eastAsia"/>
          <w:sz w:val="24"/>
          <w:szCs w:val="24"/>
        </w:rPr>
        <w:t>10</w:t>
      </w:r>
      <w:r>
        <w:rPr>
          <w:rFonts w:ascii="宋体" w:hAnsi="宋体" w:hint="eastAsia"/>
          <w:sz w:val="24"/>
          <w:szCs w:val="24"/>
        </w:rPr>
        <w:t>亿</w:t>
      </w:r>
      <w:r>
        <w:rPr>
          <w:rFonts w:ascii="宋体" w:hAnsi="宋体" w:hint="eastAsia"/>
          <w:sz w:val="24"/>
          <w:szCs w:val="24"/>
        </w:rPr>
        <w:t>元（不包括认购资金在募集期间产生的利息），基金管理人则对</w:t>
      </w:r>
      <w:r>
        <w:rPr>
          <w:rFonts w:ascii="宋体" w:hAnsi="宋体" w:hint="eastAsia"/>
          <w:sz w:val="24"/>
          <w:szCs w:val="24"/>
        </w:rPr>
        <w:t>T</w:t>
      </w:r>
      <w:r>
        <w:rPr>
          <w:rFonts w:ascii="宋体" w:hAnsi="宋体" w:hint="eastAsia"/>
          <w:sz w:val="24"/>
          <w:szCs w:val="24"/>
        </w:rPr>
        <w:t>日的有效认购申请按照比例确认的原则予以部分确认，未确认部分的认购款项将在募集期结束后由销售机构退还给投资人。末日比例配售的结果以基金管理人公告为准。</w:t>
      </w:r>
    </w:p>
    <w:p w:rsidR="0081139D" w:rsidRDefault="00FA164F">
      <w:pPr>
        <w:adjustRightInd w:val="0"/>
        <w:snapToGrid w:val="0"/>
        <w:spacing w:line="360" w:lineRule="auto"/>
        <w:ind w:firstLineChars="200" w:firstLine="480"/>
        <w:rPr>
          <w:rFonts w:ascii="宋体" w:hAnsi="宋体"/>
          <w:sz w:val="24"/>
          <w:szCs w:val="24"/>
        </w:rPr>
      </w:pPr>
      <w:r>
        <w:rPr>
          <w:rFonts w:ascii="宋体" w:hAnsi="宋体" w:hint="eastAsia"/>
          <w:sz w:val="24"/>
          <w:szCs w:val="24"/>
        </w:rPr>
        <w:t>当发生部分确认时，投资人认购本基金</w:t>
      </w:r>
      <w:r>
        <w:rPr>
          <w:rFonts w:ascii="宋体" w:hAnsi="宋体" w:hint="eastAsia"/>
          <w:sz w:val="24"/>
          <w:szCs w:val="24"/>
        </w:rPr>
        <w:t>A</w:t>
      </w:r>
      <w:r>
        <w:rPr>
          <w:rFonts w:ascii="宋体" w:hAnsi="宋体" w:hint="eastAsia"/>
          <w:sz w:val="24"/>
          <w:szCs w:val="24"/>
        </w:rPr>
        <w:t>类份额的认购费率按照认购申请确认金额所对应的认购费率计算，而且认购申请确认金额不受认购最低限额的限制。</w:t>
      </w:r>
    </w:p>
    <w:p w:rsidR="0081139D" w:rsidRDefault="00FA164F">
      <w:pPr>
        <w:adjustRightInd w:val="0"/>
        <w:snapToGrid w:val="0"/>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、基金合同生效后本基金不受此募集规</w:t>
      </w:r>
      <w:r>
        <w:rPr>
          <w:rFonts w:ascii="宋体" w:hAnsi="宋体" w:hint="eastAsia"/>
          <w:sz w:val="24"/>
          <w:szCs w:val="24"/>
        </w:rPr>
        <w:t>模上限的限制。</w:t>
      </w:r>
    </w:p>
    <w:p w:rsidR="0081139D" w:rsidRDefault="00FA164F">
      <w:pPr>
        <w:numPr>
          <w:ilvl w:val="0"/>
          <w:numId w:val="2"/>
        </w:numPr>
        <w:spacing w:line="360" w:lineRule="auto"/>
        <w:ind w:firstLineChars="200" w:firstLine="562"/>
        <w:rPr>
          <w:rFonts w:ascii="宋体" w:hAnsi="宋体"/>
          <w:b/>
          <w:bCs/>
          <w:sz w:val="28"/>
        </w:rPr>
      </w:pPr>
      <w:r>
        <w:rPr>
          <w:rFonts w:ascii="宋体" w:hAnsi="宋体" w:hint="eastAsia"/>
          <w:b/>
          <w:bCs/>
          <w:sz w:val="28"/>
        </w:rPr>
        <w:t>募集资金利息的处理</w:t>
      </w:r>
    </w:p>
    <w:p w:rsidR="0081139D" w:rsidRDefault="00FA164F">
      <w:pPr>
        <w:adjustRightInd w:val="0"/>
        <w:snapToGrid w:val="0"/>
        <w:spacing w:line="360" w:lineRule="auto"/>
        <w:ind w:firstLineChars="200" w:firstLine="480"/>
        <w:rPr>
          <w:rFonts w:ascii="宋体" w:hAnsi="宋体"/>
          <w:sz w:val="24"/>
          <w:szCs w:val="24"/>
        </w:rPr>
      </w:pPr>
      <w:r>
        <w:rPr>
          <w:rFonts w:ascii="宋体" w:hAnsi="宋体" w:hint="eastAsia"/>
          <w:sz w:val="24"/>
          <w:szCs w:val="24"/>
        </w:rPr>
        <w:t>有效认购款项在募集期间产生的利息将折算为</w:t>
      </w:r>
      <w:r>
        <w:rPr>
          <w:rFonts w:ascii="宋体" w:hAnsi="宋体" w:hint="eastAsia"/>
          <w:sz w:val="24"/>
          <w:szCs w:val="24"/>
        </w:rPr>
        <w:t>相应类别的</w:t>
      </w:r>
      <w:r>
        <w:rPr>
          <w:rFonts w:ascii="宋体" w:hAnsi="宋体" w:hint="eastAsia"/>
          <w:sz w:val="24"/>
          <w:szCs w:val="24"/>
        </w:rPr>
        <w:t>基金份额归基金份额持有人所有，其中利息转份额</w:t>
      </w:r>
      <w:r>
        <w:rPr>
          <w:rFonts w:ascii="宋体" w:hAnsi="宋体" w:hint="eastAsia"/>
          <w:sz w:val="24"/>
          <w:szCs w:val="24"/>
        </w:rPr>
        <w:t>的具体数额</w:t>
      </w:r>
      <w:r>
        <w:rPr>
          <w:rFonts w:ascii="宋体" w:hAnsi="宋体" w:hint="eastAsia"/>
          <w:sz w:val="24"/>
          <w:szCs w:val="24"/>
        </w:rPr>
        <w:t>以登记机构的记录为准。</w:t>
      </w:r>
    </w:p>
    <w:p w:rsidR="0081139D" w:rsidRDefault="00FA164F">
      <w:pPr>
        <w:numPr>
          <w:ilvl w:val="0"/>
          <w:numId w:val="2"/>
        </w:numPr>
        <w:spacing w:line="360" w:lineRule="auto"/>
        <w:ind w:firstLineChars="200" w:firstLine="562"/>
        <w:rPr>
          <w:rFonts w:ascii="宋体" w:hAnsi="宋体"/>
          <w:b/>
          <w:bCs/>
          <w:sz w:val="28"/>
        </w:rPr>
      </w:pPr>
      <w:r>
        <w:rPr>
          <w:rFonts w:ascii="宋体" w:hAnsi="宋体" w:hint="eastAsia"/>
          <w:b/>
          <w:bCs/>
          <w:sz w:val="28"/>
        </w:rPr>
        <w:t>募集期内募集资金的管理</w:t>
      </w:r>
    </w:p>
    <w:p w:rsidR="0081139D" w:rsidRDefault="00FA164F">
      <w:pPr>
        <w:adjustRightInd w:val="0"/>
        <w:snapToGrid w:val="0"/>
        <w:spacing w:line="360" w:lineRule="auto"/>
        <w:ind w:firstLineChars="200" w:firstLine="480"/>
        <w:rPr>
          <w:kern w:val="0"/>
          <w:sz w:val="24"/>
        </w:rPr>
      </w:pPr>
      <w:r>
        <w:rPr>
          <w:kern w:val="0"/>
          <w:sz w:val="24"/>
        </w:rPr>
        <w:t>基金募集期间募集的资金存入专门账户，在基金募集行为结束前，任何人不得动用。</w:t>
      </w:r>
    </w:p>
    <w:p w:rsidR="0081139D" w:rsidRDefault="00FA164F">
      <w:pPr>
        <w:numPr>
          <w:ilvl w:val="0"/>
          <w:numId w:val="2"/>
        </w:numPr>
        <w:spacing w:line="360" w:lineRule="auto"/>
        <w:ind w:firstLineChars="200" w:firstLine="562"/>
        <w:rPr>
          <w:rFonts w:ascii="宋体" w:hAnsi="宋体"/>
          <w:b/>
          <w:bCs/>
          <w:sz w:val="28"/>
        </w:rPr>
      </w:pPr>
      <w:r>
        <w:rPr>
          <w:rFonts w:ascii="宋体" w:hAnsi="宋体" w:hint="eastAsia"/>
          <w:b/>
          <w:bCs/>
          <w:sz w:val="28"/>
        </w:rPr>
        <w:t>发起资金的认购</w:t>
      </w:r>
    </w:p>
    <w:p w:rsidR="0081139D" w:rsidRDefault="00FA164F">
      <w:pPr>
        <w:spacing w:line="360" w:lineRule="auto"/>
        <w:ind w:firstLineChars="200" w:firstLine="480"/>
        <w:rPr>
          <w:kern w:val="0"/>
          <w:sz w:val="24"/>
        </w:rPr>
      </w:pPr>
      <w:r>
        <w:rPr>
          <w:rFonts w:hint="eastAsia"/>
          <w:kern w:val="0"/>
          <w:sz w:val="24"/>
        </w:rPr>
        <w:t>本基金发起资金认购的金额不低于</w:t>
      </w:r>
      <w:r>
        <w:rPr>
          <w:rFonts w:hint="eastAsia"/>
          <w:kern w:val="0"/>
          <w:sz w:val="24"/>
        </w:rPr>
        <w:t>1,000</w:t>
      </w:r>
      <w:r>
        <w:rPr>
          <w:rFonts w:hint="eastAsia"/>
          <w:kern w:val="0"/>
          <w:sz w:val="24"/>
        </w:rPr>
        <w:t>万元人民币，且发起资金认购的基金份额持有期限不少于</w:t>
      </w:r>
      <w:r>
        <w:rPr>
          <w:rFonts w:hint="eastAsia"/>
          <w:kern w:val="0"/>
          <w:sz w:val="24"/>
        </w:rPr>
        <w:t>3</w:t>
      </w:r>
      <w:r>
        <w:rPr>
          <w:rFonts w:hint="eastAsia"/>
          <w:kern w:val="0"/>
          <w:sz w:val="24"/>
        </w:rPr>
        <w:t>年，期间份额不能赎回。认购本基金份额的高级管理人员或基金经理等人员在上述期限内离职的，其持有期限承诺不受影响，法律法规或中国证监会另有规定的</w:t>
      </w:r>
      <w:r>
        <w:rPr>
          <w:rFonts w:hint="eastAsia"/>
          <w:kern w:val="0"/>
          <w:sz w:val="24"/>
        </w:rPr>
        <w:t>除外。</w:t>
      </w:r>
    </w:p>
    <w:p w:rsidR="0081139D" w:rsidRDefault="00FA164F">
      <w:pPr>
        <w:spacing w:line="360" w:lineRule="auto"/>
        <w:ind w:firstLineChars="200" w:firstLine="480"/>
        <w:rPr>
          <w:kern w:val="0"/>
          <w:sz w:val="24"/>
        </w:rPr>
      </w:pPr>
      <w:r>
        <w:rPr>
          <w:rFonts w:hint="eastAsia"/>
          <w:kern w:val="0"/>
          <w:sz w:val="24"/>
        </w:rPr>
        <w:t>本基金发起资金的认购情况见基金管理人届时发布的公告</w:t>
      </w:r>
      <w:r>
        <w:rPr>
          <w:rFonts w:hint="eastAsia"/>
          <w:sz w:val="24"/>
        </w:rPr>
        <w:t>。</w:t>
      </w:r>
    </w:p>
    <w:p w:rsidR="0081139D" w:rsidRDefault="00FA164F">
      <w:pPr>
        <w:pStyle w:val="1"/>
        <w:spacing w:before="200" w:after="200" w:line="240" w:lineRule="auto"/>
        <w:ind w:firstLineChars="200" w:firstLine="602"/>
        <w:rPr>
          <w:rFonts w:ascii="宋体" w:eastAsia="宋体" w:hAnsi="宋体"/>
          <w:sz w:val="30"/>
          <w:szCs w:val="30"/>
        </w:rPr>
      </w:pPr>
      <w:bookmarkStart w:id="36" w:name="_Toc26128"/>
      <w:bookmarkStart w:id="37" w:name="_Toc488930841"/>
      <w:bookmarkStart w:id="38" w:name="_Toc43727004"/>
      <w:bookmarkStart w:id="39" w:name="_Toc20687"/>
      <w:bookmarkStart w:id="40" w:name="_Toc23223"/>
      <w:bookmarkStart w:id="41" w:name="_Toc9930"/>
      <w:bookmarkStart w:id="42" w:name="_Hlk98928139"/>
      <w:bookmarkEnd w:id="35"/>
      <w:r>
        <w:rPr>
          <w:rFonts w:ascii="宋体" w:eastAsia="宋体" w:hAnsi="宋体" w:hint="eastAsia"/>
          <w:sz w:val="30"/>
          <w:szCs w:val="30"/>
        </w:rPr>
        <w:t>三、基金管理人直销柜台的开户与认购程序</w:t>
      </w:r>
      <w:bookmarkEnd w:id="36"/>
      <w:bookmarkEnd w:id="37"/>
      <w:bookmarkEnd w:id="38"/>
      <w:bookmarkEnd w:id="39"/>
      <w:bookmarkEnd w:id="40"/>
      <w:bookmarkEnd w:id="41"/>
    </w:p>
    <w:p w:rsidR="0081139D" w:rsidRDefault="00FA164F">
      <w:pPr>
        <w:adjustRightInd w:val="0"/>
        <w:snapToGrid w:val="0"/>
        <w:spacing w:line="360" w:lineRule="auto"/>
        <w:ind w:firstLineChars="200" w:firstLine="480"/>
      </w:pPr>
      <w:r>
        <w:rPr>
          <w:rFonts w:ascii="宋体" w:hAnsi="宋体"/>
          <w:sz w:val="24"/>
        </w:rPr>
        <w:t>开户及认购的时间：</w:t>
      </w:r>
      <w:r>
        <w:rPr>
          <w:rFonts w:ascii="宋体" w:hAnsi="宋体" w:hint="eastAsia"/>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8</w:t>
      </w:r>
      <w:r>
        <w:rPr>
          <w:rFonts w:ascii="宋体" w:hAnsi="宋体" w:hint="eastAsia"/>
          <w:sz w:val="24"/>
        </w:rPr>
        <w:t>日至</w:t>
      </w:r>
      <w:r>
        <w:rPr>
          <w:rFonts w:ascii="宋体" w:hAnsi="宋体" w:hint="eastAsia"/>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31</w:t>
      </w:r>
      <w:r>
        <w:rPr>
          <w:rFonts w:ascii="宋体" w:hAnsi="宋体" w:hint="eastAsia"/>
          <w:sz w:val="24"/>
        </w:rPr>
        <w:t>日</w:t>
      </w:r>
      <w:r>
        <w:rPr>
          <w:rFonts w:ascii="宋体" w:hAnsi="宋体" w:hint="eastAsia"/>
          <w:sz w:val="24"/>
        </w:rPr>
        <w:t>9:00</w:t>
      </w:r>
      <w:r>
        <w:rPr>
          <w:rFonts w:ascii="宋体" w:hAnsi="宋体" w:hint="eastAsia"/>
          <w:sz w:val="24"/>
        </w:rPr>
        <w:t>至</w:t>
      </w:r>
      <w:r>
        <w:rPr>
          <w:rFonts w:ascii="宋体" w:hAnsi="宋体" w:hint="eastAsia"/>
          <w:sz w:val="24"/>
        </w:rPr>
        <w:t>17:00</w:t>
      </w:r>
      <w:r>
        <w:rPr>
          <w:rFonts w:ascii="宋体" w:hAnsi="宋体" w:hint="eastAsia"/>
          <w:sz w:val="24"/>
        </w:rPr>
        <w:t>（周六、周日及法定节假日不予受理）。</w:t>
      </w:r>
    </w:p>
    <w:p w:rsidR="0081139D" w:rsidRDefault="00FA164F">
      <w:pPr>
        <w:numPr>
          <w:ilvl w:val="0"/>
          <w:numId w:val="3"/>
        </w:numPr>
        <w:tabs>
          <w:tab w:val="clear" w:pos="1417"/>
          <w:tab w:val="left" w:pos="1281"/>
        </w:tabs>
        <w:spacing w:line="360" w:lineRule="auto"/>
        <w:ind w:left="1281"/>
        <w:rPr>
          <w:rFonts w:ascii="宋体" w:hAnsi="宋体"/>
          <w:b/>
          <w:bCs/>
          <w:kern w:val="0"/>
          <w:sz w:val="28"/>
          <w:szCs w:val="28"/>
        </w:rPr>
      </w:pPr>
      <w:r>
        <w:rPr>
          <w:rFonts w:ascii="宋体" w:hAnsi="宋体" w:hint="eastAsia"/>
          <w:b/>
          <w:bCs/>
          <w:kern w:val="0"/>
          <w:sz w:val="28"/>
          <w:szCs w:val="28"/>
        </w:rPr>
        <w:t>开户</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投资人欲购买本基金，需开立基金管理人基金账户。基金募集期内基金管理人直销柜台为投资人办理开立基金账户的手续。一个投资人只能开立和使用一个基金账户；已经开立基金管理人基金账户的投资人无须重复开户。</w:t>
      </w:r>
    </w:p>
    <w:p w:rsidR="0081139D" w:rsidRDefault="00FA164F">
      <w:pPr>
        <w:spacing w:line="360" w:lineRule="auto"/>
        <w:ind w:firstLineChars="200" w:firstLine="482"/>
        <w:rPr>
          <w:rFonts w:ascii="宋体" w:hAnsi="宋体"/>
          <w:b/>
          <w:sz w:val="24"/>
        </w:rPr>
      </w:pPr>
      <w:r>
        <w:rPr>
          <w:rFonts w:ascii="宋体" w:hAnsi="宋体"/>
          <w:b/>
          <w:sz w:val="24"/>
        </w:rPr>
        <w:t>1</w:t>
      </w:r>
      <w:r>
        <w:rPr>
          <w:rFonts w:ascii="宋体" w:hAnsi="宋体"/>
          <w:b/>
          <w:sz w:val="24"/>
        </w:rPr>
        <w:t>、</w:t>
      </w:r>
      <w:r>
        <w:rPr>
          <w:rFonts w:ascii="宋体" w:hAnsi="宋体" w:hint="eastAsia"/>
          <w:b/>
          <w:sz w:val="24"/>
        </w:rPr>
        <w:t>个人投资者：</w:t>
      </w:r>
      <w:r>
        <w:rPr>
          <w:rFonts w:ascii="宋体" w:hAnsi="宋体"/>
          <w:b/>
          <w:sz w:val="24"/>
        </w:rPr>
        <w:t>提供下列资料办理基金的开户手续</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）填妥、本人签署的《账户类业务申请书（个人版）》；</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）填妥、本人签署的《电子交易协议书》（如需）；</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）填妥、本人签署的《投资者风险承受能力评估问卷（个人版）》（普通投资者填写）；</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）填妥、本人签署的《投资者权益须知》；</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）填妥、本人签署的《个人信息保护政策》；</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）填妥、本人签署的《个人客户税收居民身份声明文件》；</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）本人有效身份证件正反面复印件；</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）指定的投资者本人银行账户的银行卡（除信用卡外）正反面复印件；</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）监管规定要求及本公司规定的账户开户时需提供的其他材料。</w:t>
      </w:r>
    </w:p>
    <w:p w:rsidR="0081139D" w:rsidRDefault="00FA164F">
      <w:pPr>
        <w:spacing w:line="360" w:lineRule="auto"/>
        <w:ind w:firstLineChars="200" w:firstLine="482"/>
        <w:rPr>
          <w:rFonts w:ascii="宋体" w:hAnsi="宋体"/>
          <w:b/>
          <w:sz w:val="24"/>
        </w:rPr>
      </w:pPr>
      <w:r>
        <w:rPr>
          <w:rFonts w:ascii="宋体" w:hAnsi="宋体" w:hint="eastAsia"/>
          <w:b/>
          <w:sz w:val="24"/>
        </w:rPr>
        <w:t>2</w:t>
      </w:r>
      <w:r>
        <w:rPr>
          <w:rFonts w:ascii="宋体" w:hAnsi="宋体" w:hint="eastAsia"/>
          <w:b/>
          <w:sz w:val="24"/>
        </w:rPr>
        <w:t>、机构投资者</w:t>
      </w:r>
      <w:r>
        <w:rPr>
          <w:rFonts w:ascii="宋体" w:hAnsi="宋体"/>
          <w:b/>
          <w:sz w:val="24"/>
        </w:rPr>
        <w:t>：提供下列资料办理基金的开户手续</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）填妥并加盖单位公章、法定代表人</w:t>
      </w:r>
      <w:r>
        <w:rPr>
          <w:rFonts w:ascii="宋体" w:hAnsi="宋体" w:hint="eastAsia"/>
          <w:sz w:val="24"/>
        </w:rPr>
        <w:t>/</w:t>
      </w:r>
      <w:r>
        <w:rPr>
          <w:rFonts w:ascii="宋体" w:hAnsi="宋体" w:hint="eastAsia"/>
          <w:sz w:val="24"/>
        </w:rPr>
        <w:t>负责人及授权经办人签署的《账户类业务申请书（机构版）》；</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）填妥并加盖单位公章的《电子交易协议书》（如需）；</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）填妥并加盖单位公章、法定代表人</w:t>
      </w:r>
      <w:r>
        <w:rPr>
          <w:rFonts w:ascii="宋体" w:hAnsi="宋体" w:hint="eastAsia"/>
          <w:sz w:val="24"/>
        </w:rPr>
        <w:t>/</w:t>
      </w:r>
      <w:r>
        <w:rPr>
          <w:rFonts w:ascii="宋体" w:hAnsi="宋体" w:hint="eastAsia"/>
          <w:sz w:val="24"/>
        </w:rPr>
        <w:t>负责人及授权经办人签署的《授权委托书》；</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）填妥并加盖单位公章、法定代表人</w:t>
      </w:r>
      <w:r>
        <w:rPr>
          <w:rFonts w:ascii="宋体" w:hAnsi="宋体" w:hint="eastAsia"/>
          <w:sz w:val="24"/>
        </w:rPr>
        <w:t>/</w:t>
      </w:r>
      <w:r>
        <w:rPr>
          <w:rFonts w:ascii="宋体" w:hAnsi="宋体" w:hint="eastAsia"/>
          <w:sz w:val="24"/>
        </w:rPr>
        <w:t>负责人签署的《印鉴卡》；</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）填妥并加盖单位公章、授权经办人签署的《投资者风险承受能力评估问卷（机构版）》（普通投资者提供）；</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）填妥并加盖单位公章的《投资者权益须知》；</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）填妥并加盖</w:t>
      </w:r>
      <w:r>
        <w:rPr>
          <w:rFonts w:ascii="宋体" w:hAnsi="宋体" w:hint="eastAsia"/>
          <w:sz w:val="24"/>
        </w:rPr>
        <w:t>单位公章、法定代表人或其授权代表签署的《机构客户税收居民身份声明文件》（豁免机构免填）；</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）控制人本人或机构授权人签署的《控制人客户税收居民身份声明文件》（消极非金融机构填写）；</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①经营证券、基金、期货业务的经有关金融监管部门批准设立的金融机构，提供营业执照、开展金融相关业务资格证明、私募基金管理人登记材料、机构负责人或者法定代表人和授权经办人有效身份证明等证明资料（加盖单位公章）；</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②社会保障基金、企业年金等养老基金，慈善基金等社会公益基金，合格境外机构投资者（</w:t>
      </w:r>
      <w:r>
        <w:rPr>
          <w:rFonts w:ascii="宋体" w:hAnsi="宋体" w:hint="eastAsia"/>
          <w:sz w:val="24"/>
        </w:rPr>
        <w:t>QFII</w:t>
      </w:r>
      <w:r>
        <w:rPr>
          <w:rFonts w:ascii="宋体" w:hAnsi="宋体" w:hint="eastAsia"/>
          <w:sz w:val="24"/>
        </w:rPr>
        <w:t>）、人民币合格境外机构投资</w:t>
      </w:r>
      <w:r>
        <w:rPr>
          <w:rFonts w:ascii="宋体" w:hAnsi="宋体" w:hint="eastAsia"/>
          <w:sz w:val="24"/>
        </w:rPr>
        <w:t>者（</w:t>
      </w:r>
      <w:r>
        <w:rPr>
          <w:rFonts w:ascii="宋体" w:hAnsi="宋体" w:hint="eastAsia"/>
          <w:sz w:val="24"/>
        </w:rPr>
        <w:t>RQFII</w:t>
      </w:r>
      <w:r>
        <w:rPr>
          <w:rFonts w:ascii="宋体" w:hAnsi="宋体" w:hint="eastAsia"/>
          <w:sz w:val="24"/>
        </w:rPr>
        <w:t>），提供基金会法人登记证明、</w:t>
      </w:r>
      <w:r>
        <w:rPr>
          <w:rFonts w:ascii="宋体" w:hAnsi="宋体" w:hint="eastAsia"/>
          <w:sz w:val="24"/>
        </w:rPr>
        <w:t>QFII</w:t>
      </w:r>
      <w:r>
        <w:rPr>
          <w:rFonts w:ascii="宋体" w:hAnsi="宋体" w:hint="eastAsia"/>
          <w:sz w:val="24"/>
        </w:rPr>
        <w:t>、</w:t>
      </w:r>
      <w:r>
        <w:rPr>
          <w:rFonts w:ascii="宋体" w:hAnsi="宋体" w:hint="eastAsia"/>
          <w:sz w:val="24"/>
        </w:rPr>
        <w:t xml:space="preserve">RQFII </w:t>
      </w:r>
      <w:r>
        <w:rPr>
          <w:rFonts w:ascii="宋体" w:hAnsi="宋体" w:hint="eastAsia"/>
          <w:sz w:val="24"/>
        </w:rPr>
        <w:t>登记材料等身份证明材料等相关证明文件（加盖单位公章）；</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③其他机构投资者，提供最新年检营业执照、机构负责人或者法定代表人和授权经办人有效身份证明等证明资料（加盖单位公章）；</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）指定的银行《开户许可证》或《开立银行账户申请表》或《银行信息确认函》；</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11</w:t>
      </w:r>
      <w:r>
        <w:rPr>
          <w:rFonts w:ascii="宋体" w:hAnsi="宋体" w:hint="eastAsia"/>
          <w:sz w:val="24"/>
        </w:rPr>
        <w:t>）反洗钱客户</w:t>
      </w:r>
      <w:r>
        <w:rPr>
          <w:rFonts w:ascii="宋体" w:hAnsi="宋体" w:hint="eastAsia"/>
          <w:sz w:val="24"/>
        </w:rPr>
        <w:t>尽职调查</w:t>
      </w:r>
      <w:r>
        <w:rPr>
          <w:rFonts w:ascii="宋体" w:hAnsi="宋体" w:hint="eastAsia"/>
          <w:sz w:val="24"/>
        </w:rPr>
        <w:t>所需相关材料；</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12</w:t>
      </w:r>
      <w:r>
        <w:rPr>
          <w:rFonts w:ascii="宋体" w:hAnsi="宋体" w:hint="eastAsia"/>
          <w:sz w:val="24"/>
        </w:rPr>
        <w:t>）监管规定要求及本公司规定的开户时需提供的其他材料。</w:t>
      </w:r>
    </w:p>
    <w:p w:rsidR="0081139D" w:rsidRDefault="00FA164F">
      <w:pPr>
        <w:tabs>
          <w:tab w:val="left" w:pos="900"/>
          <w:tab w:val="left" w:pos="2160"/>
        </w:tabs>
        <w:spacing w:line="360" w:lineRule="auto"/>
        <w:ind w:firstLineChars="200" w:firstLine="482"/>
        <w:rPr>
          <w:rFonts w:ascii="宋体" w:hAnsi="宋体"/>
          <w:b/>
          <w:sz w:val="24"/>
        </w:rPr>
      </w:pPr>
      <w:r>
        <w:rPr>
          <w:rFonts w:ascii="宋体" w:hAnsi="宋体" w:hint="eastAsia"/>
          <w:b/>
          <w:sz w:val="24"/>
        </w:rPr>
        <w:t>3</w:t>
      </w:r>
      <w:r>
        <w:rPr>
          <w:rFonts w:ascii="宋体" w:hAnsi="宋体" w:hint="eastAsia"/>
          <w:b/>
          <w:sz w:val="24"/>
        </w:rPr>
        <w:t>、产品投资者：</w:t>
      </w:r>
      <w:r>
        <w:rPr>
          <w:rFonts w:ascii="宋体" w:hAnsi="宋体"/>
          <w:b/>
          <w:sz w:val="24"/>
        </w:rPr>
        <w:t>提供下列资料办理基金的开户手续</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）填妥并加盖单位公章、法定代表人</w:t>
      </w:r>
      <w:r>
        <w:rPr>
          <w:rFonts w:ascii="宋体" w:hAnsi="宋体" w:hint="eastAsia"/>
          <w:sz w:val="24"/>
        </w:rPr>
        <w:t>/</w:t>
      </w:r>
      <w:r>
        <w:rPr>
          <w:rFonts w:ascii="宋体" w:hAnsi="宋体" w:hint="eastAsia"/>
          <w:sz w:val="24"/>
        </w:rPr>
        <w:t>负责人及授权经办人签署的《账户类业务申请书（产品版）》；</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）填妥并加盖单位公章的《电子交易协议书》（如需）；</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）填妥并加盖单位公章、法定代表人</w:t>
      </w:r>
      <w:r>
        <w:rPr>
          <w:rFonts w:ascii="宋体" w:hAnsi="宋体" w:hint="eastAsia"/>
          <w:sz w:val="24"/>
        </w:rPr>
        <w:t>/</w:t>
      </w:r>
      <w:r>
        <w:rPr>
          <w:rFonts w:ascii="宋体" w:hAnsi="宋体" w:hint="eastAsia"/>
          <w:sz w:val="24"/>
        </w:rPr>
        <w:t>负责人及授权经办人签署的《授权委托书》；</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）填妥并加盖单位公章、法定代表人</w:t>
      </w:r>
      <w:r>
        <w:rPr>
          <w:rFonts w:ascii="宋体" w:hAnsi="宋体" w:hint="eastAsia"/>
          <w:sz w:val="24"/>
        </w:rPr>
        <w:t>/</w:t>
      </w:r>
      <w:r>
        <w:rPr>
          <w:rFonts w:ascii="宋体" w:hAnsi="宋体" w:hint="eastAsia"/>
          <w:sz w:val="24"/>
        </w:rPr>
        <w:t>负责人签署的《印鉴卡》；</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）填妥并加盖单位公章的《投资者权益须知》；</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）金融机构的营业执照、开展金融相关业务资格证明、金融机构负责人或者法定代表人和授权经办人有效身份证件正反面复印件等证明资料；产品成立、备案证明文件等资料（加盖单位公</w:t>
      </w:r>
      <w:r>
        <w:rPr>
          <w:rFonts w:ascii="宋体" w:hAnsi="宋体" w:hint="eastAsia"/>
          <w:sz w:val="24"/>
        </w:rPr>
        <w:t>章）；</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）指定的银行《开户许可证》或《开立银行账户申请表》或《银行信息确认函》；</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）反洗钱客户</w:t>
      </w:r>
      <w:r>
        <w:rPr>
          <w:rFonts w:ascii="宋体" w:hAnsi="宋体" w:hint="eastAsia"/>
          <w:sz w:val="24"/>
        </w:rPr>
        <w:t>尽职调查</w:t>
      </w:r>
      <w:r>
        <w:rPr>
          <w:rFonts w:ascii="宋体" w:hAnsi="宋体" w:hint="eastAsia"/>
          <w:sz w:val="24"/>
        </w:rPr>
        <w:t>所需相关材料；</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）监管规定要求及本公司规定的开户时需提供的其他材料。</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具体业务办理规则以基金管理人</w:t>
      </w:r>
      <w:r>
        <w:rPr>
          <w:rFonts w:ascii="宋体" w:hAnsi="宋体" w:hint="eastAsia"/>
          <w:sz w:val="24"/>
        </w:rPr>
        <w:t>直销柜台</w:t>
      </w:r>
      <w:r>
        <w:rPr>
          <w:rFonts w:ascii="宋体" w:hAnsi="宋体" w:hint="eastAsia"/>
          <w:sz w:val="24"/>
        </w:rPr>
        <w:t>的规定为准，投资者开户资料的填写和提供必须真实、完整、准确，否则由此引起的错误和损失，由投资者自己承担。投资者如需通过基金管理人直销柜台认购基金，请尽早向直销柜台索取或从基金管理人网站</w:t>
      </w:r>
      <w:r>
        <w:rPr>
          <w:rFonts w:ascii="宋体" w:hAnsi="宋体" w:hint="eastAsia"/>
          <w:sz w:val="24"/>
        </w:rPr>
        <w:t>(www.cjzcgl.com</w:t>
      </w:r>
      <w:r>
        <w:rPr>
          <w:rFonts w:ascii="宋体" w:hAnsi="宋体" w:hint="eastAsia"/>
          <w:sz w:val="24"/>
        </w:rPr>
        <w:t>）下载开户、认购申请表单及相关资料。基金管理人直销柜台与其他销售机构的业务申请</w:t>
      </w:r>
      <w:r>
        <w:rPr>
          <w:rFonts w:ascii="宋体" w:hAnsi="宋体" w:hint="eastAsia"/>
          <w:sz w:val="24"/>
        </w:rPr>
        <w:t>表格式不同，投资者请勿混用。</w:t>
      </w:r>
    </w:p>
    <w:p w:rsidR="0081139D" w:rsidRDefault="00FA164F">
      <w:pPr>
        <w:numPr>
          <w:ilvl w:val="0"/>
          <w:numId w:val="3"/>
        </w:numPr>
        <w:tabs>
          <w:tab w:val="clear" w:pos="1417"/>
          <w:tab w:val="left" w:pos="1281"/>
        </w:tabs>
        <w:spacing w:line="360" w:lineRule="auto"/>
        <w:ind w:left="1281"/>
        <w:rPr>
          <w:rFonts w:ascii="宋体" w:hAnsi="宋体"/>
          <w:b/>
          <w:bCs/>
          <w:kern w:val="0"/>
          <w:sz w:val="28"/>
          <w:szCs w:val="28"/>
        </w:rPr>
      </w:pPr>
      <w:r>
        <w:rPr>
          <w:rFonts w:ascii="宋体" w:hAnsi="宋体" w:hint="eastAsia"/>
          <w:b/>
          <w:bCs/>
          <w:kern w:val="0"/>
          <w:sz w:val="28"/>
          <w:szCs w:val="28"/>
        </w:rPr>
        <w:t>认购申请：</w:t>
      </w:r>
      <w:r>
        <w:rPr>
          <w:rFonts w:ascii="宋体" w:hAnsi="宋体"/>
          <w:b/>
          <w:bCs/>
          <w:kern w:val="0"/>
          <w:sz w:val="28"/>
          <w:szCs w:val="28"/>
        </w:rPr>
        <w:t>提供下列资料办理基金</w:t>
      </w:r>
      <w:r>
        <w:rPr>
          <w:rFonts w:ascii="宋体" w:hAnsi="宋体" w:hint="eastAsia"/>
          <w:b/>
          <w:bCs/>
          <w:kern w:val="0"/>
          <w:sz w:val="28"/>
          <w:szCs w:val="28"/>
        </w:rPr>
        <w:t>认购</w:t>
      </w:r>
      <w:r>
        <w:rPr>
          <w:rFonts w:ascii="宋体" w:hAnsi="宋体"/>
          <w:b/>
          <w:bCs/>
          <w:kern w:val="0"/>
          <w:sz w:val="28"/>
          <w:szCs w:val="28"/>
        </w:rPr>
        <w:t>手续</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、本人或授权经办人有效身份证明资料；</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、填妥并加盖预留印鉴的《交易类业务申请书》；</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、银行划款单据；</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、法律法规及基金管理人规定的需提供的其他材料。</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投资人开户后可办理基金认购手续。</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认购申请当日下午</w:t>
      </w:r>
      <w:r>
        <w:rPr>
          <w:rFonts w:ascii="宋体" w:hAnsi="宋体" w:hint="eastAsia"/>
          <w:sz w:val="24"/>
        </w:rPr>
        <w:t xml:space="preserve"> 17:00 </w:t>
      </w:r>
      <w:r>
        <w:rPr>
          <w:rFonts w:ascii="宋体" w:hAnsi="宋体" w:hint="eastAsia"/>
          <w:sz w:val="24"/>
        </w:rPr>
        <w:t>之前，若投资者的认购资金未到本公司指定基金直销专户，则当日提交的申请顺延受理</w:t>
      </w:r>
      <w:r>
        <w:rPr>
          <w:rFonts w:ascii="宋体" w:hAnsi="宋体"/>
          <w:sz w:val="24"/>
        </w:rPr>
        <w:t>。</w:t>
      </w:r>
    </w:p>
    <w:p w:rsidR="0081139D" w:rsidRDefault="00FA164F">
      <w:pPr>
        <w:numPr>
          <w:ilvl w:val="0"/>
          <w:numId w:val="3"/>
        </w:numPr>
        <w:tabs>
          <w:tab w:val="clear" w:pos="1417"/>
          <w:tab w:val="left" w:pos="1281"/>
        </w:tabs>
        <w:spacing w:line="360" w:lineRule="auto"/>
        <w:ind w:left="1281"/>
        <w:rPr>
          <w:rFonts w:ascii="宋体" w:hAnsi="宋体"/>
          <w:b/>
          <w:bCs/>
          <w:kern w:val="0"/>
          <w:sz w:val="28"/>
          <w:szCs w:val="28"/>
        </w:rPr>
      </w:pPr>
      <w:r>
        <w:rPr>
          <w:rFonts w:ascii="宋体" w:hAnsi="宋体"/>
          <w:b/>
          <w:bCs/>
          <w:kern w:val="0"/>
          <w:sz w:val="28"/>
          <w:szCs w:val="28"/>
        </w:rPr>
        <w:t>以下</w:t>
      </w:r>
      <w:r>
        <w:rPr>
          <w:rFonts w:ascii="宋体" w:hAnsi="宋体" w:hint="eastAsia"/>
          <w:b/>
          <w:bCs/>
          <w:kern w:val="0"/>
          <w:sz w:val="28"/>
          <w:szCs w:val="28"/>
        </w:rPr>
        <w:t>情形</w:t>
      </w:r>
      <w:r>
        <w:rPr>
          <w:rFonts w:ascii="宋体" w:hAnsi="宋体"/>
          <w:b/>
          <w:bCs/>
          <w:kern w:val="0"/>
          <w:sz w:val="28"/>
          <w:szCs w:val="28"/>
        </w:rPr>
        <w:t>将被认定为无效认购</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、投资人已划付认购资金，但逾期未办理开户手续或开户不成功的；</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、投资人已划付认购资金，但逾期未办理认购手续的；</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、投资人已划付的认购资金少于其申请的认购金额的；</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、在募集期截止日截止时间之前认购资金未到账至指定直销专户的；</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、法律法规、《基金合同》规定及基金管理人确认的其它无效资金或无效认购的情况。</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投资者通过直销柜台进行认购时产生的无效认购资金在认购结束后三个工作日内向投资者的指定银行账户划出。（届时募集期已结束的除外）。</w:t>
      </w:r>
    </w:p>
    <w:p w:rsidR="0081139D" w:rsidRDefault="00FA164F">
      <w:pPr>
        <w:numPr>
          <w:ilvl w:val="0"/>
          <w:numId w:val="3"/>
        </w:numPr>
        <w:tabs>
          <w:tab w:val="clear" w:pos="1417"/>
          <w:tab w:val="left" w:pos="1281"/>
        </w:tabs>
        <w:spacing w:line="360" w:lineRule="auto"/>
        <w:ind w:left="1281"/>
        <w:rPr>
          <w:rFonts w:ascii="宋体" w:hAnsi="宋体"/>
          <w:b/>
          <w:bCs/>
          <w:kern w:val="0"/>
          <w:sz w:val="28"/>
          <w:szCs w:val="28"/>
        </w:rPr>
      </w:pPr>
      <w:r>
        <w:rPr>
          <w:rFonts w:ascii="宋体" w:hAnsi="宋体"/>
          <w:b/>
          <w:bCs/>
          <w:kern w:val="0"/>
          <w:sz w:val="28"/>
          <w:szCs w:val="28"/>
        </w:rPr>
        <w:t>认购</w:t>
      </w:r>
      <w:r>
        <w:rPr>
          <w:rFonts w:ascii="宋体" w:hAnsi="宋体" w:hint="eastAsia"/>
          <w:b/>
          <w:bCs/>
          <w:kern w:val="0"/>
          <w:sz w:val="28"/>
          <w:szCs w:val="28"/>
        </w:rPr>
        <w:t>资金的缴付</w:t>
      </w:r>
    </w:p>
    <w:p w:rsidR="0081139D" w:rsidRDefault="00FA164F">
      <w:pPr>
        <w:pStyle w:val="a6"/>
        <w:tabs>
          <w:tab w:val="left" w:pos="1044"/>
        </w:tabs>
        <w:spacing w:line="342" w:lineRule="auto"/>
        <w:ind w:right="-94" w:firstLineChars="200" w:firstLine="476"/>
        <w:rPr>
          <w:rFonts w:ascii="宋体" w:hAnsi="宋体" w:cs="宋体"/>
          <w:spacing w:val="-2"/>
          <w:sz w:val="24"/>
        </w:rPr>
      </w:pPr>
      <w:r>
        <w:rPr>
          <w:rFonts w:ascii="宋体" w:hAnsi="宋体" w:cs="宋体" w:hint="eastAsia"/>
          <w:spacing w:val="-1"/>
          <w:sz w:val="24"/>
        </w:rPr>
        <w:t>通过本公司直销柜台认购本基金的投资者，需通过全额缴款的方</w:t>
      </w:r>
      <w:r>
        <w:rPr>
          <w:rFonts w:ascii="宋体" w:hAnsi="宋体" w:cs="宋体" w:hint="eastAsia"/>
          <w:spacing w:val="-2"/>
          <w:sz w:val="24"/>
        </w:rPr>
        <w:t>式，</w:t>
      </w:r>
      <w:r>
        <w:rPr>
          <w:rFonts w:ascii="宋体" w:hAnsi="宋体" w:cs="宋体" w:hint="eastAsia"/>
          <w:sz w:val="24"/>
        </w:rPr>
        <w:t>在</w:t>
      </w:r>
      <w:r>
        <w:rPr>
          <w:rFonts w:ascii="宋体" w:hAnsi="宋体" w:cs="宋体" w:hint="eastAsia"/>
          <w:spacing w:val="-3"/>
          <w:sz w:val="24"/>
        </w:rPr>
        <w:t>提出</w:t>
      </w:r>
      <w:r>
        <w:rPr>
          <w:rFonts w:ascii="宋体" w:hAnsi="宋体" w:cs="宋体" w:hint="eastAsia"/>
          <w:sz w:val="24"/>
        </w:rPr>
        <w:t>认购</w:t>
      </w:r>
      <w:r>
        <w:rPr>
          <w:rFonts w:ascii="宋体" w:hAnsi="宋体" w:cs="宋体" w:hint="eastAsia"/>
          <w:spacing w:val="-3"/>
          <w:sz w:val="24"/>
        </w:rPr>
        <w:t>申</w:t>
      </w:r>
      <w:r>
        <w:rPr>
          <w:rFonts w:ascii="宋体" w:hAnsi="宋体" w:cs="宋体" w:hint="eastAsia"/>
          <w:sz w:val="24"/>
        </w:rPr>
        <w:t>请</w:t>
      </w:r>
      <w:r>
        <w:rPr>
          <w:rFonts w:ascii="宋体" w:hAnsi="宋体" w:cs="宋体" w:hint="eastAsia"/>
          <w:spacing w:val="-3"/>
          <w:sz w:val="24"/>
        </w:rPr>
        <w:t>当</w:t>
      </w:r>
      <w:r>
        <w:rPr>
          <w:rFonts w:ascii="宋体" w:hAnsi="宋体" w:cs="宋体" w:hint="eastAsia"/>
          <w:sz w:val="24"/>
        </w:rPr>
        <w:t>日</w:t>
      </w:r>
      <w:r>
        <w:rPr>
          <w:rFonts w:ascii="宋体" w:hAnsi="宋体" w:cs="宋体" w:hint="eastAsia"/>
          <w:spacing w:val="-3"/>
          <w:sz w:val="24"/>
        </w:rPr>
        <w:t>1</w:t>
      </w:r>
      <w:r>
        <w:rPr>
          <w:rFonts w:ascii="宋体" w:hAnsi="宋体" w:cs="宋体" w:hint="eastAsia"/>
          <w:sz w:val="24"/>
        </w:rPr>
        <w:t>7</w:t>
      </w:r>
      <w:r>
        <w:rPr>
          <w:rFonts w:ascii="宋体" w:hAnsi="宋体" w:cs="宋体" w:hint="eastAsia"/>
          <w:spacing w:val="-29"/>
          <w:sz w:val="24"/>
        </w:rPr>
        <w:t>：</w:t>
      </w:r>
      <w:r>
        <w:rPr>
          <w:rFonts w:ascii="宋体" w:hAnsi="宋体" w:cs="宋体" w:hint="eastAsia"/>
          <w:spacing w:val="-3"/>
          <w:sz w:val="24"/>
        </w:rPr>
        <w:t>0</w:t>
      </w:r>
      <w:r>
        <w:rPr>
          <w:rFonts w:ascii="宋体" w:hAnsi="宋体" w:cs="宋体" w:hint="eastAsia"/>
          <w:sz w:val="24"/>
        </w:rPr>
        <w:t xml:space="preserve">0 </w:t>
      </w:r>
      <w:r>
        <w:rPr>
          <w:rFonts w:ascii="宋体" w:hAnsi="宋体" w:cs="宋体" w:hint="eastAsia"/>
          <w:spacing w:val="-3"/>
          <w:sz w:val="24"/>
        </w:rPr>
        <w:t>之前</w:t>
      </w:r>
      <w:r>
        <w:rPr>
          <w:rFonts w:ascii="宋体" w:hAnsi="宋体" w:cs="宋体" w:hint="eastAsia"/>
          <w:spacing w:val="-29"/>
          <w:sz w:val="24"/>
        </w:rPr>
        <w:t>，</w:t>
      </w:r>
      <w:r>
        <w:rPr>
          <w:rFonts w:ascii="宋体" w:hAnsi="宋体" w:cs="宋体" w:hint="eastAsia"/>
          <w:spacing w:val="-3"/>
          <w:sz w:val="24"/>
        </w:rPr>
        <w:t>将</w:t>
      </w:r>
      <w:r>
        <w:rPr>
          <w:rFonts w:ascii="宋体" w:hAnsi="宋体" w:cs="宋体" w:hint="eastAsia"/>
          <w:sz w:val="24"/>
        </w:rPr>
        <w:t>足</w:t>
      </w:r>
      <w:r>
        <w:rPr>
          <w:rFonts w:ascii="宋体" w:hAnsi="宋体" w:cs="宋体" w:hint="eastAsia"/>
          <w:spacing w:val="-3"/>
          <w:sz w:val="24"/>
        </w:rPr>
        <w:t>额</w:t>
      </w:r>
      <w:r>
        <w:rPr>
          <w:rFonts w:ascii="宋体" w:hAnsi="宋体" w:cs="宋体" w:hint="eastAsia"/>
          <w:sz w:val="24"/>
        </w:rPr>
        <w:t>认</w:t>
      </w:r>
      <w:r>
        <w:rPr>
          <w:rFonts w:ascii="宋体" w:hAnsi="宋体" w:cs="宋体" w:hint="eastAsia"/>
          <w:spacing w:val="-3"/>
          <w:sz w:val="24"/>
        </w:rPr>
        <w:t>购</w:t>
      </w:r>
      <w:r>
        <w:rPr>
          <w:rFonts w:ascii="宋体" w:hAnsi="宋体" w:cs="宋体" w:hint="eastAsia"/>
          <w:sz w:val="24"/>
        </w:rPr>
        <w:t>资</w:t>
      </w:r>
      <w:r>
        <w:rPr>
          <w:rFonts w:ascii="宋体" w:hAnsi="宋体" w:cs="宋体" w:hint="eastAsia"/>
          <w:spacing w:val="-3"/>
          <w:sz w:val="24"/>
        </w:rPr>
        <w:t>金</w:t>
      </w:r>
      <w:r>
        <w:rPr>
          <w:rFonts w:ascii="宋体" w:hAnsi="宋体" w:cs="宋体" w:hint="eastAsia"/>
          <w:sz w:val="24"/>
        </w:rPr>
        <w:t>划</w:t>
      </w:r>
      <w:r>
        <w:rPr>
          <w:rFonts w:ascii="宋体" w:hAnsi="宋体" w:cs="宋体" w:hint="eastAsia"/>
          <w:spacing w:val="-3"/>
          <w:sz w:val="24"/>
        </w:rPr>
        <w:t>至本</w:t>
      </w:r>
      <w:r>
        <w:rPr>
          <w:rFonts w:ascii="宋体" w:hAnsi="宋体" w:cs="宋体" w:hint="eastAsia"/>
          <w:sz w:val="24"/>
        </w:rPr>
        <w:t>公司指定的以下任一</w:t>
      </w:r>
      <w:r>
        <w:rPr>
          <w:rFonts w:ascii="宋体" w:hAnsi="宋体" w:cs="宋体" w:hint="eastAsia"/>
          <w:spacing w:val="-2"/>
          <w:sz w:val="24"/>
        </w:rPr>
        <w:t>直销专户，账户信息如下：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7"/>
        <w:gridCol w:w="6287"/>
      </w:tblGrid>
      <w:tr w:rsidR="0081139D">
        <w:trPr>
          <w:jc w:val="center"/>
        </w:trPr>
        <w:tc>
          <w:tcPr>
            <w:tcW w:w="8404" w:type="dxa"/>
            <w:gridSpan w:val="2"/>
          </w:tcPr>
          <w:p w:rsidR="0081139D" w:rsidRDefault="00FA164F">
            <w:pPr>
              <w:pStyle w:val="a6"/>
              <w:spacing w:before="46" w:line="340" w:lineRule="auto"/>
              <w:rPr>
                <w:rFonts w:ascii="宋体" w:hAnsi="宋体" w:cs="宋体"/>
                <w:sz w:val="24"/>
              </w:rPr>
            </w:pPr>
            <w:r>
              <w:rPr>
                <w:rFonts w:ascii="宋体" w:hAnsi="宋体" w:cs="宋体" w:hint="eastAsia"/>
                <w:sz w:val="24"/>
              </w:rPr>
              <w:t>直销专户一：招商银行</w:t>
            </w:r>
          </w:p>
        </w:tc>
      </w:tr>
      <w:tr w:rsidR="0081139D">
        <w:trPr>
          <w:jc w:val="center"/>
        </w:trPr>
        <w:tc>
          <w:tcPr>
            <w:tcW w:w="2117" w:type="dxa"/>
          </w:tcPr>
          <w:p w:rsidR="0081139D" w:rsidRDefault="00FA164F">
            <w:pPr>
              <w:pStyle w:val="a6"/>
              <w:spacing w:before="46" w:line="340" w:lineRule="auto"/>
              <w:jc w:val="center"/>
              <w:rPr>
                <w:rFonts w:ascii="宋体" w:hAnsi="宋体" w:cs="宋体"/>
                <w:sz w:val="24"/>
              </w:rPr>
            </w:pPr>
            <w:r>
              <w:rPr>
                <w:rFonts w:ascii="宋体" w:hAnsi="宋体" w:cs="宋体" w:hint="eastAsia"/>
                <w:sz w:val="24"/>
              </w:rPr>
              <w:t>账户名称</w:t>
            </w:r>
          </w:p>
        </w:tc>
        <w:tc>
          <w:tcPr>
            <w:tcW w:w="6287" w:type="dxa"/>
          </w:tcPr>
          <w:p w:rsidR="0081139D" w:rsidRDefault="00FA164F">
            <w:pPr>
              <w:pStyle w:val="a6"/>
              <w:spacing w:before="46" w:line="340" w:lineRule="auto"/>
              <w:rPr>
                <w:rFonts w:ascii="宋体" w:hAnsi="宋体" w:cs="宋体"/>
                <w:sz w:val="24"/>
              </w:rPr>
            </w:pPr>
            <w:r>
              <w:rPr>
                <w:rFonts w:ascii="宋体" w:hAnsi="宋体" w:cs="宋体" w:hint="eastAsia"/>
                <w:sz w:val="24"/>
              </w:rPr>
              <w:t>长江证券（上海）资产管理有限公司直销专户</w:t>
            </w:r>
          </w:p>
        </w:tc>
      </w:tr>
      <w:tr w:rsidR="0081139D">
        <w:trPr>
          <w:jc w:val="center"/>
        </w:trPr>
        <w:tc>
          <w:tcPr>
            <w:tcW w:w="2117" w:type="dxa"/>
          </w:tcPr>
          <w:p w:rsidR="0081139D" w:rsidRDefault="00FA164F">
            <w:pPr>
              <w:pStyle w:val="a6"/>
              <w:spacing w:before="46" w:line="340" w:lineRule="auto"/>
              <w:jc w:val="center"/>
              <w:rPr>
                <w:rFonts w:ascii="宋体" w:hAnsi="宋体" w:cs="宋体"/>
                <w:sz w:val="24"/>
              </w:rPr>
            </w:pPr>
            <w:r>
              <w:rPr>
                <w:rFonts w:ascii="宋体" w:hAnsi="宋体" w:cs="宋体" w:hint="eastAsia"/>
                <w:sz w:val="24"/>
              </w:rPr>
              <w:t>开户行</w:t>
            </w:r>
          </w:p>
        </w:tc>
        <w:tc>
          <w:tcPr>
            <w:tcW w:w="6287" w:type="dxa"/>
          </w:tcPr>
          <w:p w:rsidR="0081139D" w:rsidRDefault="00FA164F">
            <w:pPr>
              <w:pStyle w:val="a6"/>
              <w:spacing w:before="46" w:line="340" w:lineRule="auto"/>
              <w:rPr>
                <w:rFonts w:ascii="宋体" w:hAnsi="宋体" w:cs="宋体"/>
                <w:sz w:val="24"/>
              </w:rPr>
            </w:pPr>
            <w:r>
              <w:rPr>
                <w:rFonts w:ascii="宋体" w:hAnsi="宋体" w:cs="宋体" w:hint="eastAsia"/>
                <w:sz w:val="24"/>
              </w:rPr>
              <w:t>招商银行上海分行世纪大道支行</w:t>
            </w:r>
          </w:p>
        </w:tc>
      </w:tr>
      <w:tr w:rsidR="0081139D">
        <w:trPr>
          <w:jc w:val="center"/>
        </w:trPr>
        <w:tc>
          <w:tcPr>
            <w:tcW w:w="2117" w:type="dxa"/>
          </w:tcPr>
          <w:p w:rsidR="0081139D" w:rsidRDefault="00FA164F">
            <w:pPr>
              <w:pStyle w:val="a6"/>
              <w:spacing w:before="46" w:line="340" w:lineRule="auto"/>
              <w:jc w:val="center"/>
              <w:rPr>
                <w:rFonts w:ascii="宋体" w:hAnsi="宋体" w:cs="宋体"/>
                <w:sz w:val="24"/>
              </w:rPr>
            </w:pPr>
            <w:r>
              <w:rPr>
                <w:rFonts w:ascii="宋体" w:hAnsi="宋体" w:cs="宋体" w:hint="eastAsia"/>
                <w:sz w:val="24"/>
              </w:rPr>
              <w:t>账</w:t>
            </w:r>
            <w:r>
              <w:rPr>
                <w:rFonts w:ascii="宋体" w:hAnsi="宋体" w:cs="宋体" w:hint="eastAsia"/>
                <w:sz w:val="24"/>
              </w:rPr>
              <w:t xml:space="preserve">  </w:t>
            </w:r>
            <w:r>
              <w:rPr>
                <w:rFonts w:ascii="宋体" w:hAnsi="宋体" w:cs="宋体" w:hint="eastAsia"/>
                <w:sz w:val="24"/>
              </w:rPr>
              <w:t>号</w:t>
            </w:r>
          </w:p>
        </w:tc>
        <w:tc>
          <w:tcPr>
            <w:tcW w:w="6287" w:type="dxa"/>
          </w:tcPr>
          <w:p w:rsidR="0081139D" w:rsidRDefault="00FA164F">
            <w:pPr>
              <w:pStyle w:val="a6"/>
              <w:spacing w:before="46" w:line="340" w:lineRule="auto"/>
              <w:rPr>
                <w:rFonts w:ascii="宋体" w:hAnsi="宋体" w:cs="宋体"/>
                <w:sz w:val="24"/>
              </w:rPr>
            </w:pPr>
            <w:r>
              <w:rPr>
                <w:rFonts w:ascii="宋体" w:hAnsi="宋体" w:cs="宋体" w:hint="eastAsia"/>
                <w:sz w:val="24"/>
              </w:rPr>
              <w:t>121913930310834</w:t>
            </w:r>
          </w:p>
        </w:tc>
      </w:tr>
      <w:tr w:rsidR="0081139D">
        <w:trPr>
          <w:jc w:val="center"/>
        </w:trPr>
        <w:tc>
          <w:tcPr>
            <w:tcW w:w="8404" w:type="dxa"/>
            <w:gridSpan w:val="2"/>
          </w:tcPr>
          <w:p w:rsidR="0081139D" w:rsidRDefault="00FA164F">
            <w:pPr>
              <w:pStyle w:val="a6"/>
              <w:spacing w:before="46" w:line="340" w:lineRule="auto"/>
              <w:rPr>
                <w:rFonts w:ascii="宋体" w:hAnsi="宋体" w:cs="宋体"/>
                <w:sz w:val="24"/>
              </w:rPr>
            </w:pPr>
            <w:r>
              <w:rPr>
                <w:rFonts w:ascii="宋体" w:hAnsi="宋体" w:cs="宋体" w:hint="eastAsia"/>
                <w:sz w:val="24"/>
              </w:rPr>
              <w:t>直销专户二：交通银行</w:t>
            </w:r>
          </w:p>
        </w:tc>
      </w:tr>
      <w:tr w:rsidR="0081139D">
        <w:trPr>
          <w:jc w:val="center"/>
        </w:trPr>
        <w:tc>
          <w:tcPr>
            <w:tcW w:w="2117" w:type="dxa"/>
          </w:tcPr>
          <w:p w:rsidR="0081139D" w:rsidRDefault="00FA164F">
            <w:pPr>
              <w:pStyle w:val="a6"/>
              <w:spacing w:before="46" w:line="340" w:lineRule="auto"/>
              <w:jc w:val="center"/>
              <w:rPr>
                <w:rFonts w:ascii="宋体" w:hAnsi="宋体" w:cs="宋体"/>
                <w:sz w:val="24"/>
              </w:rPr>
            </w:pPr>
            <w:r>
              <w:rPr>
                <w:rFonts w:ascii="宋体" w:hAnsi="宋体" w:cs="宋体" w:hint="eastAsia"/>
                <w:sz w:val="24"/>
              </w:rPr>
              <w:t>账户名称</w:t>
            </w:r>
          </w:p>
        </w:tc>
        <w:tc>
          <w:tcPr>
            <w:tcW w:w="6287" w:type="dxa"/>
          </w:tcPr>
          <w:p w:rsidR="0081139D" w:rsidRDefault="00FA164F">
            <w:pPr>
              <w:pStyle w:val="a6"/>
              <w:spacing w:before="46" w:line="340" w:lineRule="auto"/>
              <w:rPr>
                <w:rFonts w:ascii="宋体" w:hAnsi="宋体" w:cs="宋体"/>
                <w:sz w:val="24"/>
              </w:rPr>
            </w:pPr>
            <w:r>
              <w:rPr>
                <w:rFonts w:ascii="宋体" w:hAnsi="宋体" w:cs="宋体" w:hint="eastAsia"/>
                <w:sz w:val="24"/>
              </w:rPr>
              <w:t>长江证券（上海）资产管理有限公司直销专户</w:t>
            </w:r>
          </w:p>
        </w:tc>
      </w:tr>
      <w:tr w:rsidR="0081139D">
        <w:trPr>
          <w:jc w:val="center"/>
        </w:trPr>
        <w:tc>
          <w:tcPr>
            <w:tcW w:w="2117" w:type="dxa"/>
          </w:tcPr>
          <w:p w:rsidR="0081139D" w:rsidRDefault="00FA164F">
            <w:pPr>
              <w:pStyle w:val="a6"/>
              <w:spacing w:before="46" w:line="340" w:lineRule="auto"/>
              <w:jc w:val="center"/>
              <w:rPr>
                <w:rFonts w:ascii="宋体" w:hAnsi="宋体" w:cs="宋体"/>
                <w:sz w:val="24"/>
              </w:rPr>
            </w:pPr>
            <w:r>
              <w:rPr>
                <w:rFonts w:ascii="宋体" w:hAnsi="宋体" w:cs="宋体" w:hint="eastAsia"/>
                <w:sz w:val="24"/>
              </w:rPr>
              <w:t>开户行</w:t>
            </w:r>
          </w:p>
        </w:tc>
        <w:tc>
          <w:tcPr>
            <w:tcW w:w="6287" w:type="dxa"/>
          </w:tcPr>
          <w:p w:rsidR="0081139D" w:rsidRDefault="00FA164F">
            <w:pPr>
              <w:pStyle w:val="a6"/>
              <w:spacing w:before="46" w:line="340" w:lineRule="auto"/>
              <w:rPr>
                <w:rFonts w:ascii="宋体" w:hAnsi="宋体" w:cs="宋体"/>
                <w:sz w:val="24"/>
              </w:rPr>
            </w:pPr>
            <w:r>
              <w:rPr>
                <w:rFonts w:ascii="宋体" w:hAnsi="宋体" w:cs="宋体" w:hint="eastAsia"/>
                <w:sz w:val="24"/>
              </w:rPr>
              <w:t>交通银行</w:t>
            </w:r>
            <w:r>
              <w:rPr>
                <w:rFonts w:ascii="宋体" w:hAnsi="宋体" w:cs="宋体" w:hint="eastAsia"/>
                <w:sz w:val="24"/>
              </w:rPr>
              <w:t>武汉</w:t>
            </w:r>
            <w:r>
              <w:rPr>
                <w:rFonts w:ascii="宋体" w:hAnsi="宋体" w:cs="宋体" w:hint="eastAsia"/>
                <w:sz w:val="24"/>
              </w:rPr>
              <w:t>江汉支行</w:t>
            </w:r>
          </w:p>
        </w:tc>
      </w:tr>
      <w:tr w:rsidR="0081139D">
        <w:trPr>
          <w:jc w:val="center"/>
        </w:trPr>
        <w:tc>
          <w:tcPr>
            <w:tcW w:w="2117" w:type="dxa"/>
          </w:tcPr>
          <w:p w:rsidR="0081139D" w:rsidRDefault="00FA164F">
            <w:pPr>
              <w:pStyle w:val="a6"/>
              <w:spacing w:before="46" w:line="340" w:lineRule="auto"/>
              <w:jc w:val="center"/>
              <w:rPr>
                <w:rFonts w:ascii="宋体" w:hAnsi="宋体" w:cs="宋体"/>
                <w:sz w:val="24"/>
              </w:rPr>
            </w:pPr>
            <w:r>
              <w:rPr>
                <w:rFonts w:ascii="宋体" w:hAnsi="宋体" w:cs="宋体" w:hint="eastAsia"/>
                <w:sz w:val="24"/>
              </w:rPr>
              <w:t>账</w:t>
            </w:r>
            <w:r>
              <w:rPr>
                <w:rFonts w:ascii="宋体" w:hAnsi="宋体" w:cs="宋体" w:hint="eastAsia"/>
                <w:sz w:val="24"/>
              </w:rPr>
              <w:t xml:space="preserve">  </w:t>
            </w:r>
            <w:r>
              <w:rPr>
                <w:rFonts w:ascii="宋体" w:hAnsi="宋体" w:cs="宋体" w:hint="eastAsia"/>
                <w:sz w:val="24"/>
              </w:rPr>
              <w:t>号</w:t>
            </w:r>
          </w:p>
        </w:tc>
        <w:tc>
          <w:tcPr>
            <w:tcW w:w="6287" w:type="dxa"/>
          </w:tcPr>
          <w:p w:rsidR="0081139D" w:rsidRDefault="00FA164F">
            <w:pPr>
              <w:pStyle w:val="a6"/>
              <w:spacing w:before="46" w:line="340" w:lineRule="auto"/>
              <w:rPr>
                <w:rFonts w:ascii="宋体" w:hAnsi="宋体" w:cs="宋体"/>
                <w:sz w:val="24"/>
              </w:rPr>
            </w:pPr>
            <w:r>
              <w:rPr>
                <w:rFonts w:ascii="宋体" w:hAnsi="宋体" w:cs="宋体"/>
                <w:sz w:val="24"/>
              </w:rPr>
              <w:t>421869232018800007653</w:t>
            </w:r>
          </w:p>
        </w:tc>
      </w:tr>
      <w:tr w:rsidR="0081139D">
        <w:trPr>
          <w:jc w:val="center"/>
        </w:trPr>
        <w:tc>
          <w:tcPr>
            <w:tcW w:w="8404" w:type="dxa"/>
            <w:gridSpan w:val="2"/>
          </w:tcPr>
          <w:p w:rsidR="0081139D" w:rsidRDefault="00FA164F">
            <w:pPr>
              <w:pStyle w:val="a6"/>
              <w:spacing w:before="46" w:line="340" w:lineRule="auto"/>
              <w:rPr>
                <w:rFonts w:ascii="宋体" w:hAnsi="宋体" w:cs="宋体"/>
                <w:sz w:val="24"/>
              </w:rPr>
            </w:pPr>
            <w:r>
              <w:rPr>
                <w:rFonts w:ascii="宋体" w:hAnsi="宋体" w:cs="宋体" w:hint="eastAsia"/>
                <w:sz w:val="24"/>
              </w:rPr>
              <w:t>直销专户三：交通银行</w:t>
            </w:r>
          </w:p>
        </w:tc>
      </w:tr>
      <w:tr w:rsidR="0081139D">
        <w:trPr>
          <w:jc w:val="center"/>
        </w:trPr>
        <w:tc>
          <w:tcPr>
            <w:tcW w:w="2117" w:type="dxa"/>
          </w:tcPr>
          <w:p w:rsidR="0081139D" w:rsidRDefault="00FA164F">
            <w:pPr>
              <w:pStyle w:val="a6"/>
              <w:spacing w:before="46" w:line="340" w:lineRule="auto"/>
              <w:jc w:val="center"/>
              <w:rPr>
                <w:rFonts w:ascii="宋体" w:hAnsi="宋体" w:cs="宋体"/>
                <w:sz w:val="24"/>
              </w:rPr>
            </w:pPr>
            <w:r>
              <w:rPr>
                <w:rFonts w:ascii="宋体" w:hAnsi="宋体" w:cs="宋体" w:hint="eastAsia"/>
                <w:sz w:val="24"/>
              </w:rPr>
              <w:t>账户名称</w:t>
            </w:r>
          </w:p>
        </w:tc>
        <w:tc>
          <w:tcPr>
            <w:tcW w:w="6287" w:type="dxa"/>
          </w:tcPr>
          <w:p w:rsidR="0081139D" w:rsidRDefault="00FA164F">
            <w:pPr>
              <w:pStyle w:val="a6"/>
              <w:spacing w:before="46" w:line="340" w:lineRule="auto"/>
              <w:rPr>
                <w:rFonts w:ascii="宋体" w:hAnsi="宋体" w:cs="宋体"/>
                <w:sz w:val="24"/>
              </w:rPr>
            </w:pPr>
            <w:r>
              <w:rPr>
                <w:rFonts w:ascii="宋体" w:hAnsi="宋体" w:cs="宋体" w:hint="eastAsia"/>
                <w:sz w:val="24"/>
              </w:rPr>
              <w:t>长江证券（上海）资产管理有限公司</w:t>
            </w:r>
          </w:p>
        </w:tc>
      </w:tr>
      <w:tr w:rsidR="0081139D">
        <w:trPr>
          <w:jc w:val="center"/>
        </w:trPr>
        <w:tc>
          <w:tcPr>
            <w:tcW w:w="2117" w:type="dxa"/>
          </w:tcPr>
          <w:p w:rsidR="0081139D" w:rsidRDefault="00FA164F">
            <w:pPr>
              <w:pStyle w:val="a6"/>
              <w:spacing w:before="46" w:line="340" w:lineRule="auto"/>
              <w:jc w:val="center"/>
              <w:rPr>
                <w:rFonts w:ascii="宋体" w:hAnsi="宋体" w:cs="宋体"/>
                <w:sz w:val="24"/>
              </w:rPr>
            </w:pPr>
            <w:r>
              <w:rPr>
                <w:rFonts w:ascii="宋体" w:hAnsi="宋体" w:cs="宋体" w:hint="eastAsia"/>
                <w:sz w:val="24"/>
              </w:rPr>
              <w:t>开户行</w:t>
            </w:r>
          </w:p>
        </w:tc>
        <w:tc>
          <w:tcPr>
            <w:tcW w:w="6287" w:type="dxa"/>
          </w:tcPr>
          <w:p w:rsidR="0081139D" w:rsidRDefault="00FA164F">
            <w:pPr>
              <w:pStyle w:val="a6"/>
              <w:spacing w:before="46" w:line="340" w:lineRule="auto"/>
              <w:rPr>
                <w:rFonts w:ascii="宋体" w:hAnsi="宋体" w:cs="宋体"/>
                <w:sz w:val="24"/>
              </w:rPr>
            </w:pPr>
            <w:r>
              <w:rPr>
                <w:rFonts w:ascii="宋体" w:hAnsi="宋体" w:cs="宋体" w:hint="eastAsia"/>
                <w:sz w:val="24"/>
              </w:rPr>
              <w:t>交通银行上海市分行营业部</w:t>
            </w:r>
          </w:p>
        </w:tc>
      </w:tr>
      <w:tr w:rsidR="0081139D">
        <w:trPr>
          <w:jc w:val="center"/>
        </w:trPr>
        <w:tc>
          <w:tcPr>
            <w:tcW w:w="2117" w:type="dxa"/>
          </w:tcPr>
          <w:p w:rsidR="0081139D" w:rsidRDefault="00FA164F">
            <w:pPr>
              <w:pStyle w:val="a6"/>
              <w:spacing w:before="46" w:line="340" w:lineRule="auto"/>
              <w:jc w:val="center"/>
              <w:rPr>
                <w:rFonts w:ascii="宋体" w:hAnsi="宋体" w:cs="宋体"/>
                <w:sz w:val="24"/>
              </w:rPr>
            </w:pPr>
            <w:r>
              <w:rPr>
                <w:rFonts w:ascii="宋体" w:hAnsi="宋体" w:cs="宋体" w:hint="eastAsia"/>
                <w:sz w:val="24"/>
              </w:rPr>
              <w:t>账</w:t>
            </w:r>
            <w:r>
              <w:rPr>
                <w:rFonts w:ascii="宋体" w:hAnsi="宋体" w:cs="宋体" w:hint="eastAsia"/>
                <w:sz w:val="24"/>
              </w:rPr>
              <w:t xml:space="preserve">  </w:t>
            </w:r>
            <w:r>
              <w:rPr>
                <w:rFonts w:ascii="宋体" w:hAnsi="宋体" w:cs="宋体" w:hint="eastAsia"/>
                <w:sz w:val="24"/>
              </w:rPr>
              <w:t>号</w:t>
            </w:r>
          </w:p>
        </w:tc>
        <w:tc>
          <w:tcPr>
            <w:tcW w:w="6287" w:type="dxa"/>
          </w:tcPr>
          <w:p w:rsidR="0081139D" w:rsidRDefault="00FA164F">
            <w:pPr>
              <w:pStyle w:val="a6"/>
              <w:spacing w:before="46" w:line="340" w:lineRule="auto"/>
              <w:rPr>
                <w:rFonts w:ascii="宋体" w:hAnsi="宋体" w:cs="宋体"/>
                <w:sz w:val="24"/>
              </w:rPr>
            </w:pPr>
            <w:r>
              <w:rPr>
                <w:rFonts w:ascii="宋体" w:hAnsi="宋体" w:cs="宋体"/>
                <w:sz w:val="24"/>
              </w:rPr>
              <w:t>310066661018800167964</w:t>
            </w:r>
          </w:p>
        </w:tc>
      </w:tr>
    </w:tbl>
    <w:p w:rsidR="0081139D" w:rsidRDefault="00FA164F">
      <w:pPr>
        <w:tabs>
          <w:tab w:val="left" w:pos="900"/>
        </w:tabs>
        <w:spacing w:line="360" w:lineRule="auto"/>
        <w:rPr>
          <w:rFonts w:ascii="宋体" w:hAnsi="宋体"/>
          <w:sz w:val="24"/>
        </w:rPr>
      </w:pPr>
      <w:r>
        <w:rPr>
          <w:rFonts w:ascii="宋体" w:hAnsi="宋体" w:hint="eastAsia"/>
          <w:sz w:val="24"/>
        </w:rPr>
        <w:t xml:space="preserve">    </w:t>
      </w:r>
      <w:r>
        <w:rPr>
          <w:rFonts w:ascii="宋体" w:hAnsi="宋体" w:hint="eastAsia"/>
          <w:sz w:val="24"/>
        </w:rPr>
        <w:t>机构投资者在填写银行划款凭证时，请写明用途。</w:t>
      </w:r>
    </w:p>
    <w:p w:rsidR="0081139D" w:rsidRDefault="00FA164F">
      <w:pPr>
        <w:tabs>
          <w:tab w:val="left" w:pos="900"/>
        </w:tabs>
        <w:spacing w:line="360" w:lineRule="auto"/>
        <w:rPr>
          <w:rFonts w:ascii="宋体" w:hAnsi="宋体"/>
          <w:sz w:val="24"/>
        </w:rPr>
      </w:pPr>
      <w:r>
        <w:rPr>
          <w:rFonts w:ascii="宋体" w:hAnsi="宋体" w:hint="eastAsia"/>
          <w:sz w:val="24"/>
        </w:rPr>
        <w:t xml:space="preserve">    </w:t>
      </w:r>
      <w:r>
        <w:rPr>
          <w:rFonts w:ascii="宋体" w:hAnsi="宋体" w:hint="eastAsia"/>
          <w:sz w:val="24"/>
        </w:rPr>
        <w:t>投资者若未按上述办法划付认购款项，造成当日认购失败的，本公司及直销专户的开户银行不承担任何责任。</w:t>
      </w:r>
    </w:p>
    <w:p w:rsidR="0081139D" w:rsidRDefault="00FA164F">
      <w:pPr>
        <w:numPr>
          <w:ilvl w:val="0"/>
          <w:numId w:val="3"/>
        </w:numPr>
        <w:tabs>
          <w:tab w:val="clear" w:pos="1417"/>
          <w:tab w:val="left" w:pos="1281"/>
        </w:tabs>
        <w:spacing w:line="360" w:lineRule="auto"/>
        <w:ind w:left="1281"/>
        <w:rPr>
          <w:rFonts w:ascii="宋体" w:hAnsi="宋体"/>
          <w:b/>
          <w:bCs/>
          <w:kern w:val="0"/>
          <w:sz w:val="28"/>
          <w:szCs w:val="28"/>
        </w:rPr>
      </w:pPr>
      <w:r>
        <w:rPr>
          <w:rFonts w:ascii="宋体" w:hAnsi="宋体"/>
          <w:b/>
          <w:bCs/>
          <w:kern w:val="0"/>
          <w:sz w:val="28"/>
          <w:szCs w:val="28"/>
        </w:rPr>
        <w:t>注意事项</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、投资者不得非法利用他人账户或资金进行认购，也不得违规融资或帮助他人违规进行认购；</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、投资者不能直接以现金方式认购；</w:t>
      </w:r>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、在本公司直销柜台开户的投资者必须指定一个银行账户作为投资基金的结算账户，投资者后续赎回、分红及无效认（申）购的资金退款等资金结算均只能通过此账户进行。</w:t>
      </w:r>
    </w:p>
    <w:p w:rsidR="0081139D" w:rsidRDefault="00FA164F">
      <w:pPr>
        <w:pStyle w:val="1"/>
        <w:spacing w:before="200" w:after="200" w:line="240" w:lineRule="auto"/>
        <w:ind w:firstLineChars="200" w:firstLine="602"/>
        <w:rPr>
          <w:rFonts w:ascii="宋体" w:eastAsia="宋体" w:hAnsi="宋体"/>
          <w:sz w:val="30"/>
          <w:szCs w:val="30"/>
        </w:rPr>
      </w:pPr>
      <w:bookmarkStart w:id="43" w:name="_Toc488930843"/>
      <w:bookmarkStart w:id="44" w:name="_Toc23156"/>
      <w:bookmarkStart w:id="45" w:name="_Toc12260"/>
      <w:bookmarkStart w:id="46" w:name="_Toc43727005"/>
      <w:bookmarkStart w:id="47" w:name="_Toc6959"/>
      <w:bookmarkStart w:id="48" w:name="_Toc22342"/>
      <w:r>
        <w:rPr>
          <w:rFonts w:ascii="宋体" w:eastAsia="宋体" w:hAnsi="宋体" w:hint="eastAsia"/>
          <w:sz w:val="30"/>
          <w:szCs w:val="30"/>
        </w:rPr>
        <w:t>四、</w:t>
      </w:r>
      <w:bookmarkStart w:id="49" w:name="_Toc13883"/>
      <w:bookmarkStart w:id="50" w:name="_Toc5956"/>
      <w:bookmarkStart w:id="51" w:name="_Toc4285"/>
      <w:bookmarkStart w:id="52" w:name="_Toc43727006"/>
      <w:bookmarkStart w:id="53" w:name="_Toc488930844"/>
      <w:bookmarkEnd w:id="43"/>
      <w:bookmarkEnd w:id="44"/>
      <w:bookmarkEnd w:id="45"/>
      <w:bookmarkEnd w:id="46"/>
      <w:bookmarkEnd w:id="47"/>
      <w:r>
        <w:rPr>
          <w:rFonts w:ascii="宋体" w:eastAsia="宋体" w:hAnsi="宋体" w:hint="eastAsia"/>
          <w:sz w:val="30"/>
          <w:szCs w:val="30"/>
        </w:rPr>
        <w:t>基金管理人</w:t>
      </w:r>
      <w:r>
        <w:rPr>
          <w:rFonts w:ascii="宋体" w:eastAsia="宋体" w:hAnsi="宋体" w:hint="eastAsia"/>
          <w:sz w:val="30"/>
          <w:szCs w:val="30"/>
        </w:rPr>
        <w:t>网上交易系统的开户与认购程序</w:t>
      </w:r>
      <w:bookmarkEnd w:id="48"/>
    </w:p>
    <w:p w:rsidR="0081139D" w:rsidRDefault="00FA164F">
      <w:pPr>
        <w:tabs>
          <w:tab w:val="left" w:pos="900"/>
        </w:tabs>
        <w:spacing w:line="360" w:lineRule="auto"/>
        <w:ind w:firstLineChars="200" w:firstLine="480"/>
        <w:rPr>
          <w:rFonts w:ascii="宋体" w:hAnsi="宋体"/>
          <w:sz w:val="24"/>
        </w:rPr>
      </w:pPr>
      <w:r>
        <w:rPr>
          <w:rFonts w:ascii="宋体" w:hAnsi="宋体" w:hint="eastAsia"/>
          <w:sz w:val="24"/>
        </w:rPr>
        <w:t>基金管理人网上</w:t>
      </w:r>
      <w:r>
        <w:rPr>
          <w:rFonts w:ascii="宋体" w:hAnsi="宋体" w:hint="eastAsia"/>
          <w:sz w:val="24"/>
        </w:rPr>
        <w:t>交易</w:t>
      </w:r>
      <w:r>
        <w:rPr>
          <w:rFonts w:ascii="宋体" w:hAnsi="宋体" w:hint="eastAsia"/>
          <w:sz w:val="24"/>
        </w:rPr>
        <w:t>系统仅对个人投资者开放。个人投资者可登陆基金管理人微信</w:t>
      </w:r>
      <w:r>
        <w:rPr>
          <w:rFonts w:ascii="宋体" w:hAnsi="宋体" w:hint="eastAsia"/>
          <w:sz w:val="24"/>
        </w:rPr>
        <w:t>服务</w:t>
      </w:r>
      <w:r>
        <w:rPr>
          <w:rFonts w:ascii="宋体" w:hAnsi="宋体" w:hint="eastAsia"/>
          <w:sz w:val="24"/>
        </w:rPr>
        <w:t>号</w:t>
      </w:r>
      <w:r>
        <w:rPr>
          <w:rFonts w:ascii="宋体" w:hAnsi="宋体" w:hint="eastAsia"/>
          <w:sz w:val="24"/>
        </w:rPr>
        <w:t>“长江资管”（</w:t>
      </w:r>
      <w:r>
        <w:rPr>
          <w:rFonts w:ascii="宋体" w:hAnsi="宋体" w:hint="eastAsia"/>
          <w:sz w:val="24"/>
        </w:rPr>
        <w:t>cjsczcgl</w:t>
      </w:r>
      <w:r>
        <w:rPr>
          <w:rFonts w:ascii="宋体" w:hAnsi="宋体" w:hint="eastAsia"/>
          <w:sz w:val="24"/>
        </w:rPr>
        <w:t>）</w:t>
      </w:r>
      <w:r>
        <w:rPr>
          <w:rFonts w:ascii="宋体" w:hAnsi="宋体" w:hint="eastAsia"/>
          <w:sz w:val="24"/>
        </w:rPr>
        <w:t>,</w:t>
      </w:r>
      <w:r>
        <w:rPr>
          <w:rFonts w:ascii="宋体" w:hAnsi="宋体" w:hint="eastAsia"/>
          <w:sz w:val="24"/>
        </w:rPr>
        <w:t>在与基金管理人达成网上交易的相关协议、接受基金管理人有关服务条款、</w:t>
      </w:r>
      <w:r>
        <w:rPr>
          <w:rFonts w:ascii="宋体" w:hAnsi="宋体" w:hint="eastAsia"/>
          <w:sz w:val="24"/>
        </w:rPr>
        <w:t>了解</w:t>
      </w:r>
      <w:r>
        <w:rPr>
          <w:rFonts w:ascii="宋体" w:hAnsi="宋体" w:hint="eastAsia"/>
          <w:sz w:val="24"/>
        </w:rPr>
        <w:t>本基金网上交易的具体业务规则后</w:t>
      </w:r>
      <w:r>
        <w:rPr>
          <w:rFonts w:ascii="宋体" w:hAnsi="宋体" w:hint="eastAsia"/>
          <w:sz w:val="24"/>
        </w:rPr>
        <w:t>,</w:t>
      </w:r>
      <w:r>
        <w:rPr>
          <w:rFonts w:ascii="宋体" w:hAnsi="宋体" w:hint="eastAsia"/>
          <w:sz w:val="24"/>
        </w:rPr>
        <w:t>按照网上交易业务流程办理本基金的开户及认购等业务。</w:t>
      </w:r>
    </w:p>
    <w:p w:rsidR="0081139D" w:rsidRDefault="00FA164F">
      <w:pPr>
        <w:tabs>
          <w:tab w:val="left" w:pos="900"/>
        </w:tabs>
        <w:spacing w:line="360" w:lineRule="auto"/>
        <w:ind w:firstLineChars="200" w:firstLine="480"/>
        <w:rPr>
          <w:rFonts w:ascii="宋体" w:hAnsi="宋体"/>
          <w:sz w:val="24"/>
        </w:rPr>
      </w:pPr>
      <w:r>
        <w:rPr>
          <w:rFonts w:ascii="宋体" w:hAnsi="宋体" w:hint="eastAsia"/>
          <w:sz w:val="24"/>
        </w:rPr>
        <w:t>基金管理人网上</w:t>
      </w:r>
      <w:r>
        <w:rPr>
          <w:rFonts w:ascii="宋体" w:hAnsi="宋体" w:hint="eastAsia"/>
          <w:sz w:val="24"/>
        </w:rPr>
        <w:t>交易</w:t>
      </w:r>
      <w:r>
        <w:rPr>
          <w:rFonts w:ascii="宋体" w:hAnsi="宋体" w:hint="eastAsia"/>
          <w:sz w:val="24"/>
        </w:rPr>
        <w:t>系统在</w:t>
      </w:r>
      <w:r>
        <w:rPr>
          <w:rFonts w:ascii="宋体" w:hAnsi="宋体" w:hint="eastAsia"/>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8</w:t>
      </w:r>
      <w:r>
        <w:rPr>
          <w:rFonts w:ascii="宋体" w:hAnsi="宋体" w:hint="eastAsia"/>
          <w:sz w:val="24"/>
        </w:rPr>
        <w:t>日至</w:t>
      </w:r>
      <w:r>
        <w:rPr>
          <w:rFonts w:ascii="宋体" w:hAnsi="宋体" w:hint="eastAsia"/>
          <w:sz w:val="24"/>
        </w:rPr>
        <w:t>2025</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31</w:t>
      </w:r>
      <w:r>
        <w:rPr>
          <w:rFonts w:ascii="宋体" w:hAnsi="宋体" w:hint="eastAsia"/>
          <w:sz w:val="24"/>
        </w:rPr>
        <w:t>日</w:t>
      </w:r>
      <w:r>
        <w:rPr>
          <w:rFonts w:ascii="宋体" w:hAnsi="宋体" w:hint="eastAsia"/>
          <w:sz w:val="24"/>
        </w:rPr>
        <w:t>9:00</w:t>
      </w:r>
      <w:r>
        <w:rPr>
          <w:rFonts w:ascii="宋体" w:hAnsi="宋体" w:hint="eastAsia"/>
          <w:sz w:val="24"/>
        </w:rPr>
        <w:t>至</w:t>
      </w:r>
      <w:r>
        <w:rPr>
          <w:rFonts w:ascii="宋体" w:hAnsi="宋体" w:hint="eastAsia"/>
          <w:sz w:val="24"/>
        </w:rPr>
        <w:t>17:00</w:t>
      </w:r>
      <w:r>
        <w:rPr>
          <w:rFonts w:ascii="宋体" w:hAnsi="宋体" w:hint="eastAsia"/>
          <w:sz w:val="24"/>
        </w:rPr>
        <w:t>受理客户对本基金的认购申请。</w:t>
      </w:r>
    </w:p>
    <w:p w:rsidR="0081139D" w:rsidRDefault="00FA164F">
      <w:pPr>
        <w:tabs>
          <w:tab w:val="left" w:pos="900"/>
        </w:tabs>
        <w:spacing w:line="360" w:lineRule="auto"/>
        <w:ind w:firstLineChars="200" w:firstLine="480"/>
        <w:rPr>
          <w:rFonts w:ascii="宋体" w:hAnsi="宋体"/>
          <w:sz w:val="24"/>
        </w:rPr>
      </w:pPr>
      <w:r>
        <w:rPr>
          <w:rFonts w:ascii="宋体" w:hAnsi="宋体" w:hint="eastAsia"/>
          <w:sz w:val="24"/>
        </w:rPr>
        <w:t>投资者通过基金管理人网上交易</w:t>
      </w:r>
      <w:r>
        <w:rPr>
          <w:rFonts w:ascii="宋体" w:hAnsi="宋体" w:hint="eastAsia"/>
          <w:sz w:val="24"/>
        </w:rPr>
        <w:t>系统</w:t>
      </w:r>
      <w:r>
        <w:rPr>
          <w:rFonts w:ascii="宋体" w:hAnsi="宋体" w:hint="eastAsia"/>
          <w:sz w:val="24"/>
        </w:rPr>
        <w:t>认购本基金的具体业务流程及规则以网上交易实际流程和规则为准。</w:t>
      </w:r>
    </w:p>
    <w:p w:rsidR="0081139D" w:rsidRDefault="00FA164F">
      <w:pPr>
        <w:pStyle w:val="1"/>
        <w:spacing w:before="200" w:after="200" w:line="240" w:lineRule="auto"/>
        <w:ind w:firstLineChars="200" w:firstLine="602"/>
        <w:rPr>
          <w:rFonts w:ascii="宋体" w:eastAsia="宋体" w:hAnsi="宋体"/>
          <w:sz w:val="30"/>
          <w:szCs w:val="30"/>
        </w:rPr>
      </w:pPr>
      <w:bookmarkStart w:id="54" w:name="_Toc32424"/>
      <w:r>
        <w:rPr>
          <w:rFonts w:ascii="宋体" w:eastAsia="宋体" w:hAnsi="宋体" w:hint="eastAsia"/>
          <w:sz w:val="30"/>
          <w:szCs w:val="30"/>
        </w:rPr>
        <w:t>五、</w:t>
      </w:r>
      <w:r>
        <w:rPr>
          <w:rFonts w:ascii="宋体" w:eastAsia="宋体" w:hAnsi="宋体" w:hint="eastAsia"/>
          <w:sz w:val="30"/>
          <w:szCs w:val="30"/>
        </w:rPr>
        <w:t>其他销售机构的开户与认购程序</w:t>
      </w:r>
      <w:bookmarkEnd w:id="49"/>
      <w:bookmarkEnd w:id="50"/>
      <w:bookmarkEnd w:id="51"/>
      <w:bookmarkEnd w:id="52"/>
      <w:bookmarkEnd w:id="54"/>
    </w:p>
    <w:p w:rsidR="0081139D" w:rsidRDefault="00FA164F">
      <w:pPr>
        <w:adjustRightInd w:val="0"/>
        <w:snapToGrid w:val="0"/>
        <w:spacing w:line="360" w:lineRule="auto"/>
        <w:ind w:firstLineChars="200" w:firstLine="480"/>
        <w:rPr>
          <w:rFonts w:ascii="宋体" w:hAnsi="宋体"/>
          <w:sz w:val="24"/>
        </w:rPr>
      </w:pPr>
      <w:r>
        <w:rPr>
          <w:rFonts w:ascii="宋体" w:hAnsi="宋体" w:hint="eastAsia"/>
          <w:sz w:val="24"/>
        </w:rPr>
        <w:t>投资者通过基金管理人以外的其他销售机构办理开户及认购的手续以各销售机构的规定为准。</w:t>
      </w:r>
    </w:p>
    <w:p w:rsidR="0081139D" w:rsidRDefault="00FA164F">
      <w:pPr>
        <w:pStyle w:val="1"/>
        <w:spacing w:before="200" w:after="200" w:line="240" w:lineRule="auto"/>
        <w:ind w:firstLineChars="200" w:firstLine="602"/>
        <w:rPr>
          <w:rFonts w:ascii="宋体" w:eastAsia="宋体" w:hAnsi="宋体"/>
          <w:sz w:val="30"/>
          <w:szCs w:val="30"/>
        </w:rPr>
      </w:pPr>
      <w:bookmarkStart w:id="55" w:name="_Toc30749"/>
      <w:bookmarkStart w:id="56" w:name="_Toc11633"/>
      <w:bookmarkStart w:id="57" w:name="_Toc43727007"/>
      <w:bookmarkStart w:id="58" w:name="_Toc13146"/>
      <w:bookmarkStart w:id="59" w:name="_Toc24680"/>
      <w:r>
        <w:rPr>
          <w:rFonts w:ascii="宋体" w:eastAsia="宋体" w:hAnsi="宋体" w:hint="eastAsia"/>
          <w:sz w:val="30"/>
          <w:szCs w:val="30"/>
        </w:rPr>
        <w:t>六</w:t>
      </w:r>
      <w:r>
        <w:rPr>
          <w:rFonts w:ascii="宋体" w:eastAsia="宋体" w:hAnsi="宋体" w:hint="eastAsia"/>
          <w:sz w:val="30"/>
          <w:szCs w:val="30"/>
        </w:rPr>
        <w:t>、清算与交割</w:t>
      </w:r>
      <w:bookmarkEnd w:id="53"/>
      <w:bookmarkEnd w:id="55"/>
      <w:bookmarkEnd w:id="56"/>
      <w:bookmarkEnd w:id="57"/>
      <w:bookmarkEnd w:id="58"/>
      <w:bookmarkEnd w:id="59"/>
    </w:p>
    <w:p w:rsidR="0081139D" w:rsidRDefault="00FA164F">
      <w:pPr>
        <w:spacing w:line="360" w:lineRule="auto"/>
        <w:ind w:firstLineChars="200" w:firstLine="480"/>
        <w:rPr>
          <w:rFonts w:ascii="宋体" w:hAnsi="宋体"/>
          <w:sz w:val="24"/>
        </w:rPr>
      </w:pPr>
      <w:r>
        <w:rPr>
          <w:rFonts w:ascii="宋体" w:hAnsi="宋体" w:hint="eastAsia"/>
          <w:sz w:val="24"/>
        </w:rPr>
        <w:t>（一）基金募集期间募集的资金存入专门账户，在基金募集行为结束前，任何人不得动用。</w:t>
      </w:r>
    </w:p>
    <w:p w:rsidR="0081139D" w:rsidRDefault="00FA164F">
      <w:pPr>
        <w:spacing w:line="360" w:lineRule="auto"/>
        <w:ind w:firstLineChars="200" w:firstLine="480"/>
        <w:rPr>
          <w:rFonts w:ascii="宋体" w:hAnsi="宋体"/>
          <w:sz w:val="24"/>
        </w:rPr>
      </w:pPr>
      <w:r>
        <w:rPr>
          <w:rFonts w:ascii="宋体" w:hAnsi="宋体" w:hint="eastAsia"/>
          <w:sz w:val="24"/>
        </w:rPr>
        <w:t>（二）本基金的有效认购款项在募集期间产生的利息将折算为基金份额，归基金份额持有人所有，其中利息转份额以登记机构的记录为准。利息折算份额不收取认购费。</w:t>
      </w:r>
    </w:p>
    <w:p w:rsidR="0081139D" w:rsidRDefault="00FA164F">
      <w:pPr>
        <w:spacing w:line="360" w:lineRule="auto"/>
        <w:ind w:firstLineChars="200" w:firstLine="480"/>
        <w:rPr>
          <w:rFonts w:ascii="宋体" w:hAnsi="宋体"/>
          <w:sz w:val="24"/>
        </w:rPr>
      </w:pPr>
      <w:r>
        <w:rPr>
          <w:rFonts w:ascii="宋体" w:hAnsi="宋体" w:hint="eastAsia"/>
          <w:sz w:val="24"/>
        </w:rPr>
        <w:t>（三）投资者通过销售机构进行认购时产生的无效认购资金，基金管理人将于认购申请被确认无效之日起三个工作日内向销售机构划出。投资者通过基金管理人进行认购时</w:t>
      </w:r>
      <w:r>
        <w:rPr>
          <w:rFonts w:ascii="宋体" w:hAnsi="宋体" w:hint="eastAsia"/>
          <w:sz w:val="24"/>
        </w:rPr>
        <w:t>产生的无效认购资金在认购结束后三个工作日内向投资者的指定银行账户划出。</w:t>
      </w:r>
    </w:p>
    <w:p w:rsidR="0081139D" w:rsidRDefault="00FA164F">
      <w:pPr>
        <w:spacing w:line="360" w:lineRule="auto"/>
        <w:ind w:firstLineChars="200" w:firstLine="480"/>
        <w:rPr>
          <w:rFonts w:ascii="宋体" w:hAnsi="宋体"/>
          <w:sz w:val="24"/>
        </w:rPr>
      </w:pPr>
      <w:r>
        <w:rPr>
          <w:rFonts w:ascii="宋体" w:hAnsi="宋体" w:hint="eastAsia"/>
          <w:sz w:val="24"/>
        </w:rPr>
        <w:t>（四）投资者在</w:t>
      </w:r>
      <w:r>
        <w:rPr>
          <w:rFonts w:ascii="宋体" w:hAnsi="宋体" w:hint="eastAsia"/>
          <w:sz w:val="24"/>
        </w:rPr>
        <w:t>T</w:t>
      </w:r>
      <w:r>
        <w:rPr>
          <w:rFonts w:ascii="宋体" w:hAnsi="宋体" w:hint="eastAsia"/>
          <w:sz w:val="24"/>
        </w:rPr>
        <w:t>日规定时间内提交的认购申请，应于</w:t>
      </w:r>
      <w:r>
        <w:rPr>
          <w:rFonts w:ascii="宋体" w:hAnsi="宋体" w:hint="eastAsia"/>
          <w:sz w:val="24"/>
        </w:rPr>
        <w:t>T+2</w:t>
      </w:r>
      <w:r>
        <w:rPr>
          <w:rFonts w:ascii="宋体" w:hAnsi="宋体" w:hint="eastAsia"/>
          <w:sz w:val="24"/>
        </w:rPr>
        <w:t>日（包括该日）后及时在原申请网点或通过销售机构提供的其他方式查询认购申请是否被成功受理。</w:t>
      </w:r>
      <w:r>
        <w:rPr>
          <w:rFonts w:hint="eastAsia"/>
          <w:kern w:val="0"/>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否则，由此产生的投资人任何损失由投资人自行承担。</w:t>
      </w:r>
      <w:r>
        <w:rPr>
          <w:rFonts w:ascii="宋体" w:hAnsi="宋体" w:hint="eastAsia"/>
          <w:sz w:val="24"/>
        </w:rPr>
        <w:t>本基金权益登记由基金注册登记机构在募集结束后完成。投资者应在</w:t>
      </w:r>
      <w:r>
        <w:rPr>
          <w:rFonts w:ascii="宋体" w:hAnsi="宋体" w:hint="eastAsia"/>
          <w:sz w:val="24"/>
        </w:rPr>
        <w:t>基金合同生效后，</w:t>
      </w:r>
      <w:r>
        <w:rPr>
          <w:kern w:val="0"/>
          <w:sz w:val="24"/>
        </w:rPr>
        <w:t>及时在原申请网点或通过</w:t>
      </w:r>
      <w:r>
        <w:rPr>
          <w:rFonts w:hint="eastAsia"/>
          <w:kern w:val="0"/>
          <w:sz w:val="24"/>
        </w:rPr>
        <w:t>销售机构</w:t>
      </w:r>
      <w:r>
        <w:rPr>
          <w:kern w:val="0"/>
          <w:sz w:val="24"/>
        </w:rPr>
        <w:t>提供的其他方式查询认购确认份额</w:t>
      </w:r>
      <w:r>
        <w:rPr>
          <w:rFonts w:ascii="宋体" w:hAnsi="宋体" w:hint="eastAsia"/>
          <w:sz w:val="24"/>
        </w:rPr>
        <w:t>。</w:t>
      </w:r>
    </w:p>
    <w:p w:rsidR="0081139D" w:rsidRDefault="00FA164F">
      <w:pPr>
        <w:pStyle w:val="1"/>
        <w:spacing w:before="200" w:after="200" w:line="240" w:lineRule="auto"/>
        <w:ind w:firstLineChars="200" w:firstLine="602"/>
        <w:rPr>
          <w:rFonts w:ascii="宋体" w:eastAsia="宋体" w:hAnsi="宋体"/>
          <w:sz w:val="30"/>
          <w:szCs w:val="30"/>
        </w:rPr>
      </w:pPr>
      <w:bookmarkStart w:id="60" w:name="_Toc18446"/>
      <w:bookmarkStart w:id="61" w:name="_Toc7455"/>
      <w:bookmarkStart w:id="62" w:name="_Toc43727008"/>
      <w:bookmarkStart w:id="63" w:name="_Toc488930845"/>
      <w:bookmarkStart w:id="64" w:name="_Toc6581"/>
      <w:bookmarkStart w:id="65" w:name="_Toc8406"/>
      <w:bookmarkEnd w:id="42"/>
      <w:r>
        <w:rPr>
          <w:rFonts w:ascii="宋体" w:eastAsia="宋体" w:hAnsi="宋体" w:hint="eastAsia"/>
          <w:sz w:val="30"/>
          <w:szCs w:val="30"/>
        </w:rPr>
        <w:t>七</w:t>
      </w:r>
      <w:r>
        <w:rPr>
          <w:rFonts w:ascii="宋体" w:eastAsia="宋体" w:hAnsi="宋体" w:hint="eastAsia"/>
          <w:sz w:val="30"/>
          <w:szCs w:val="30"/>
        </w:rPr>
        <w:t>、基金的验资与基金合同生效</w:t>
      </w:r>
      <w:bookmarkEnd w:id="60"/>
      <w:bookmarkEnd w:id="61"/>
      <w:bookmarkEnd w:id="62"/>
      <w:bookmarkEnd w:id="63"/>
      <w:bookmarkEnd w:id="64"/>
      <w:bookmarkEnd w:id="65"/>
    </w:p>
    <w:p w:rsidR="0081139D" w:rsidRDefault="00FA164F">
      <w:pPr>
        <w:spacing w:line="360" w:lineRule="auto"/>
        <w:ind w:firstLineChars="200" w:firstLine="480"/>
        <w:rPr>
          <w:rFonts w:ascii="宋体" w:hAnsi="宋体"/>
          <w:sz w:val="24"/>
        </w:rPr>
      </w:pPr>
      <w:bookmarkStart w:id="66" w:name="_Hlk98928195"/>
      <w:r>
        <w:rPr>
          <w:rFonts w:ascii="宋体" w:hAnsi="宋体" w:hint="eastAsia"/>
          <w:sz w:val="24"/>
        </w:rPr>
        <w:t>本基金自基金份额发售之日起</w:t>
      </w:r>
      <w:r>
        <w:rPr>
          <w:rFonts w:ascii="宋体" w:hAnsi="宋体" w:hint="eastAsia"/>
          <w:sz w:val="24"/>
        </w:rPr>
        <w:t>3</w:t>
      </w:r>
      <w:r>
        <w:rPr>
          <w:rFonts w:ascii="宋体" w:hAnsi="宋体" w:hint="eastAsia"/>
          <w:sz w:val="24"/>
        </w:rPr>
        <w:t>个月内，在基金募集份额总额不少于</w:t>
      </w:r>
      <w:r>
        <w:rPr>
          <w:rFonts w:ascii="宋体" w:hAnsi="宋体" w:hint="eastAsia"/>
          <w:sz w:val="24"/>
        </w:rPr>
        <w:t>1,000</w:t>
      </w:r>
      <w:r>
        <w:rPr>
          <w:rFonts w:ascii="宋体" w:hAnsi="宋体" w:hint="eastAsia"/>
          <w:sz w:val="24"/>
        </w:rPr>
        <w:t>万份，基金募集金额不少于</w:t>
      </w:r>
      <w:r>
        <w:rPr>
          <w:rFonts w:ascii="宋体" w:hAnsi="宋体" w:hint="eastAsia"/>
          <w:sz w:val="24"/>
        </w:rPr>
        <w:t>1,000</w:t>
      </w:r>
      <w:r>
        <w:rPr>
          <w:rFonts w:ascii="宋体" w:hAnsi="宋体" w:hint="eastAsia"/>
          <w:sz w:val="24"/>
        </w:rPr>
        <w:t>万元人民币（其中发起资金提供方使用发起资金认购本基金的金额合计不少于</w:t>
      </w:r>
      <w:r>
        <w:rPr>
          <w:rFonts w:ascii="宋体" w:hAnsi="宋体" w:hint="eastAsia"/>
          <w:sz w:val="24"/>
        </w:rPr>
        <w:t>1,000</w:t>
      </w:r>
      <w:r>
        <w:rPr>
          <w:rFonts w:ascii="宋体" w:hAnsi="宋体" w:hint="eastAsia"/>
          <w:sz w:val="24"/>
        </w:rPr>
        <w:t>万元，发起资金提供方承诺其认购的基金份额的持有期限不少于</w:t>
      </w:r>
      <w:r>
        <w:rPr>
          <w:rFonts w:ascii="宋体" w:hAnsi="宋体" w:hint="eastAsia"/>
          <w:sz w:val="24"/>
        </w:rPr>
        <w:t>3</w:t>
      </w:r>
      <w:r>
        <w:rPr>
          <w:rFonts w:ascii="宋体" w:hAnsi="宋体" w:hint="eastAsia"/>
          <w:sz w:val="24"/>
        </w:rPr>
        <w:t>年）的条件下，基金募集期届满或基金管理人依据法律法规及招募说明书可以决定停止基金发售，并在</w:t>
      </w:r>
      <w:r>
        <w:rPr>
          <w:rFonts w:ascii="宋体" w:hAnsi="宋体" w:hint="eastAsia"/>
          <w:sz w:val="24"/>
        </w:rPr>
        <w:t>10</w:t>
      </w:r>
      <w:r>
        <w:rPr>
          <w:rFonts w:ascii="宋体" w:hAnsi="宋体" w:hint="eastAsia"/>
          <w:sz w:val="24"/>
        </w:rPr>
        <w:t>日内聘请法定验资机构验资，验资机构需在验资报告中对发起资金提供方及其持有份额进行专门说明。基金管理人自收到验资报告之日起</w:t>
      </w:r>
      <w:r>
        <w:rPr>
          <w:rFonts w:ascii="宋体" w:hAnsi="宋体" w:hint="eastAsia"/>
          <w:sz w:val="24"/>
        </w:rPr>
        <w:t>10</w:t>
      </w:r>
      <w:r>
        <w:rPr>
          <w:rFonts w:ascii="宋体" w:hAnsi="宋体" w:hint="eastAsia"/>
          <w:sz w:val="24"/>
        </w:rPr>
        <w:t>日内，向中国证监会办理基金备案手续。</w:t>
      </w:r>
    </w:p>
    <w:p w:rsidR="0081139D" w:rsidRDefault="00FA164F">
      <w:pPr>
        <w:spacing w:line="360" w:lineRule="auto"/>
        <w:ind w:firstLineChars="200" w:firstLine="480"/>
        <w:rPr>
          <w:rFonts w:ascii="宋体" w:hAnsi="宋体"/>
          <w:sz w:val="24"/>
        </w:rPr>
      </w:pPr>
      <w:r>
        <w:rPr>
          <w:rFonts w:ascii="宋体" w:hAnsi="宋体" w:hint="eastAsia"/>
          <w:sz w:val="24"/>
        </w:rPr>
        <w:t>基金募集达到基金</w:t>
      </w:r>
      <w:r>
        <w:rPr>
          <w:rFonts w:ascii="宋体" w:hAnsi="宋体" w:hint="eastAsia"/>
          <w:sz w:val="24"/>
        </w:rPr>
        <w:t>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81139D" w:rsidRDefault="00FA164F">
      <w:pPr>
        <w:adjustRightInd w:val="0"/>
        <w:snapToGrid w:val="0"/>
        <w:spacing w:line="360" w:lineRule="auto"/>
        <w:ind w:firstLine="420"/>
        <w:rPr>
          <w:rFonts w:ascii="宋体" w:hAnsi="宋体"/>
          <w:sz w:val="24"/>
        </w:rPr>
      </w:pPr>
      <w:r>
        <w:rPr>
          <w:rFonts w:ascii="宋体" w:hAnsi="宋体" w:hint="eastAsia"/>
          <w:sz w:val="24"/>
        </w:rPr>
        <w:t>如果募集期限届满，未满足基金备案条件，基金管理人应当承担下列责任：</w:t>
      </w:r>
    </w:p>
    <w:p w:rsidR="0081139D" w:rsidRDefault="00FA164F">
      <w:pPr>
        <w:adjustRightInd w:val="0"/>
        <w:snapToGrid w:val="0"/>
        <w:spacing w:line="360" w:lineRule="auto"/>
        <w:ind w:firstLine="420"/>
        <w:rPr>
          <w:rFonts w:ascii="宋体" w:hAnsi="宋体"/>
          <w:sz w:val="24"/>
        </w:rPr>
      </w:pPr>
      <w:r>
        <w:rPr>
          <w:rFonts w:ascii="宋体" w:hAnsi="宋体" w:hint="eastAsia"/>
          <w:sz w:val="24"/>
        </w:rPr>
        <w:t>1</w:t>
      </w:r>
      <w:r>
        <w:rPr>
          <w:rFonts w:ascii="宋体" w:hAnsi="宋体" w:hint="eastAsia"/>
          <w:sz w:val="24"/>
        </w:rPr>
        <w:t>、以其固有财产承担因募集行为而产生的债务和费用；</w:t>
      </w:r>
    </w:p>
    <w:p w:rsidR="0081139D" w:rsidRDefault="00FA164F">
      <w:pPr>
        <w:adjustRightInd w:val="0"/>
        <w:snapToGrid w:val="0"/>
        <w:spacing w:line="360" w:lineRule="auto"/>
        <w:ind w:firstLine="420"/>
        <w:rPr>
          <w:rFonts w:ascii="宋体" w:hAnsi="宋体"/>
          <w:sz w:val="24"/>
        </w:rPr>
      </w:pPr>
      <w:r>
        <w:rPr>
          <w:rFonts w:ascii="宋体" w:hAnsi="宋体" w:hint="eastAsia"/>
          <w:sz w:val="24"/>
        </w:rPr>
        <w:t>2</w:t>
      </w:r>
      <w:r>
        <w:rPr>
          <w:rFonts w:ascii="宋体" w:hAnsi="宋体" w:hint="eastAsia"/>
          <w:sz w:val="24"/>
        </w:rPr>
        <w:t>、在基金募集期限届满后</w:t>
      </w:r>
      <w:r>
        <w:rPr>
          <w:rFonts w:ascii="宋体" w:hAnsi="宋体" w:hint="eastAsia"/>
          <w:sz w:val="24"/>
        </w:rPr>
        <w:t>30</w:t>
      </w:r>
      <w:r>
        <w:rPr>
          <w:rFonts w:ascii="宋体" w:hAnsi="宋体" w:hint="eastAsia"/>
          <w:sz w:val="24"/>
        </w:rPr>
        <w:t>日内返还投资者已交纳的款项，并加计银行同期活期存款利息；</w:t>
      </w:r>
    </w:p>
    <w:p w:rsidR="0081139D" w:rsidRDefault="00FA164F">
      <w:pPr>
        <w:adjustRightInd w:val="0"/>
        <w:snapToGrid w:val="0"/>
        <w:spacing w:line="360" w:lineRule="auto"/>
        <w:ind w:firstLine="420"/>
        <w:rPr>
          <w:rFonts w:ascii="宋体" w:hAnsi="宋体"/>
          <w:sz w:val="24"/>
        </w:rPr>
      </w:pPr>
      <w:r>
        <w:rPr>
          <w:rFonts w:ascii="宋体" w:hAnsi="宋体" w:hint="eastAsia"/>
          <w:sz w:val="24"/>
        </w:rPr>
        <w:t>3</w:t>
      </w:r>
      <w:r>
        <w:rPr>
          <w:rFonts w:ascii="宋体" w:hAnsi="宋体" w:hint="eastAsia"/>
          <w:sz w:val="24"/>
        </w:rPr>
        <w:t>、如基金募集失败，基金管</w:t>
      </w:r>
      <w:r>
        <w:rPr>
          <w:rFonts w:ascii="宋体" w:hAnsi="宋体" w:hint="eastAsia"/>
          <w:sz w:val="24"/>
        </w:rPr>
        <w:t>理人、基金托管人及销售机构不得请求报酬。基金管理人、基金托管人和销售机构为基金募集支付之一切费用应由各方各自承担。</w:t>
      </w:r>
    </w:p>
    <w:p w:rsidR="0081139D" w:rsidRDefault="00FA164F">
      <w:pPr>
        <w:pStyle w:val="1"/>
        <w:spacing w:before="200" w:after="200" w:line="240" w:lineRule="auto"/>
        <w:ind w:firstLineChars="200" w:firstLine="602"/>
        <w:rPr>
          <w:rFonts w:ascii="宋体" w:hAnsi="宋体"/>
          <w:szCs w:val="30"/>
        </w:rPr>
      </w:pPr>
      <w:bookmarkStart w:id="67" w:name="_Toc24640"/>
      <w:bookmarkStart w:id="68" w:name="_Toc488930846"/>
      <w:bookmarkStart w:id="69" w:name="_Toc23210"/>
      <w:bookmarkStart w:id="70" w:name="_Toc20461"/>
      <w:bookmarkStart w:id="71" w:name="_Toc6504"/>
      <w:bookmarkStart w:id="72" w:name="_Toc43727009"/>
      <w:bookmarkEnd w:id="66"/>
      <w:r>
        <w:rPr>
          <w:rFonts w:ascii="宋体" w:eastAsia="宋体" w:hAnsi="宋体" w:hint="eastAsia"/>
          <w:sz w:val="30"/>
          <w:szCs w:val="30"/>
        </w:rPr>
        <w:t>八</w:t>
      </w:r>
      <w:r>
        <w:rPr>
          <w:rFonts w:ascii="宋体" w:eastAsia="宋体" w:hAnsi="宋体" w:hint="eastAsia"/>
          <w:sz w:val="30"/>
          <w:szCs w:val="30"/>
        </w:rPr>
        <w:t>、份额发售当事人和中介机构</w:t>
      </w:r>
      <w:bookmarkEnd w:id="67"/>
      <w:bookmarkEnd w:id="68"/>
      <w:bookmarkEnd w:id="69"/>
      <w:bookmarkEnd w:id="70"/>
      <w:bookmarkEnd w:id="71"/>
      <w:bookmarkEnd w:id="72"/>
    </w:p>
    <w:p w:rsidR="0081139D" w:rsidRDefault="00FA164F">
      <w:pPr>
        <w:spacing w:line="360" w:lineRule="auto"/>
        <w:ind w:firstLineChars="200" w:firstLine="562"/>
        <w:rPr>
          <w:rFonts w:ascii="宋体" w:hAnsi="宋体"/>
          <w:b/>
          <w:bCs/>
          <w:sz w:val="28"/>
        </w:rPr>
      </w:pPr>
      <w:bookmarkStart w:id="73" w:name="_Hlk98928251"/>
      <w:r>
        <w:rPr>
          <w:rFonts w:ascii="宋体" w:hAnsi="宋体" w:hint="eastAsia"/>
          <w:b/>
          <w:bCs/>
          <w:sz w:val="28"/>
        </w:rPr>
        <w:t>（一）基金管理人</w:t>
      </w:r>
    </w:p>
    <w:p w:rsidR="0081139D" w:rsidRDefault="00FA164F">
      <w:pPr>
        <w:adjustRightInd w:val="0"/>
        <w:snapToGrid w:val="0"/>
        <w:spacing w:line="440" w:lineRule="exact"/>
        <w:ind w:firstLineChars="200" w:firstLine="480"/>
        <w:rPr>
          <w:sz w:val="24"/>
        </w:rPr>
      </w:pPr>
      <w:r>
        <w:rPr>
          <w:rFonts w:hint="eastAsia"/>
          <w:sz w:val="24"/>
        </w:rPr>
        <w:t>名称：长江证券（上海）资产管理有限公司</w:t>
      </w:r>
    </w:p>
    <w:p w:rsidR="0081139D" w:rsidRDefault="00FA164F">
      <w:pPr>
        <w:adjustRightInd w:val="0"/>
        <w:snapToGrid w:val="0"/>
        <w:spacing w:line="440" w:lineRule="exact"/>
        <w:ind w:firstLineChars="200" w:firstLine="480"/>
        <w:rPr>
          <w:sz w:val="24"/>
        </w:rPr>
      </w:pPr>
      <w:r>
        <w:rPr>
          <w:rFonts w:hint="eastAsia"/>
          <w:sz w:val="24"/>
        </w:rPr>
        <w:t>住所：上海市虹口区新建路</w:t>
      </w:r>
      <w:r>
        <w:rPr>
          <w:rFonts w:hint="eastAsia"/>
          <w:sz w:val="24"/>
        </w:rPr>
        <w:t>200</w:t>
      </w:r>
      <w:r>
        <w:rPr>
          <w:rFonts w:hint="eastAsia"/>
          <w:sz w:val="24"/>
        </w:rPr>
        <w:t>号</w:t>
      </w:r>
      <w:r>
        <w:rPr>
          <w:rFonts w:hint="eastAsia"/>
          <w:sz w:val="24"/>
        </w:rPr>
        <w:t>B</w:t>
      </w:r>
      <w:r>
        <w:rPr>
          <w:rFonts w:hint="eastAsia"/>
          <w:sz w:val="24"/>
        </w:rPr>
        <w:t>栋</w:t>
      </w:r>
      <w:r>
        <w:rPr>
          <w:rFonts w:hint="eastAsia"/>
          <w:sz w:val="24"/>
        </w:rPr>
        <w:t>19</w:t>
      </w:r>
      <w:r>
        <w:rPr>
          <w:rFonts w:hint="eastAsia"/>
          <w:sz w:val="24"/>
        </w:rPr>
        <w:t>层</w:t>
      </w:r>
    </w:p>
    <w:p w:rsidR="0081139D" w:rsidRDefault="00FA164F">
      <w:pPr>
        <w:adjustRightInd w:val="0"/>
        <w:snapToGrid w:val="0"/>
        <w:spacing w:line="440" w:lineRule="exact"/>
        <w:ind w:firstLineChars="200" w:firstLine="480"/>
        <w:rPr>
          <w:sz w:val="24"/>
        </w:rPr>
      </w:pPr>
      <w:r>
        <w:rPr>
          <w:rFonts w:hint="eastAsia"/>
          <w:sz w:val="24"/>
        </w:rPr>
        <w:t>办公地址：上海市虹口区新建路</w:t>
      </w:r>
      <w:r>
        <w:rPr>
          <w:rFonts w:hint="eastAsia"/>
          <w:sz w:val="24"/>
        </w:rPr>
        <w:t xml:space="preserve"> 200 </w:t>
      </w:r>
      <w:r>
        <w:rPr>
          <w:rFonts w:hint="eastAsia"/>
          <w:sz w:val="24"/>
        </w:rPr>
        <w:t>号国华金融中心</w:t>
      </w:r>
      <w:r>
        <w:rPr>
          <w:rFonts w:hint="eastAsia"/>
          <w:sz w:val="24"/>
        </w:rPr>
        <w:t>B</w:t>
      </w:r>
      <w:r>
        <w:rPr>
          <w:rFonts w:hint="eastAsia"/>
          <w:sz w:val="24"/>
        </w:rPr>
        <w:t>栋</w:t>
      </w:r>
      <w:r>
        <w:rPr>
          <w:rFonts w:hint="eastAsia"/>
          <w:sz w:val="24"/>
        </w:rPr>
        <w:t>19</w:t>
      </w:r>
      <w:r>
        <w:rPr>
          <w:rFonts w:hint="eastAsia"/>
          <w:sz w:val="24"/>
        </w:rPr>
        <w:t>层</w:t>
      </w:r>
    </w:p>
    <w:p w:rsidR="0081139D" w:rsidRDefault="00FA164F">
      <w:pPr>
        <w:adjustRightInd w:val="0"/>
        <w:snapToGrid w:val="0"/>
        <w:spacing w:line="440" w:lineRule="exact"/>
        <w:ind w:firstLineChars="200" w:firstLine="480"/>
        <w:rPr>
          <w:sz w:val="24"/>
        </w:rPr>
      </w:pPr>
      <w:r>
        <w:rPr>
          <w:rFonts w:hint="eastAsia"/>
          <w:sz w:val="24"/>
        </w:rPr>
        <w:t>法定代表人：杨忠</w:t>
      </w:r>
    </w:p>
    <w:p w:rsidR="0081139D" w:rsidRDefault="00FA164F">
      <w:pPr>
        <w:adjustRightInd w:val="0"/>
        <w:snapToGrid w:val="0"/>
        <w:spacing w:line="440" w:lineRule="exact"/>
        <w:ind w:firstLineChars="200" w:firstLine="480"/>
        <w:rPr>
          <w:sz w:val="24"/>
        </w:rPr>
      </w:pPr>
      <w:r>
        <w:rPr>
          <w:rFonts w:hint="eastAsia"/>
          <w:sz w:val="24"/>
        </w:rPr>
        <w:t>设立日期：</w:t>
      </w:r>
      <w:r>
        <w:rPr>
          <w:rFonts w:hint="eastAsia"/>
          <w:sz w:val="24"/>
        </w:rPr>
        <w:t>2014</w:t>
      </w:r>
      <w:r>
        <w:rPr>
          <w:rFonts w:hint="eastAsia"/>
          <w:sz w:val="24"/>
        </w:rPr>
        <w:t>年</w:t>
      </w:r>
      <w:r>
        <w:rPr>
          <w:rFonts w:hint="eastAsia"/>
          <w:sz w:val="24"/>
        </w:rPr>
        <w:t>9</w:t>
      </w:r>
      <w:r>
        <w:rPr>
          <w:rFonts w:hint="eastAsia"/>
          <w:sz w:val="24"/>
        </w:rPr>
        <w:t>月</w:t>
      </w:r>
      <w:r>
        <w:rPr>
          <w:rFonts w:hint="eastAsia"/>
          <w:sz w:val="24"/>
        </w:rPr>
        <w:t>16</w:t>
      </w:r>
      <w:r>
        <w:rPr>
          <w:rFonts w:hint="eastAsia"/>
          <w:sz w:val="24"/>
        </w:rPr>
        <w:t>日</w:t>
      </w:r>
    </w:p>
    <w:p w:rsidR="0081139D" w:rsidRDefault="00FA164F">
      <w:pPr>
        <w:adjustRightInd w:val="0"/>
        <w:snapToGrid w:val="0"/>
        <w:spacing w:line="440" w:lineRule="exact"/>
        <w:ind w:firstLineChars="200" w:firstLine="480"/>
        <w:rPr>
          <w:sz w:val="24"/>
        </w:rPr>
      </w:pPr>
      <w:r>
        <w:rPr>
          <w:rFonts w:hint="eastAsia"/>
          <w:sz w:val="24"/>
        </w:rPr>
        <w:t>批准设立机关及批准设立文号：中国证券监督管理委员会证监许可</w:t>
      </w:r>
      <w:r>
        <w:rPr>
          <w:rFonts w:hint="eastAsia"/>
          <w:sz w:val="24"/>
        </w:rPr>
        <w:t>[2014]871</w:t>
      </w:r>
      <w:r>
        <w:rPr>
          <w:rFonts w:hint="eastAsia"/>
          <w:sz w:val="24"/>
        </w:rPr>
        <w:t>号</w:t>
      </w:r>
    </w:p>
    <w:p w:rsidR="0081139D" w:rsidRDefault="00FA164F">
      <w:pPr>
        <w:adjustRightInd w:val="0"/>
        <w:snapToGrid w:val="0"/>
        <w:spacing w:line="440" w:lineRule="exact"/>
        <w:ind w:firstLineChars="200" w:firstLine="480"/>
        <w:rPr>
          <w:sz w:val="24"/>
        </w:rPr>
      </w:pPr>
      <w:r>
        <w:rPr>
          <w:rFonts w:hint="eastAsia"/>
          <w:sz w:val="24"/>
        </w:rPr>
        <w:t>开展公开募集证券投资基金管理业务批准文号：证监许可</w:t>
      </w:r>
      <w:r>
        <w:rPr>
          <w:rFonts w:hint="eastAsia"/>
          <w:sz w:val="24"/>
        </w:rPr>
        <w:t>[2016]30</w:t>
      </w:r>
      <w:r>
        <w:rPr>
          <w:rFonts w:hint="eastAsia"/>
          <w:sz w:val="24"/>
        </w:rPr>
        <w:t>号</w:t>
      </w:r>
    </w:p>
    <w:p w:rsidR="0081139D" w:rsidRDefault="00FA164F">
      <w:pPr>
        <w:adjustRightInd w:val="0"/>
        <w:snapToGrid w:val="0"/>
        <w:spacing w:line="440" w:lineRule="exact"/>
        <w:ind w:firstLineChars="200" w:firstLine="480"/>
        <w:rPr>
          <w:sz w:val="24"/>
        </w:rPr>
      </w:pPr>
      <w:r>
        <w:rPr>
          <w:rFonts w:hint="eastAsia"/>
          <w:sz w:val="24"/>
        </w:rPr>
        <w:t>组织形式：有限责任公司</w:t>
      </w:r>
    </w:p>
    <w:p w:rsidR="0081139D" w:rsidRDefault="00FA164F">
      <w:pPr>
        <w:adjustRightInd w:val="0"/>
        <w:snapToGrid w:val="0"/>
        <w:spacing w:line="440" w:lineRule="exact"/>
        <w:ind w:firstLineChars="200" w:firstLine="480"/>
        <w:rPr>
          <w:sz w:val="24"/>
        </w:rPr>
      </w:pPr>
      <w:r>
        <w:rPr>
          <w:rFonts w:hint="eastAsia"/>
          <w:sz w:val="24"/>
        </w:rPr>
        <w:t>注册资本：</w:t>
      </w:r>
      <w:r>
        <w:rPr>
          <w:rFonts w:hint="eastAsia"/>
          <w:sz w:val="24"/>
        </w:rPr>
        <w:t>23</w:t>
      </w:r>
      <w:r>
        <w:rPr>
          <w:rFonts w:hint="eastAsia"/>
          <w:sz w:val="24"/>
        </w:rPr>
        <w:t>亿元人民币</w:t>
      </w:r>
    </w:p>
    <w:p w:rsidR="0081139D" w:rsidRDefault="00FA164F">
      <w:pPr>
        <w:adjustRightInd w:val="0"/>
        <w:snapToGrid w:val="0"/>
        <w:spacing w:line="440" w:lineRule="exact"/>
        <w:ind w:firstLineChars="200" w:firstLine="480"/>
        <w:rPr>
          <w:sz w:val="24"/>
        </w:rPr>
      </w:pPr>
      <w:r>
        <w:rPr>
          <w:rFonts w:hint="eastAsia"/>
          <w:sz w:val="24"/>
        </w:rPr>
        <w:t>存续期限：持续经营</w:t>
      </w:r>
    </w:p>
    <w:p w:rsidR="0081139D" w:rsidRDefault="00FA164F">
      <w:pPr>
        <w:adjustRightInd w:val="0"/>
        <w:snapToGrid w:val="0"/>
        <w:spacing w:line="440" w:lineRule="exact"/>
        <w:ind w:firstLineChars="200" w:firstLine="480"/>
        <w:rPr>
          <w:sz w:val="24"/>
        </w:rPr>
      </w:pPr>
      <w:r>
        <w:rPr>
          <w:rFonts w:hint="eastAsia"/>
          <w:sz w:val="24"/>
        </w:rPr>
        <w:t>联系人：邓凌雯</w:t>
      </w:r>
    </w:p>
    <w:p w:rsidR="0081139D" w:rsidRDefault="00FA164F">
      <w:pPr>
        <w:adjustRightInd w:val="0"/>
        <w:snapToGrid w:val="0"/>
        <w:spacing w:line="440" w:lineRule="exact"/>
        <w:ind w:firstLineChars="200" w:firstLine="480"/>
        <w:rPr>
          <w:sz w:val="24"/>
        </w:rPr>
      </w:pPr>
      <w:r>
        <w:rPr>
          <w:rFonts w:hint="eastAsia"/>
          <w:sz w:val="24"/>
        </w:rPr>
        <w:t>联系电话：</w:t>
      </w:r>
      <w:r>
        <w:rPr>
          <w:rFonts w:hint="eastAsia"/>
          <w:sz w:val="24"/>
        </w:rPr>
        <w:t>4001-166-866</w:t>
      </w:r>
    </w:p>
    <w:p w:rsidR="0081139D" w:rsidRDefault="00FA164F">
      <w:pPr>
        <w:adjustRightInd w:val="0"/>
        <w:snapToGrid w:val="0"/>
        <w:spacing w:line="440" w:lineRule="exact"/>
        <w:ind w:firstLineChars="200" w:firstLine="480"/>
        <w:rPr>
          <w:sz w:val="24"/>
        </w:rPr>
      </w:pPr>
      <w:r>
        <w:rPr>
          <w:rFonts w:hint="eastAsia"/>
          <w:sz w:val="24"/>
        </w:rPr>
        <w:t>股权结构：长江证券股份有限公司持有公司</w:t>
      </w:r>
      <w:r>
        <w:rPr>
          <w:rFonts w:hint="eastAsia"/>
          <w:sz w:val="24"/>
        </w:rPr>
        <w:t>100%</w:t>
      </w:r>
      <w:r>
        <w:rPr>
          <w:rFonts w:hint="eastAsia"/>
          <w:sz w:val="24"/>
        </w:rPr>
        <w:t>的股权。</w:t>
      </w:r>
    </w:p>
    <w:p w:rsidR="0081139D" w:rsidRDefault="00FA164F">
      <w:pPr>
        <w:spacing w:line="360" w:lineRule="auto"/>
        <w:ind w:firstLineChars="200" w:firstLine="562"/>
        <w:rPr>
          <w:rFonts w:ascii="宋体" w:hAnsi="宋体"/>
          <w:b/>
          <w:bCs/>
          <w:sz w:val="28"/>
        </w:rPr>
      </w:pPr>
      <w:r>
        <w:rPr>
          <w:rFonts w:ascii="宋体" w:hAnsi="宋体" w:hint="eastAsia"/>
          <w:b/>
          <w:bCs/>
          <w:sz w:val="28"/>
        </w:rPr>
        <w:t>（二）基金托管人</w:t>
      </w:r>
    </w:p>
    <w:p w:rsidR="0081139D" w:rsidRDefault="00FA164F">
      <w:pPr>
        <w:spacing w:line="360" w:lineRule="auto"/>
        <w:ind w:firstLineChars="200" w:firstLine="480"/>
        <w:rPr>
          <w:color w:val="000000"/>
          <w:sz w:val="24"/>
        </w:rPr>
      </w:pPr>
      <w:r>
        <w:rPr>
          <w:rFonts w:hint="eastAsia"/>
          <w:color w:val="000000"/>
          <w:sz w:val="24"/>
        </w:rPr>
        <w:t>名称：平安银行股份有限公司</w:t>
      </w:r>
    </w:p>
    <w:p w:rsidR="0081139D" w:rsidRDefault="00FA164F">
      <w:pPr>
        <w:spacing w:line="360" w:lineRule="auto"/>
        <w:ind w:firstLineChars="200" w:firstLine="480"/>
        <w:rPr>
          <w:color w:val="000000"/>
          <w:sz w:val="24"/>
        </w:rPr>
      </w:pPr>
      <w:r>
        <w:rPr>
          <w:rFonts w:hint="eastAsia"/>
          <w:color w:val="000000"/>
          <w:sz w:val="24"/>
        </w:rPr>
        <w:t>注册住所：广东省深圳市罗湖区深南东路</w:t>
      </w:r>
      <w:r>
        <w:rPr>
          <w:rFonts w:hint="eastAsia"/>
          <w:color w:val="000000"/>
          <w:sz w:val="24"/>
        </w:rPr>
        <w:t>5047</w:t>
      </w:r>
      <w:r>
        <w:rPr>
          <w:rFonts w:hint="eastAsia"/>
          <w:color w:val="000000"/>
          <w:sz w:val="24"/>
        </w:rPr>
        <w:t>号</w:t>
      </w:r>
    </w:p>
    <w:p w:rsidR="0081139D" w:rsidRDefault="00FA164F">
      <w:pPr>
        <w:spacing w:line="360" w:lineRule="auto"/>
        <w:ind w:firstLineChars="200" w:firstLine="480"/>
        <w:rPr>
          <w:color w:val="000000"/>
          <w:sz w:val="24"/>
        </w:rPr>
      </w:pPr>
      <w:r>
        <w:rPr>
          <w:rFonts w:hint="eastAsia"/>
          <w:color w:val="000000"/>
          <w:sz w:val="24"/>
        </w:rPr>
        <w:t>办公地址：广东省深圳市福田区益田路</w:t>
      </w:r>
      <w:r>
        <w:rPr>
          <w:rFonts w:hint="eastAsia"/>
          <w:color w:val="000000"/>
          <w:sz w:val="24"/>
        </w:rPr>
        <w:t>5023</w:t>
      </w:r>
      <w:r>
        <w:rPr>
          <w:rFonts w:hint="eastAsia"/>
          <w:color w:val="000000"/>
          <w:sz w:val="24"/>
        </w:rPr>
        <w:t>号平安金融中心</w:t>
      </w:r>
      <w:r>
        <w:rPr>
          <w:rFonts w:hint="eastAsia"/>
          <w:color w:val="000000"/>
          <w:sz w:val="24"/>
        </w:rPr>
        <w:t>B</w:t>
      </w:r>
      <w:r>
        <w:rPr>
          <w:rFonts w:hint="eastAsia"/>
          <w:color w:val="000000"/>
          <w:sz w:val="24"/>
        </w:rPr>
        <w:t>座</w:t>
      </w:r>
      <w:r>
        <w:rPr>
          <w:rFonts w:hint="eastAsia"/>
          <w:color w:val="000000"/>
          <w:sz w:val="24"/>
        </w:rPr>
        <w:t>26</w:t>
      </w:r>
      <w:r>
        <w:rPr>
          <w:rFonts w:hint="eastAsia"/>
          <w:color w:val="000000"/>
          <w:sz w:val="24"/>
        </w:rPr>
        <w:t>楼</w:t>
      </w:r>
    </w:p>
    <w:p w:rsidR="0081139D" w:rsidRDefault="00FA164F">
      <w:pPr>
        <w:spacing w:line="360" w:lineRule="auto"/>
        <w:ind w:firstLineChars="200" w:firstLine="480"/>
        <w:rPr>
          <w:color w:val="000000"/>
          <w:sz w:val="24"/>
        </w:rPr>
      </w:pPr>
      <w:r>
        <w:rPr>
          <w:rFonts w:hint="eastAsia"/>
          <w:color w:val="000000"/>
          <w:sz w:val="24"/>
        </w:rPr>
        <w:t>法定代表人：谢永林</w:t>
      </w:r>
    </w:p>
    <w:p w:rsidR="0081139D" w:rsidRDefault="00FA164F">
      <w:pPr>
        <w:spacing w:line="360" w:lineRule="auto"/>
        <w:ind w:firstLineChars="200" w:firstLine="480"/>
        <w:rPr>
          <w:color w:val="000000"/>
          <w:sz w:val="24"/>
        </w:rPr>
      </w:pPr>
      <w:r>
        <w:rPr>
          <w:rFonts w:hint="eastAsia"/>
          <w:color w:val="000000"/>
          <w:sz w:val="24"/>
        </w:rPr>
        <w:t>成立日期：</w:t>
      </w:r>
      <w:r>
        <w:rPr>
          <w:rFonts w:hint="eastAsia"/>
          <w:color w:val="000000"/>
          <w:sz w:val="24"/>
        </w:rPr>
        <w:t xml:space="preserve">1987 </w:t>
      </w:r>
      <w:r>
        <w:rPr>
          <w:rFonts w:hint="eastAsia"/>
          <w:color w:val="000000"/>
          <w:sz w:val="24"/>
        </w:rPr>
        <w:t>年</w:t>
      </w:r>
      <w:r>
        <w:rPr>
          <w:rFonts w:hint="eastAsia"/>
          <w:color w:val="000000"/>
          <w:sz w:val="24"/>
        </w:rPr>
        <w:t xml:space="preserve">12 </w:t>
      </w:r>
      <w:r>
        <w:rPr>
          <w:rFonts w:hint="eastAsia"/>
          <w:color w:val="000000"/>
          <w:sz w:val="24"/>
        </w:rPr>
        <w:t>月</w:t>
      </w:r>
      <w:r>
        <w:rPr>
          <w:rFonts w:hint="eastAsia"/>
          <w:color w:val="000000"/>
          <w:sz w:val="24"/>
        </w:rPr>
        <w:t xml:space="preserve">22 </w:t>
      </w:r>
      <w:r>
        <w:rPr>
          <w:rFonts w:hint="eastAsia"/>
          <w:color w:val="000000"/>
          <w:sz w:val="24"/>
        </w:rPr>
        <w:t>日</w:t>
      </w:r>
    </w:p>
    <w:p w:rsidR="0081139D" w:rsidRDefault="00FA164F">
      <w:pPr>
        <w:spacing w:line="360" w:lineRule="auto"/>
        <w:ind w:firstLineChars="200" w:firstLine="480"/>
        <w:rPr>
          <w:color w:val="000000"/>
          <w:sz w:val="24"/>
        </w:rPr>
      </w:pPr>
      <w:r>
        <w:rPr>
          <w:rFonts w:hint="eastAsia"/>
          <w:color w:val="000000"/>
          <w:sz w:val="24"/>
        </w:rPr>
        <w:t>批准设立机关和批准设立文号：中国人民银行银复</w:t>
      </w:r>
      <w:r>
        <w:rPr>
          <w:rFonts w:hint="eastAsia"/>
          <w:color w:val="000000"/>
          <w:sz w:val="24"/>
        </w:rPr>
        <w:t>1987</w:t>
      </w:r>
      <w:r>
        <w:rPr>
          <w:rFonts w:hint="eastAsia"/>
          <w:color w:val="000000"/>
          <w:sz w:val="24"/>
        </w:rPr>
        <w:t>【</w:t>
      </w:r>
      <w:r>
        <w:rPr>
          <w:rFonts w:hint="eastAsia"/>
          <w:color w:val="000000"/>
          <w:sz w:val="24"/>
        </w:rPr>
        <w:t>365</w:t>
      </w:r>
      <w:r>
        <w:rPr>
          <w:rFonts w:hint="eastAsia"/>
          <w:color w:val="000000"/>
          <w:sz w:val="24"/>
        </w:rPr>
        <w:t>】号</w:t>
      </w:r>
    </w:p>
    <w:p w:rsidR="0081139D" w:rsidRDefault="00FA164F">
      <w:pPr>
        <w:spacing w:line="360" w:lineRule="auto"/>
        <w:ind w:firstLineChars="200" w:firstLine="480"/>
        <w:rPr>
          <w:color w:val="000000"/>
          <w:sz w:val="24"/>
        </w:rPr>
      </w:pPr>
      <w:r>
        <w:rPr>
          <w:rFonts w:hint="eastAsia"/>
          <w:color w:val="000000"/>
          <w:sz w:val="24"/>
        </w:rPr>
        <w:t>组织形式：股份有限公司</w:t>
      </w:r>
    </w:p>
    <w:p w:rsidR="0081139D" w:rsidRDefault="00FA164F">
      <w:pPr>
        <w:spacing w:line="360" w:lineRule="auto"/>
        <w:ind w:firstLineChars="200" w:firstLine="480"/>
        <w:rPr>
          <w:color w:val="000000"/>
          <w:sz w:val="24"/>
        </w:rPr>
      </w:pPr>
      <w:r>
        <w:rPr>
          <w:rFonts w:hint="eastAsia"/>
          <w:color w:val="000000"/>
          <w:sz w:val="24"/>
        </w:rPr>
        <w:t>注册资本：</w:t>
      </w:r>
      <w:r>
        <w:rPr>
          <w:rFonts w:hint="eastAsia"/>
          <w:color w:val="000000"/>
          <w:sz w:val="24"/>
        </w:rPr>
        <w:t xml:space="preserve">19,405,918,198 </w:t>
      </w:r>
      <w:r>
        <w:rPr>
          <w:rFonts w:hint="eastAsia"/>
          <w:color w:val="000000"/>
          <w:sz w:val="24"/>
        </w:rPr>
        <w:t>元人民币</w:t>
      </w:r>
    </w:p>
    <w:p w:rsidR="0081139D" w:rsidRDefault="00FA164F">
      <w:pPr>
        <w:spacing w:line="360" w:lineRule="auto"/>
        <w:ind w:firstLineChars="200" w:firstLine="480"/>
        <w:rPr>
          <w:color w:val="000000"/>
          <w:sz w:val="24"/>
        </w:rPr>
      </w:pPr>
      <w:r>
        <w:rPr>
          <w:rFonts w:hint="eastAsia"/>
          <w:color w:val="000000"/>
          <w:sz w:val="24"/>
        </w:rPr>
        <w:t>存续期间：持续经营</w:t>
      </w:r>
    </w:p>
    <w:p w:rsidR="0081139D" w:rsidRDefault="00FA164F">
      <w:pPr>
        <w:spacing w:line="360" w:lineRule="auto"/>
        <w:ind w:firstLineChars="200" w:firstLine="480"/>
        <w:rPr>
          <w:color w:val="000000"/>
          <w:sz w:val="24"/>
        </w:rPr>
      </w:pPr>
      <w:r>
        <w:rPr>
          <w:rFonts w:hint="eastAsia"/>
          <w:color w:val="000000"/>
          <w:sz w:val="24"/>
        </w:rPr>
        <w:t>基金托管资格批文及文号：中国证监会证监许可</w:t>
      </w:r>
      <w:r>
        <w:rPr>
          <w:rFonts w:hint="eastAsia"/>
          <w:color w:val="000000"/>
          <w:sz w:val="24"/>
        </w:rPr>
        <w:t xml:space="preserve">[2008]1037 </w:t>
      </w:r>
      <w:r>
        <w:rPr>
          <w:rFonts w:hint="eastAsia"/>
          <w:color w:val="000000"/>
          <w:sz w:val="24"/>
        </w:rPr>
        <w:t>号</w:t>
      </w:r>
    </w:p>
    <w:p w:rsidR="0081139D" w:rsidRDefault="00FA164F">
      <w:pPr>
        <w:spacing w:line="360" w:lineRule="auto"/>
        <w:ind w:firstLineChars="200" w:firstLine="480"/>
        <w:rPr>
          <w:color w:val="000000"/>
          <w:sz w:val="24"/>
        </w:rPr>
      </w:pPr>
      <w:r>
        <w:rPr>
          <w:rFonts w:hint="eastAsia"/>
          <w:color w:val="000000"/>
          <w:sz w:val="24"/>
        </w:rPr>
        <w:t>联系电话：</w:t>
      </w:r>
      <w:r>
        <w:rPr>
          <w:rFonts w:hint="eastAsia"/>
          <w:color w:val="000000"/>
          <w:sz w:val="24"/>
        </w:rPr>
        <w:t>0755-88674238</w:t>
      </w:r>
    </w:p>
    <w:p w:rsidR="0081139D" w:rsidRDefault="00FA164F">
      <w:pPr>
        <w:spacing w:line="360" w:lineRule="auto"/>
        <w:ind w:firstLineChars="200" w:firstLine="562"/>
        <w:rPr>
          <w:rFonts w:ascii="宋体" w:hAnsi="宋体"/>
          <w:b/>
          <w:bCs/>
          <w:sz w:val="28"/>
        </w:rPr>
      </w:pPr>
      <w:bookmarkStart w:id="74" w:name="_Hlk98928330"/>
      <w:bookmarkEnd w:id="73"/>
      <w:r>
        <w:rPr>
          <w:rFonts w:ascii="宋体" w:hAnsi="宋体" w:hint="eastAsia"/>
          <w:b/>
          <w:bCs/>
          <w:sz w:val="28"/>
        </w:rPr>
        <w:t>（三）份额发售机构</w:t>
      </w:r>
    </w:p>
    <w:p w:rsidR="0081139D" w:rsidRDefault="00FA164F">
      <w:pPr>
        <w:autoSpaceDE w:val="0"/>
        <w:autoSpaceDN w:val="0"/>
        <w:adjustRightInd w:val="0"/>
        <w:snapToGrid w:val="0"/>
        <w:spacing w:line="440" w:lineRule="exact"/>
        <w:ind w:firstLine="420"/>
        <w:rPr>
          <w:bCs/>
          <w:color w:val="000000"/>
          <w:sz w:val="24"/>
        </w:rPr>
      </w:pPr>
      <w:r>
        <w:rPr>
          <w:rFonts w:hint="eastAsia"/>
          <w:bCs/>
          <w:color w:val="000000"/>
          <w:sz w:val="24"/>
        </w:rPr>
        <w:t>1</w:t>
      </w:r>
      <w:r>
        <w:rPr>
          <w:rFonts w:hint="eastAsia"/>
          <w:bCs/>
          <w:color w:val="000000"/>
          <w:sz w:val="24"/>
        </w:rPr>
        <w:t>、直销机构</w:t>
      </w:r>
    </w:p>
    <w:p w:rsidR="0081139D" w:rsidRDefault="00FA164F">
      <w:pPr>
        <w:snapToGrid w:val="0"/>
        <w:spacing w:line="440" w:lineRule="exact"/>
        <w:ind w:firstLineChars="200" w:firstLine="480"/>
        <w:rPr>
          <w:bCs/>
          <w:color w:val="000000"/>
          <w:sz w:val="24"/>
        </w:rPr>
      </w:pPr>
      <w:r>
        <w:rPr>
          <w:rFonts w:hint="eastAsia"/>
          <w:bCs/>
          <w:color w:val="000000"/>
          <w:sz w:val="24"/>
        </w:rPr>
        <w:t>名称：长江证券（上海）资产管理有限公司</w:t>
      </w:r>
    </w:p>
    <w:p w:rsidR="0081139D" w:rsidRDefault="00FA164F">
      <w:pPr>
        <w:snapToGrid w:val="0"/>
        <w:spacing w:line="440" w:lineRule="exact"/>
        <w:ind w:firstLineChars="200" w:firstLine="480"/>
        <w:rPr>
          <w:bCs/>
          <w:color w:val="000000"/>
          <w:sz w:val="24"/>
        </w:rPr>
      </w:pPr>
      <w:r>
        <w:rPr>
          <w:rFonts w:hint="eastAsia"/>
          <w:bCs/>
          <w:color w:val="000000"/>
          <w:sz w:val="24"/>
        </w:rPr>
        <w:t>注册地址：上海市虹口区新建路</w:t>
      </w:r>
      <w:r>
        <w:rPr>
          <w:rFonts w:hint="eastAsia"/>
          <w:bCs/>
          <w:color w:val="000000"/>
          <w:sz w:val="24"/>
        </w:rPr>
        <w:t>200</w:t>
      </w:r>
      <w:r>
        <w:rPr>
          <w:rFonts w:hint="eastAsia"/>
          <w:bCs/>
          <w:color w:val="000000"/>
          <w:sz w:val="24"/>
        </w:rPr>
        <w:t>号</w:t>
      </w:r>
      <w:r>
        <w:rPr>
          <w:rFonts w:hint="eastAsia"/>
          <w:bCs/>
          <w:color w:val="000000"/>
          <w:sz w:val="24"/>
        </w:rPr>
        <w:t>B</w:t>
      </w:r>
      <w:r>
        <w:rPr>
          <w:rFonts w:hint="eastAsia"/>
          <w:bCs/>
          <w:color w:val="000000"/>
          <w:sz w:val="24"/>
        </w:rPr>
        <w:t>栋</w:t>
      </w:r>
      <w:r>
        <w:rPr>
          <w:rFonts w:hint="eastAsia"/>
          <w:bCs/>
          <w:color w:val="000000"/>
          <w:sz w:val="24"/>
        </w:rPr>
        <w:t>19</w:t>
      </w:r>
      <w:r>
        <w:rPr>
          <w:rFonts w:hint="eastAsia"/>
          <w:bCs/>
          <w:color w:val="000000"/>
          <w:sz w:val="24"/>
        </w:rPr>
        <w:t>层</w:t>
      </w:r>
    </w:p>
    <w:p w:rsidR="0081139D" w:rsidRDefault="00FA164F">
      <w:pPr>
        <w:snapToGrid w:val="0"/>
        <w:spacing w:line="440" w:lineRule="exact"/>
        <w:ind w:firstLineChars="200" w:firstLine="480"/>
        <w:rPr>
          <w:bCs/>
          <w:color w:val="000000"/>
          <w:sz w:val="24"/>
        </w:rPr>
      </w:pPr>
      <w:r>
        <w:rPr>
          <w:rFonts w:hint="eastAsia"/>
          <w:bCs/>
          <w:color w:val="000000"/>
          <w:sz w:val="24"/>
        </w:rPr>
        <w:t>办公地址：上海市虹口区新建路</w:t>
      </w:r>
      <w:r>
        <w:rPr>
          <w:rFonts w:hint="eastAsia"/>
          <w:bCs/>
          <w:color w:val="000000"/>
          <w:sz w:val="24"/>
        </w:rPr>
        <w:t>200</w:t>
      </w:r>
      <w:r>
        <w:rPr>
          <w:rFonts w:hint="eastAsia"/>
          <w:bCs/>
          <w:color w:val="000000"/>
          <w:sz w:val="24"/>
        </w:rPr>
        <w:t>号国华金融中心</w:t>
      </w:r>
      <w:r>
        <w:rPr>
          <w:rFonts w:hint="eastAsia"/>
          <w:bCs/>
          <w:color w:val="000000"/>
          <w:sz w:val="24"/>
        </w:rPr>
        <w:t>B</w:t>
      </w:r>
      <w:r>
        <w:rPr>
          <w:rFonts w:hint="eastAsia"/>
          <w:bCs/>
          <w:color w:val="000000"/>
          <w:sz w:val="24"/>
        </w:rPr>
        <w:t>栋</w:t>
      </w:r>
      <w:r>
        <w:rPr>
          <w:rFonts w:hint="eastAsia"/>
          <w:bCs/>
          <w:color w:val="000000"/>
          <w:sz w:val="24"/>
        </w:rPr>
        <w:t>19</w:t>
      </w:r>
      <w:r>
        <w:rPr>
          <w:rFonts w:hint="eastAsia"/>
          <w:bCs/>
          <w:color w:val="000000"/>
          <w:sz w:val="24"/>
        </w:rPr>
        <w:t>层</w:t>
      </w:r>
    </w:p>
    <w:p w:rsidR="0081139D" w:rsidRDefault="00FA164F">
      <w:pPr>
        <w:snapToGrid w:val="0"/>
        <w:spacing w:line="440" w:lineRule="exact"/>
        <w:ind w:firstLineChars="200" w:firstLine="480"/>
        <w:rPr>
          <w:bCs/>
          <w:color w:val="000000"/>
          <w:sz w:val="24"/>
        </w:rPr>
      </w:pPr>
      <w:r>
        <w:rPr>
          <w:rFonts w:hint="eastAsia"/>
          <w:bCs/>
          <w:color w:val="000000"/>
          <w:sz w:val="24"/>
        </w:rPr>
        <w:t>法定代表人：杨忠</w:t>
      </w:r>
    </w:p>
    <w:p w:rsidR="0081139D" w:rsidRDefault="00FA164F">
      <w:pPr>
        <w:snapToGrid w:val="0"/>
        <w:spacing w:line="440" w:lineRule="exact"/>
        <w:ind w:firstLineChars="200" w:firstLine="480"/>
        <w:rPr>
          <w:bCs/>
          <w:color w:val="000000"/>
          <w:sz w:val="24"/>
        </w:rPr>
      </w:pPr>
      <w:r>
        <w:rPr>
          <w:rFonts w:hint="eastAsia"/>
          <w:bCs/>
          <w:color w:val="000000"/>
          <w:sz w:val="24"/>
        </w:rPr>
        <w:t>联系人：邓凌雯</w:t>
      </w:r>
    </w:p>
    <w:p w:rsidR="0081139D" w:rsidRDefault="00FA164F">
      <w:pPr>
        <w:snapToGrid w:val="0"/>
        <w:spacing w:line="440" w:lineRule="exact"/>
        <w:ind w:firstLineChars="200" w:firstLine="480"/>
        <w:rPr>
          <w:bCs/>
          <w:color w:val="000000"/>
          <w:sz w:val="24"/>
        </w:rPr>
      </w:pPr>
      <w:r>
        <w:rPr>
          <w:rFonts w:hint="eastAsia"/>
          <w:bCs/>
          <w:color w:val="000000"/>
          <w:sz w:val="24"/>
        </w:rPr>
        <w:t>联系电话：</w:t>
      </w:r>
      <w:r>
        <w:rPr>
          <w:rFonts w:hint="eastAsia"/>
          <w:bCs/>
          <w:color w:val="000000"/>
          <w:sz w:val="24"/>
        </w:rPr>
        <w:t>4001-166-866</w:t>
      </w:r>
    </w:p>
    <w:p w:rsidR="0081139D" w:rsidRDefault="00FA164F">
      <w:pPr>
        <w:snapToGrid w:val="0"/>
        <w:spacing w:line="440" w:lineRule="exact"/>
        <w:ind w:firstLineChars="200" w:firstLine="480"/>
        <w:rPr>
          <w:bCs/>
          <w:color w:val="000000"/>
          <w:sz w:val="24"/>
        </w:rPr>
      </w:pPr>
      <w:r>
        <w:rPr>
          <w:rFonts w:hint="eastAsia"/>
          <w:bCs/>
          <w:color w:val="000000"/>
          <w:sz w:val="24"/>
        </w:rPr>
        <w:t>网址：</w:t>
      </w:r>
      <w:r>
        <w:rPr>
          <w:rStyle w:val="af"/>
          <w:rFonts w:hint="eastAsia"/>
          <w:bCs/>
          <w:color w:val="000000"/>
          <w:sz w:val="24"/>
          <w:u w:val="none"/>
        </w:rPr>
        <w:t>www.cjzcgl.com</w:t>
      </w:r>
    </w:p>
    <w:p w:rsidR="0081139D" w:rsidRDefault="00FA164F">
      <w:pPr>
        <w:numPr>
          <w:ilvl w:val="0"/>
          <w:numId w:val="4"/>
        </w:numPr>
        <w:snapToGrid w:val="0"/>
        <w:spacing w:line="440" w:lineRule="exact"/>
        <w:ind w:firstLineChars="200" w:firstLine="480"/>
        <w:rPr>
          <w:rFonts w:ascii="宋体" w:hAnsi="宋体" w:cs="宋体"/>
          <w:sz w:val="24"/>
        </w:rPr>
      </w:pPr>
      <w:r>
        <w:rPr>
          <w:rFonts w:ascii="宋体" w:hAnsi="宋体" w:cs="宋体" w:hint="eastAsia"/>
          <w:sz w:val="24"/>
        </w:rPr>
        <w:t>其他销售机构</w:t>
      </w:r>
    </w:p>
    <w:p w:rsidR="0081139D" w:rsidRDefault="00FA164F">
      <w:pPr>
        <w:snapToGrid w:val="0"/>
        <w:spacing w:line="440" w:lineRule="exact"/>
        <w:ind w:firstLineChars="200" w:firstLine="480"/>
        <w:rPr>
          <w:rFonts w:ascii="宋体" w:hAnsi="宋体" w:cs="宋体"/>
          <w:sz w:val="24"/>
        </w:rPr>
      </w:pPr>
      <w:r>
        <w:rPr>
          <w:rFonts w:ascii="宋体" w:hAnsi="宋体" w:cs="宋体" w:hint="eastAsia"/>
          <w:sz w:val="24"/>
        </w:rPr>
        <w:t>其他销售机构信息详见基金管理人网站</w:t>
      </w:r>
      <w:r>
        <w:rPr>
          <w:rFonts w:ascii="宋体" w:hAnsi="宋体" w:cs="宋体" w:hint="eastAsia"/>
          <w:sz w:val="24"/>
        </w:rPr>
        <w:t>（</w:t>
      </w:r>
      <w:r>
        <w:rPr>
          <w:rFonts w:ascii="宋体" w:hAnsi="宋体" w:cs="宋体" w:hint="eastAsia"/>
          <w:sz w:val="24"/>
        </w:rPr>
        <w:t>www.cjzcgl.com</w:t>
      </w:r>
      <w:r>
        <w:rPr>
          <w:rFonts w:ascii="宋体" w:hAnsi="宋体" w:cs="宋体" w:hint="eastAsia"/>
          <w:sz w:val="24"/>
        </w:rPr>
        <w:t>）。</w:t>
      </w:r>
    </w:p>
    <w:p w:rsidR="0081139D" w:rsidRDefault="00FA164F">
      <w:pPr>
        <w:snapToGrid w:val="0"/>
        <w:spacing w:line="440" w:lineRule="exact"/>
        <w:ind w:firstLineChars="200" w:firstLine="480"/>
        <w:rPr>
          <w:bCs/>
          <w:color w:val="000000"/>
          <w:sz w:val="24"/>
        </w:rPr>
      </w:pPr>
      <w:bookmarkStart w:id="75" w:name="_Hlk98928344"/>
      <w:bookmarkEnd w:id="74"/>
      <w:r>
        <w:rPr>
          <w:rFonts w:ascii="宋体" w:hAnsi="宋体" w:cs="宋体" w:hint="eastAsia"/>
          <w:sz w:val="24"/>
          <w:szCs w:val="24"/>
        </w:rPr>
        <w:t>基金管理人可以根据情况变化、增加或者减少销售机构，并在基金管理人网站公示。销售机构可以根据情况变化、增加或者减少其销售城市、网点。各销售机构提供的基金销售服务可能有所差异，具体请咨询各销售机构</w:t>
      </w:r>
      <w:r>
        <w:rPr>
          <w:rFonts w:hint="eastAsia"/>
          <w:bCs/>
          <w:color w:val="000000"/>
          <w:sz w:val="24"/>
        </w:rPr>
        <w:t>。</w:t>
      </w:r>
    </w:p>
    <w:p w:rsidR="0081139D" w:rsidRDefault="00FA164F">
      <w:pPr>
        <w:spacing w:line="360" w:lineRule="auto"/>
        <w:ind w:firstLineChars="200" w:firstLine="562"/>
        <w:rPr>
          <w:rFonts w:ascii="宋体" w:hAnsi="宋体"/>
          <w:b/>
          <w:bCs/>
          <w:sz w:val="28"/>
        </w:rPr>
      </w:pPr>
      <w:r>
        <w:rPr>
          <w:rFonts w:ascii="宋体" w:hAnsi="宋体" w:hint="eastAsia"/>
          <w:b/>
          <w:bCs/>
          <w:sz w:val="28"/>
        </w:rPr>
        <w:t>（四）登记机构</w:t>
      </w:r>
    </w:p>
    <w:p w:rsidR="0081139D" w:rsidRDefault="00FA164F">
      <w:pPr>
        <w:autoSpaceDE w:val="0"/>
        <w:autoSpaceDN w:val="0"/>
        <w:adjustRightInd w:val="0"/>
        <w:spacing w:line="440" w:lineRule="exact"/>
        <w:ind w:firstLine="420"/>
        <w:jc w:val="left"/>
        <w:rPr>
          <w:bCs/>
          <w:color w:val="000000"/>
          <w:sz w:val="24"/>
        </w:rPr>
      </w:pPr>
      <w:r>
        <w:rPr>
          <w:rFonts w:hint="eastAsia"/>
          <w:bCs/>
          <w:color w:val="000000"/>
          <w:sz w:val="24"/>
        </w:rPr>
        <w:t>名称：长江证券（上海）资产管理有限公司</w:t>
      </w:r>
    </w:p>
    <w:p w:rsidR="0081139D" w:rsidRDefault="00FA164F">
      <w:pPr>
        <w:autoSpaceDE w:val="0"/>
        <w:autoSpaceDN w:val="0"/>
        <w:adjustRightInd w:val="0"/>
        <w:spacing w:line="440" w:lineRule="exact"/>
        <w:ind w:firstLine="420"/>
        <w:jc w:val="left"/>
        <w:rPr>
          <w:bCs/>
          <w:sz w:val="24"/>
        </w:rPr>
      </w:pPr>
      <w:r>
        <w:rPr>
          <w:rFonts w:hint="eastAsia"/>
          <w:bCs/>
          <w:sz w:val="24"/>
        </w:rPr>
        <w:t>住所：上海市虹口区新建路</w:t>
      </w:r>
      <w:r>
        <w:rPr>
          <w:rFonts w:hint="eastAsia"/>
          <w:bCs/>
          <w:sz w:val="24"/>
        </w:rPr>
        <w:t>200</w:t>
      </w:r>
      <w:r>
        <w:rPr>
          <w:rFonts w:hint="eastAsia"/>
          <w:bCs/>
          <w:sz w:val="24"/>
        </w:rPr>
        <w:t>号</w:t>
      </w:r>
      <w:r>
        <w:rPr>
          <w:rFonts w:hint="eastAsia"/>
          <w:bCs/>
          <w:sz w:val="24"/>
        </w:rPr>
        <w:t>B</w:t>
      </w:r>
      <w:r>
        <w:rPr>
          <w:rFonts w:hint="eastAsia"/>
          <w:bCs/>
          <w:sz w:val="24"/>
        </w:rPr>
        <w:t>栋</w:t>
      </w:r>
      <w:r>
        <w:rPr>
          <w:rFonts w:hint="eastAsia"/>
          <w:bCs/>
          <w:sz w:val="24"/>
        </w:rPr>
        <w:t>19</w:t>
      </w:r>
      <w:r>
        <w:rPr>
          <w:rFonts w:hint="eastAsia"/>
          <w:bCs/>
          <w:sz w:val="24"/>
        </w:rPr>
        <w:t>层</w:t>
      </w:r>
    </w:p>
    <w:p w:rsidR="0081139D" w:rsidRDefault="00FA164F">
      <w:pPr>
        <w:autoSpaceDE w:val="0"/>
        <w:autoSpaceDN w:val="0"/>
        <w:adjustRightInd w:val="0"/>
        <w:spacing w:line="440" w:lineRule="exact"/>
        <w:ind w:firstLine="420"/>
        <w:jc w:val="left"/>
        <w:rPr>
          <w:bCs/>
          <w:sz w:val="24"/>
        </w:rPr>
      </w:pPr>
      <w:r>
        <w:rPr>
          <w:rFonts w:hint="eastAsia"/>
          <w:bCs/>
          <w:sz w:val="24"/>
        </w:rPr>
        <w:t>办公地址：上海市虹口区新建路</w:t>
      </w:r>
      <w:r>
        <w:rPr>
          <w:rFonts w:hint="eastAsia"/>
          <w:bCs/>
          <w:sz w:val="24"/>
        </w:rPr>
        <w:t>200</w:t>
      </w:r>
      <w:r>
        <w:rPr>
          <w:rFonts w:hint="eastAsia"/>
          <w:bCs/>
          <w:sz w:val="24"/>
        </w:rPr>
        <w:t>号国华金融中心</w:t>
      </w:r>
      <w:r>
        <w:rPr>
          <w:rFonts w:hint="eastAsia"/>
          <w:bCs/>
          <w:sz w:val="24"/>
        </w:rPr>
        <w:t>B</w:t>
      </w:r>
      <w:r>
        <w:rPr>
          <w:rFonts w:hint="eastAsia"/>
          <w:bCs/>
          <w:sz w:val="24"/>
        </w:rPr>
        <w:t>栋</w:t>
      </w:r>
      <w:r>
        <w:rPr>
          <w:rFonts w:hint="eastAsia"/>
          <w:bCs/>
          <w:sz w:val="24"/>
        </w:rPr>
        <w:t>19</w:t>
      </w:r>
      <w:r>
        <w:rPr>
          <w:rFonts w:hint="eastAsia"/>
          <w:bCs/>
          <w:sz w:val="24"/>
        </w:rPr>
        <w:t>层</w:t>
      </w:r>
    </w:p>
    <w:p w:rsidR="0081139D" w:rsidRDefault="00FA164F">
      <w:pPr>
        <w:autoSpaceDE w:val="0"/>
        <w:autoSpaceDN w:val="0"/>
        <w:adjustRightInd w:val="0"/>
        <w:spacing w:line="440" w:lineRule="exact"/>
        <w:ind w:firstLine="420"/>
        <w:jc w:val="left"/>
        <w:rPr>
          <w:bCs/>
          <w:sz w:val="24"/>
        </w:rPr>
      </w:pPr>
      <w:r>
        <w:rPr>
          <w:rFonts w:hint="eastAsia"/>
          <w:bCs/>
          <w:sz w:val="24"/>
        </w:rPr>
        <w:t>法定代表人：杨忠</w:t>
      </w:r>
    </w:p>
    <w:p w:rsidR="0081139D" w:rsidRDefault="00FA164F">
      <w:pPr>
        <w:autoSpaceDE w:val="0"/>
        <w:autoSpaceDN w:val="0"/>
        <w:adjustRightInd w:val="0"/>
        <w:spacing w:line="440" w:lineRule="exact"/>
        <w:ind w:firstLine="420"/>
        <w:jc w:val="left"/>
        <w:rPr>
          <w:bCs/>
          <w:sz w:val="24"/>
        </w:rPr>
      </w:pPr>
      <w:r>
        <w:rPr>
          <w:rFonts w:hint="eastAsia"/>
          <w:bCs/>
          <w:sz w:val="24"/>
        </w:rPr>
        <w:t>联系人：何永生</w:t>
      </w:r>
    </w:p>
    <w:p w:rsidR="0081139D" w:rsidRDefault="00FA164F">
      <w:pPr>
        <w:autoSpaceDE w:val="0"/>
        <w:autoSpaceDN w:val="0"/>
        <w:adjustRightInd w:val="0"/>
        <w:spacing w:line="440" w:lineRule="exact"/>
        <w:ind w:firstLine="420"/>
        <w:jc w:val="left"/>
        <w:rPr>
          <w:bCs/>
          <w:sz w:val="24"/>
        </w:rPr>
      </w:pPr>
      <w:r>
        <w:rPr>
          <w:rFonts w:hint="eastAsia"/>
          <w:bCs/>
          <w:sz w:val="24"/>
        </w:rPr>
        <w:t>电话：</w:t>
      </w:r>
      <w:r>
        <w:rPr>
          <w:rFonts w:hint="eastAsia"/>
          <w:bCs/>
          <w:sz w:val="24"/>
        </w:rPr>
        <w:t>021-65779545</w:t>
      </w:r>
    </w:p>
    <w:p w:rsidR="0081139D" w:rsidRDefault="00FA164F">
      <w:pPr>
        <w:autoSpaceDE w:val="0"/>
        <w:autoSpaceDN w:val="0"/>
        <w:adjustRightInd w:val="0"/>
        <w:spacing w:line="440" w:lineRule="exact"/>
        <w:ind w:firstLine="420"/>
        <w:jc w:val="left"/>
        <w:rPr>
          <w:bCs/>
          <w:sz w:val="24"/>
        </w:rPr>
      </w:pPr>
      <w:r>
        <w:rPr>
          <w:rFonts w:hint="eastAsia"/>
          <w:bCs/>
          <w:sz w:val="24"/>
        </w:rPr>
        <w:t>传真：</w:t>
      </w:r>
      <w:r>
        <w:rPr>
          <w:rFonts w:hint="eastAsia"/>
          <w:bCs/>
          <w:sz w:val="24"/>
        </w:rPr>
        <w:t>021-65779500</w:t>
      </w:r>
    </w:p>
    <w:p w:rsidR="0081139D" w:rsidRDefault="00FA164F">
      <w:pPr>
        <w:spacing w:line="360" w:lineRule="auto"/>
        <w:ind w:firstLineChars="200" w:firstLine="562"/>
        <w:rPr>
          <w:rFonts w:ascii="宋体" w:hAnsi="宋体"/>
          <w:b/>
          <w:bCs/>
          <w:sz w:val="28"/>
        </w:rPr>
      </w:pPr>
      <w:r>
        <w:rPr>
          <w:rFonts w:ascii="宋体" w:hAnsi="宋体" w:hint="eastAsia"/>
          <w:b/>
          <w:bCs/>
          <w:sz w:val="28"/>
        </w:rPr>
        <w:t>（五）</w:t>
      </w:r>
      <w:r>
        <w:rPr>
          <w:rFonts w:ascii="宋体" w:hAnsi="宋体"/>
          <w:b/>
          <w:bCs/>
          <w:sz w:val="28"/>
        </w:rPr>
        <w:t>出具法律意见书的律师事务所</w:t>
      </w:r>
    </w:p>
    <w:p w:rsidR="0081139D" w:rsidRDefault="00FA164F">
      <w:pPr>
        <w:tabs>
          <w:tab w:val="left" w:pos="840"/>
        </w:tabs>
        <w:adjustRightInd w:val="0"/>
        <w:snapToGrid w:val="0"/>
        <w:spacing w:line="440" w:lineRule="exact"/>
        <w:ind w:firstLineChars="200" w:firstLine="480"/>
        <w:rPr>
          <w:bCs/>
          <w:color w:val="000000"/>
          <w:sz w:val="24"/>
        </w:rPr>
      </w:pPr>
      <w:r>
        <w:rPr>
          <w:rFonts w:hint="eastAsia"/>
          <w:bCs/>
          <w:color w:val="000000"/>
          <w:sz w:val="24"/>
        </w:rPr>
        <w:t>名称：上海市通力律师事务所</w:t>
      </w:r>
    </w:p>
    <w:p w:rsidR="0081139D" w:rsidRDefault="00FA164F">
      <w:pPr>
        <w:tabs>
          <w:tab w:val="left" w:pos="840"/>
        </w:tabs>
        <w:adjustRightInd w:val="0"/>
        <w:snapToGrid w:val="0"/>
        <w:spacing w:line="440" w:lineRule="exact"/>
        <w:ind w:firstLineChars="200" w:firstLine="480"/>
        <w:rPr>
          <w:bCs/>
          <w:color w:val="000000"/>
          <w:sz w:val="24"/>
        </w:rPr>
      </w:pPr>
      <w:r>
        <w:rPr>
          <w:rFonts w:hint="eastAsia"/>
          <w:bCs/>
          <w:color w:val="000000"/>
          <w:sz w:val="24"/>
        </w:rPr>
        <w:t>住所：上海市银城中路</w:t>
      </w:r>
      <w:r>
        <w:rPr>
          <w:rFonts w:hint="eastAsia"/>
          <w:bCs/>
          <w:color w:val="000000"/>
          <w:sz w:val="24"/>
        </w:rPr>
        <w:t>68</w:t>
      </w:r>
      <w:r>
        <w:rPr>
          <w:rFonts w:hint="eastAsia"/>
          <w:bCs/>
          <w:color w:val="000000"/>
          <w:sz w:val="24"/>
        </w:rPr>
        <w:t>号时代金融中心</w:t>
      </w:r>
      <w:r>
        <w:rPr>
          <w:rFonts w:hint="eastAsia"/>
          <w:bCs/>
          <w:color w:val="000000"/>
          <w:sz w:val="24"/>
        </w:rPr>
        <w:t>19</w:t>
      </w:r>
      <w:r>
        <w:rPr>
          <w:rFonts w:hint="eastAsia"/>
          <w:bCs/>
          <w:color w:val="000000"/>
          <w:sz w:val="24"/>
        </w:rPr>
        <w:t>楼</w:t>
      </w:r>
    </w:p>
    <w:p w:rsidR="0081139D" w:rsidRDefault="00FA164F">
      <w:pPr>
        <w:tabs>
          <w:tab w:val="left" w:pos="840"/>
        </w:tabs>
        <w:adjustRightInd w:val="0"/>
        <w:snapToGrid w:val="0"/>
        <w:spacing w:line="440" w:lineRule="exact"/>
        <w:ind w:firstLineChars="200" w:firstLine="480"/>
        <w:rPr>
          <w:bCs/>
          <w:color w:val="000000"/>
          <w:sz w:val="24"/>
        </w:rPr>
      </w:pPr>
      <w:r>
        <w:rPr>
          <w:rFonts w:hint="eastAsia"/>
          <w:bCs/>
          <w:color w:val="000000"/>
          <w:sz w:val="24"/>
        </w:rPr>
        <w:t>办公地址：上海市银城中路</w:t>
      </w:r>
      <w:r>
        <w:rPr>
          <w:rFonts w:hint="eastAsia"/>
          <w:bCs/>
          <w:color w:val="000000"/>
          <w:sz w:val="24"/>
        </w:rPr>
        <w:t>68</w:t>
      </w:r>
      <w:r>
        <w:rPr>
          <w:rFonts w:hint="eastAsia"/>
          <w:bCs/>
          <w:color w:val="000000"/>
          <w:sz w:val="24"/>
        </w:rPr>
        <w:t>号时代金融中心</w:t>
      </w:r>
      <w:r>
        <w:rPr>
          <w:rFonts w:hint="eastAsia"/>
          <w:bCs/>
          <w:color w:val="000000"/>
          <w:sz w:val="24"/>
        </w:rPr>
        <w:t>19</w:t>
      </w:r>
      <w:r>
        <w:rPr>
          <w:rFonts w:hint="eastAsia"/>
          <w:bCs/>
          <w:color w:val="000000"/>
          <w:sz w:val="24"/>
        </w:rPr>
        <w:t>楼</w:t>
      </w:r>
    </w:p>
    <w:p w:rsidR="0081139D" w:rsidRDefault="00FA164F">
      <w:pPr>
        <w:tabs>
          <w:tab w:val="left" w:pos="840"/>
        </w:tabs>
        <w:adjustRightInd w:val="0"/>
        <w:snapToGrid w:val="0"/>
        <w:spacing w:line="440" w:lineRule="exact"/>
        <w:ind w:firstLineChars="200" w:firstLine="480"/>
        <w:rPr>
          <w:bCs/>
          <w:color w:val="000000"/>
          <w:sz w:val="24"/>
        </w:rPr>
      </w:pPr>
      <w:r>
        <w:rPr>
          <w:rFonts w:hint="eastAsia"/>
          <w:bCs/>
          <w:color w:val="000000"/>
          <w:sz w:val="24"/>
        </w:rPr>
        <w:t>负责人：韩炯</w:t>
      </w:r>
    </w:p>
    <w:p w:rsidR="0081139D" w:rsidRDefault="00FA164F">
      <w:pPr>
        <w:tabs>
          <w:tab w:val="left" w:pos="840"/>
        </w:tabs>
        <w:adjustRightInd w:val="0"/>
        <w:snapToGrid w:val="0"/>
        <w:spacing w:line="440" w:lineRule="exact"/>
        <w:ind w:firstLineChars="200" w:firstLine="480"/>
        <w:rPr>
          <w:bCs/>
          <w:color w:val="000000"/>
          <w:sz w:val="24"/>
        </w:rPr>
      </w:pPr>
      <w:r>
        <w:rPr>
          <w:rFonts w:hint="eastAsia"/>
          <w:bCs/>
          <w:color w:val="000000"/>
          <w:sz w:val="24"/>
        </w:rPr>
        <w:t>经办律师：丁媛、胡嘉雯</w:t>
      </w:r>
    </w:p>
    <w:p w:rsidR="0081139D" w:rsidRDefault="00FA164F">
      <w:pPr>
        <w:tabs>
          <w:tab w:val="left" w:pos="840"/>
        </w:tabs>
        <w:adjustRightInd w:val="0"/>
        <w:snapToGrid w:val="0"/>
        <w:spacing w:line="440" w:lineRule="exact"/>
        <w:ind w:firstLineChars="200" w:firstLine="480"/>
        <w:rPr>
          <w:bCs/>
          <w:color w:val="000000"/>
          <w:sz w:val="24"/>
        </w:rPr>
      </w:pPr>
      <w:r>
        <w:rPr>
          <w:rFonts w:hint="eastAsia"/>
          <w:bCs/>
          <w:color w:val="000000"/>
          <w:sz w:val="24"/>
        </w:rPr>
        <w:t>电话：</w:t>
      </w:r>
      <w:r>
        <w:rPr>
          <w:rFonts w:hint="eastAsia"/>
          <w:bCs/>
          <w:color w:val="000000"/>
          <w:sz w:val="24"/>
        </w:rPr>
        <w:t>021-31358666</w:t>
      </w:r>
    </w:p>
    <w:p w:rsidR="0081139D" w:rsidRDefault="00FA164F">
      <w:pPr>
        <w:tabs>
          <w:tab w:val="left" w:pos="840"/>
        </w:tabs>
        <w:adjustRightInd w:val="0"/>
        <w:snapToGrid w:val="0"/>
        <w:spacing w:line="440" w:lineRule="exact"/>
        <w:ind w:firstLineChars="200" w:firstLine="480"/>
        <w:rPr>
          <w:bCs/>
          <w:color w:val="000000"/>
          <w:sz w:val="24"/>
        </w:rPr>
      </w:pPr>
      <w:r>
        <w:rPr>
          <w:rFonts w:hint="eastAsia"/>
          <w:bCs/>
          <w:color w:val="000000"/>
          <w:sz w:val="24"/>
        </w:rPr>
        <w:t>传真：</w:t>
      </w:r>
      <w:r>
        <w:rPr>
          <w:rFonts w:hint="eastAsia"/>
          <w:bCs/>
          <w:color w:val="000000"/>
          <w:sz w:val="24"/>
        </w:rPr>
        <w:t>021-31358600</w:t>
      </w:r>
    </w:p>
    <w:p w:rsidR="0081139D" w:rsidRDefault="00FA164F">
      <w:pPr>
        <w:tabs>
          <w:tab w:val="left" w:pos="840"/>
        </w:tabs>
        <w:adjustRightInd w:val="0"/>
        <w:snapToGrid w:val="0"/>
        <w:spacing w:line="440" w:lineRule="exact"/>
        <w:ind w:firstLineChars="200" w:firstLine="480"/>
        <w:rPr>
          <w:bCs/>
          <w:color w:val="000000"/>
          <w:sz w:val="24"/>
        </w:rPr>
      </w:pPr>
      <w:r>
        <w:rPr>
          <w:rFonts w:hint="eastAsia"/>
          <w:bCs/>
          <w:color w:val="000000"/>
          <w:sz w:val="24"/>
        </w:rPr>
        <w:t>联系人：丁媛</w:t>
      </w:r>
    </w:p>
    <w:p w:rsidR="0081139D" w:rsidRDefault="00FA164F">
      <w:pPr>
        <w:spacing w:line="360" w:lineRule="auto"/>
        <w:ind w:firstLineChars="200" w:firstLine="562"/>
        <w:rPr>
          <w:rFonts w:ascii="宋体" w:hAnsi="宋体"/>
          <w:b/>
          <w:bCs/>
          <w:sz w:val="28"/>
        </w:rPr>
      </w:pPr>
      <w:r>
        <w:rPr>
          <w:rFonts w:ascii="宋体" w:hAnsi="宋体" w:hint="eastAsia"/>
          <w:b/>
          <w:bCs/>
          <w:sz w:val="28"/>
        </w:rPr>
        <w:t>（六）</w:t>
      </w:r>
      <w:r>
        <w:rPr>
          <w:rFonts w:ascii="宋体" w:hAnsi="宋体"/>
          <w:b/>
          <w:bCs/>
          <w:sz w:val="28"/>
        </w:rPr>
        <w:t>审计基金财产的会计师事务所</w:t>
      </w:r>
    </w:p>
    <w:p w:rsidR="0081139D" w:rsidRDefault="00FA164F">
      <w:pPr>
        <w:tabs>
          <w:tab w:val="left" w:pos="840"/>
        </w:tabs>
        <w:adjustRightInd w:val="0"/>
        <w:snapToGrid w:val="0"/>
        <w:spacing w:line="440" w:lineRule="exact"/>
        <w:ind w:firstLine="480"/>
        <w:rPr>
          <w:rFonts w:cs="宋体"/>
          <w:color w:val="000000"/>
          <w:sz w:val="24"/>
        </w:rPr>
      </w:pPr>
      <w:r>
        <w:rPr>
          <w:rFonts w:cs="宋体" w:hint="eastAsia"/>
          <w:color w:val="000000"/>
          <w:sz w:val="24"/>
        </w:rPr>
        <w:t>名称：中审众环会计师事务所（特殊普通合伙）</w:t>
      </w:r>
    </w:p>
    <w:p w:rsidR="0081139D" w:rsidRDefault="00FA164F">
      <w:pPr>
        <w:tabs>
          <w:tab w:val="left" w:pos="840"/>
        </w:tabs>
        <w:adjustRightInd w:val="0"/>
        <w:snapToGrid w:val="0"/>
        <w:spacing w:line="440" w:lineRule="exact"/>
        <w:ind w:firstLine="480"/>
        <w:rPr>
          <w:rFonts w:cs="宋体"/>
          <w:color w:val="000000"/>
          <w:sz w:val="24"/>
        </w:rPr>
      </w:pPr>
      <w:r>
        <w:rPr>
          <w:rFonts w:cs="宋体" w:hint="eastAsia"/>
          <w:color w:val="000000"/>
          <w:sz w:val="24"/>
        </w:rPr>
        <w:t>注册地址：湖北省武汉市武昌区</w:t>
      </w:r>
      <w:r>
        <w:rPr>
          <w:rFonts w:ascii="宋体" w:hAnsi="宋体" w:cs="宋体" w:hint="eastAsia"/>
          <w:color w:val="000000"/>
          <w:sz w:val="24"/>
        </w:rPr>
        <w:t>水果湖街道</w:t>
      </w:r>
      <w:r>
        <w:rPr>
          <w:rFonts w:cs="宋体" w:hint="eastAsia"/>
          <w:color w:val="000000"/>
          <w:sz w:val="24"/>
        </w:rPr>
        <w:t>中北路</w:t>
      </w:r>
      <w:r>
        <w:rPr>
          <w:rFonts w:cs="宋体" w:hint="eastAsia"/>
          <w:color w:val="000000"/>
          <w:sz w:val="24"/>
        </w:rPr>
        <w:t>166</w:t>
      </w:r>
      <w:r>
        <w:rPr>
          <w:rFonts w:cs="宋体" w:hint="eastAsia"/>
          <w:color w:val="000000"/>
          <w:sz w:val="24"/>
        </w:rPr>
        <w:t>号长江产业大厦</w:t>
      </w:r>
      <w:r>
        <w:rPr>
          <w:rFonts w:cs="宋体" w:hint="eastAsia"/>
          <w:color w:val="000000"/>
          <w:sz w:val="24"/>
        </w:rPr>
        <w:t>17-18</w:t>
      </w:r>
      <w:r>
        <w:rPr>
          <w:rFonts w:cs="宋体" w:hint="eastAsia"/>
          <w:color w:val="000000"/>
          <w:sz w:val="24"/>
        </w:rPr>
        <w:t>楼</w:t>
      </w:r>
    </w:p>
    <w:p w:rsidR="0081139D" w:rsidRDefault="00FA164F">
      <w:pPr>
        <w:tabs>
          <w:tab w:val="left" w:pos="840"/>
        </w:tabs>
        <w:adjustRightInd w:val="0"/>
        <w:snapToGrid w:val="0"/>
        <w:spacing w:line="440" w:lineRule="exact"/>
        <w:ind w:firstLine="480"/>
        <w:rPr>
          <w:rFonts w:cs="宋体"/>
          <w:color w:val="000000"/>
          <w:sz w:val="24"/>
        </w:rPr>
      </w:pPr>
      <w:r>
        <w:rPr>
          <w:rFonts w:cs="宋体" w:hint="eastAsia"/>
          <w:color w:val="000000"/>
          <w:sz w:val="24"/>
        </w:rPr>
        <w:t>办公地址：湖北省武汉市武昌区</w:t>
      </w:r>
      <w:r>
        <w:rPr>
          <w:rFonts w:ascii="宋体" w:hAnsi="宋体" w:cs="宋体" w:hint="eastAsia"/>
          <w:color w:val="000000"/>
          <w:sz w:val="24"/>
        </w:rPr>
        <w:t>水果湖街道</w:t>
      </w:r>
      <w:r>
        <w:rPr>
          <w:rFonts w:cs="宋体" w:hint="eastAsia"/>
          <w:color w:val="000000"/>
          <w:sz w:val="24"/>
        </w:rPr>
        <w:t>中北路</w:t>
      </w:r>
      <w:r>
        <w:rPr>
          <w:rFonts w:cs="宋体" w:hint="eastAsia"/>
          <w:color w:val="000000"/>
          <w:sz w:val="24"/>
        </w:rPr>
        <w:t>166</w:t>
      </w:r>
      <w:r>
        <w:rPr>
          <w:rFonts w:cs="宋体" w:hint="eastAsia"/>
          <w:color w:val="000000"/>
          <w:sz w:val="24"/>
        </w:rPr>
        <w:t>号长江产业大厦</w:t>
      </w:r>
      <w:r>
        <w:rPr>
          <w:rFonts w:cs="宋体" w:hint="eastAsia"/>
          <w:color w:val="000000"/>
          <w:sz w:val="24"/>
        </w:rPr>
        <w:t>17-18</w:t>
      </w:r>
      <w:r>
        <w:rPr>
          <w:rFonts w:cs="宋体" w:hint="eastAsia"/>
          <w:color w:val="000000"/>
          <w:sz w:val="24"/>
        </w:rPr>
        <w:t>楼</w:t>
      </w:r>
    </w:p>
    <w:p w:rsidR="0081139D" w:rsidRDefault="00FA164F">
      <w:pPr>
        <w:tabs>
          <w:tab w:val="left" w:pos="840"/>
        </w:tabs>
        <w:adjustRightInd w:val="0"/>
        <w:snapToGrid w:val="0"/>
        <w:spacing w:line="440" w:lineRule="exact"/>
        <w:ind w:firstLine="480"/>
        <w:rPr>
          <w:rFonts w:cs="宋体"/>
          <w:color w:val="000000"/>
          <w:sz w:val="24"/>
        </w:rPr>
      </w:pPr>
      <w:r>
        <w:rPr>
          <w:rFonts w:cs="宋体" w:hint="eastAsia"/>
          <w:color w:val="000000"/>
          <w:sz w:val="24"/>
        </w:rPr>
        <w:t>负责人：石</w:t>
      </w:r>
      <w:r>
        <w:rPr>
          <w:rFonts w:cs="宋体" w:hint="eastAsia"/>
          <w:color w:val="000000"/>
          <w:sz w:val="24"/>
        </w:rPr>
        <w:t>文先</w:t>
      </w:r>
    </w:p>
    <w:p w:rsidR="0081139D" w:rsidRDefault="00FA164F">
      <w:pPr>
        <w:tabs>
          <w:tab w:val="left" w:pos="840"/>
        </w:tabs>
        <w:adjustRightInd w:val="0"/>
        <w:snapToGrid w:val="0"/>
        <w:spacing w:line="440" w:lineRule="exact"/>
        <w:ind w:firstLine="480"/>
        <w:rPr>
          <w:rFonts w:cs="宋体"/>
          <w:color w:val="000000"/>
          <w:sz w:val="24"/>
        </w:rPr>
      </w:pPr>
      <w:r>
        <w:rPr>
          <w:rFonts w:cs="宋体" w:hint="eastAsia"/>
          <w:color w:val="000000"/>
          <w:sz w:val="24"/>
        </w:rPr>
        <w:t>经办注册会计师：余宝玉、胡锐</w:t>
      </w:r>
    </w:p>
    <w:p w:rsidR="0081139D" w:rsidRDefault="00FA164F">
      <w:pPr>
        <w:tabs>
          <w:tab w:val="left" w:pos="840"/>
        </w:tabs>
        <w:adjustRightInd w:val="0"/>
        <w:snapToGrid w:val="0"/>
        <w:spacing w:line="440" w:lineRule="exact"/>
        <w:ind w:firstLine="480"/>
        <w:rPr>
          <w:rFonts w:cs="宋体"/>
          <w:color w:val="000000"/>
          <w:sz w:val="24"/>
        </w:rPr>
      </w:pPr>
      <w:r>
        <w:rPr>
          <w:rFonts w:cs="宋体" w:hint="eastAsia"/>
          <w:color w:val="000000"/>
          <w:sz w:val="24"/>
        </w:rPr>
        <w:t>联系电话：</w:t>
      </w:r>
      <w:r>
        <w:rPr>
          <w:rFonts w:cs="宋体" w:hint="eastAsia"/>
          <w:color w:val="000000"/>
          <w:sz w:val="24"/>
        </w:rPr>
        <w:t>027-86791215</w:t>
      </w:r>
    </w:p>
    <w:p w:rsidR="0081139D" w:rsidRDefault="00FA164F">
      <w:pPr>
        <w:tabs>
          <w:tab w:val="left" w:pos="840"/>
        </w:tabs>
        <w:adjustRightInd w:val="0"/>
        <w:snapToGrid w:val="0"/>
        <w:spacing w:line="440" w:lineRule="exact"/>
        <w:ind w:firstLine="480"/>
        <w:rPr>
          <w:rFonts w:cs="宋体"/>
          <w:color w:val="000000"/>
          <w:sz w:val="24"/>
        </w:rPr>
      </w:pPr>
      <w:r>
        <w:rPr>
          <w:rFonts w:cs="宋体" w:hint="eastAsia"/>
          <w:color w:val="000000"/>
          <w:sz w:val="24"/>
        </w:rPr>
        <w:t>传真：</w:t>
      </w:r>
      <w:r>
        <w:rPr>
          <w:rFonts w:cs="宋体" w:hint="eastAsia"/>
          <w:color w:val="000000"/>
          <w:sz w:val="24"/>
        </w:rPr>
        <w:t>027-85424329</w:t>
      </w:r>
    </w:p>
    <w:p w:rsidR="0081139D" w:rsidRDefault="00FA164F">
      <w:pPr>
        <w:tabs>
          <w:tab w:val="left" w:pos="840"/>
        </w:tabs>
        <w:adjustRightInd w:val="0"/>
        <w:snapToGrid w:val="0"/>
        <w:spacing w:line="440" w:lineRule="exact"/>
        <w:ind w:firstLine="480"/>
        <w:rPr>
          <w:rFonts w:cs="宋体"/>
          <w:color w:val="000000"/>
          <w:sz w:val="24"/>
        </w:rPr>
      </w:pPr>
      <w:r>
        <w:rPr>
          <w:rFonts w:cs="宋体" w:hint="eastAsia"/>
          <w:color w:val="000000"/>
          <w:sz w:val="24"/>
        </w:rPr>
        <w:t>联系人：余宝玉</w:t>
      </w:r>
    </w:p>
    <w:bookmarkEnd w:id="75"/>
    <w:p w:rsidR="0081139D" w:rsidRDefault="0081139D">
      <w:pPr>
        <w:tabs>
          <w:tab w:val="left" w:pos="840"/>
        </w:tabs>
        <w:adjustRightInd w:val="0"/>
        <w:snapToGrid w:val="0"/>
        <w:spacing w:line="440" w:lineRule="exact"/>
        <w:ind w:firstLine="480"/>
        <w:rPr>
          <w:rFonts w:cs="宋体"/>
          <w:color w:val="000000"/>
          <w:sz w:val="24"/>
        </w:rPr>
      </w:pPr>
    </w:p>
    <w:p w:rsidR="0081139D" w:rsidRDefault="0081139D">
      <w:pPr>
        <w:tabs>
          <w:tab w:val="left" w:pos="840"/>
        </w:tabs>
        <w:adjustRightInd w:val="0"/>
        <w:snapToGrid w:val="0"/>
        <w:spacing w:line="440" w:lineRule="exact"/>
        <w:ind w:firstLine="480"/>
        <w:rPr>
          <w:rFonts w:cs="宋体"/>
          <w:color w:val="000000"/>
          <w:sz w:val="24"/>
        </w:rPr>
      </w:pPr>
    </w:p>
    <w:p w:rsidR="0081139D" w:rsidRDefault="0081139D">
      <w:pPr>
        <w:tabs>
          <w:tab w:val="left" w:pos="840"/>
        </w:tabs>
        <w:adjustRightInd w:val="0"/>
        <w:snapToGrid w:val="0"/>
        <w:spacing w:line="440" w:lineRule="exact"/>
        <w:ind w:firstLine="480"/>
        <w:rPr>
          <w:rFonts w:cs="宋体"/>
          <w:color w:val="000000"/>
          <w:sz w:val="24"/>
        </w:rPr>
      </w:pPr>
    </w:p>
    <w:p w:rsidR="0081139D" w:rsidRDefault="00FA164F">
      <w:pPr>
        <w:tabs>
          <w:tab w:val="left" w:pos="840"/>
        </w:tabs>
        <w:adjustRightInd w:val="0"/>
        <w:snapToGrid w:val="0"/>
        <w:spacing w:line="480" w:lineRule="auto"/>
        <w:ind w:firstLine="480"/>
        <w:jc w:val="right"/>
        <w:rPr>
          <w:sz w:val="24"/>
        </w:rPr>
      </w:pPr>
      <w:r>
        <w:rPr>
          <w:rFonts w:hint="eastAsia"/>
          <w:sz w:val="24"/>
        </w:rPr>
        <w:t>长江证券（上海）资产管理有限公司</w:t>
      </w:r>
    </w:p>
    <w:p w:rsidR="0081139D" w:rsidRDefault="00FA164F">
      <w:pPr>
        <w:pStyle w:val="a3"/>
        <w:spacing w:line="480" w:lineRule="auto"/>
        <w:ind w:firstLineChars="200" w:firstLine="480"/>
        <w:jc w:val="right"/>
        <w:rPr>
          <w:rFonts w:ascii="宋体" w:hAnsi="宋体"/>
          <w:szCs w:val="28"/>
        </w:rPr>
      </w:pPr>
      <w:r>
        <w:rPr>
          <w:sz w:val="24"/>
        </w:rPr>
        <w:t>二〇二</w:t>
      </w:r>
      <w:r>
        <w:rPr>
          <w:rFonts w:hint="eastAsia"/>
          <w:sz w:val="24"/>
        </w:rPr>
        <w:t>五</w:t>
      </w:r>
      <w:r>
        <w:rPr>
          <w:rFonts w:hint="eastAsia"/>
          <w:sz w:val="24"/>
        </w:rPr>
        <w:t>年</w:t>
      </w:r>
      <w:r>
        <w:rPr>
          <w:rFonts w:hint="eastAsia"/>
          <w:sz w:val="24"/>
        </w:rPr>
        <w:t>十一</w:t>
      </w:r>
      <w:r>
        <w:rPr>
          <w:sz w:val="24"/>
        </w:rPr>
        <w:t>月</w:t>
      </w:r>
      <w:r>
        <w:rPr>
          <w:rFonts w:hint="eastAsia"/>
          <w:sz w:val="24"/>
        </w:rPr>
        <w:t>二十七</w:t>
      </w:r>
      <w:r>
        <w:rPr>
          <w:sz w:val="24"/>
        </w:rPr>
        <w:t>日</w:t>
      </w:r>
    </w:p>
    <w:sectPr w:rsidR="0081139D" w:rsidSect="0081139D">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39D" w:rsidRDefault="0081139D" w:rsidP="0081139D">
      <w:r>
        <w:separator/>
      </w:r>
    </w:p>
  </w:endnote>
  <w:endnote w:type="continuationSeparator" w:id="0">
    <w:p w:rsidR="0081139D" w:rsidRDefault="0081139D" w:rsidP="008113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39D" w:rsidRDefault="0081139D">
    <w:pPr>
      <w:pStyle w:val="a9"/>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mso-width-relative:page;mso-height-relative:page" filled="f" stroked="f" strokeweight="1.25pt">
          <v:textbox style="mso-fit-shape-to-text:t" inset="0,0,0,0">
            <w:txbxContent>
              <w:p w:rsidR="0081139D" w:rsidRDefault="0081139D">
                <w:pPr>
                  <w:pStyle w:val="a9"/>
                </w:pPr>
                <w:r>
                  <w:fldChar w:fldCharType="begin"/>
                </w:r>
                <w:r w:rsidR="00FA164F">
                  <w:instrText xml:space="preserve"> PAGE  \* MERGEFORMAT </w:instrText>
                </w:r>
                <w:r>
                  <w:fldChar w:fldCharType="separate"/>
                </w:r>
                <w:r w:rsidR="00FA164F">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39D" w:rsidRDefault="0081139D" w:rsidP="0081139D">
      <w:r>
        <w:separator/>
      </w:r>
    </w:p>
  </w:footnote>
  <w:footnote w:type="continuationSeparator" w:id="0">
    <w:p w:rsidR="0081139D" w:rsidRDefault="0081139D" w:rsidP="008113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695751"/>
    <w:multiLevelType w:val="singleLevel"/>
    <w:tmpl w:val="B8695751"/>
    <w:lvl w:ilvl="0">
      <w:start w:val="2"/>
      <w:numFmt w:val="decimal"/>
      <w:suff w:val="nothing"/>
      <w:lvlText w:val="%1、"/>
      <w:lvlJc w:val="left"/>
    </w:lvl>
  </w:abstractNum>
  <w:abstractNum w:abstractNumId="1">
    <w:nsid w:val="D096B99E"/>
    <w:multiLevelType w:val="singleLevel"/>
    <w:tmpl w:val="D096B99E"/>
    <w:lvl w:ilvl="0">
      <w:start w:val="5"/>
      <w:numFmt w:val="decimal"/>
      <w:suff w:val="nothing"/>
      <w:lvlText w:val="%1、"/>
      <w:lvlJc w:val="left"/>
    </w:lvl>
  </w:abstractNum>
  <w:abstractNum w:abstractNumId="2">
    <w:nsid w:val="E0E6EB4E"/>
    <w:multiLevelType w:val="singleLevel"/>
    <w:tmpl w:val="E0E6EB4E"/>
    <w:lvl w:ilvl="0">
      <w:start w:val="3"/>
      <w:numFmt w:val="chineseCounting"/>
      <w:suff w:val="nothing"/>
      <w:lvlText w:val="（%1）"/>
      <w:lvlJc w:val="left"/>
      <w:rPr>
        <w:rFonts w:hint="eastAsia"/>
      </w:rPr>
    </w:lvl>
  </w:abstractNum>
  <w:abstractNum w:abstractNumId="3">
    <w:nsid w:val="5D803910"/>
    <w:multiLevelType w:val="multilevel"/>
    <w:tmpl w:val="5D803910"/>
    <w:lvl w:ilvl="0">
      <w:start w:val="1"/>
      <w:numFmt w:val="japaneseCounting"/>
      <w:lvlText w:val="（%1）"/>
      <w:lvlJc w:val="left"/>
      <w:pPr>
        <w:tabs>
          <w:tab w:val="left" w:pos="1417"/>
        </w:tabs>
        <w:ind w:left="1417" w:hanging="855"/>
      </w:pPr>
      <w:rPr>
        <w:rFonts w:hint="eastAsia"/>
      </w:rPr>
    </w:lvl>
    <w:lvl w:ilvl="1">
      <w:start w:val="1"/>
      <w:numFmt w:val="decimal"/>
      <w:lvlText w:val="%2."/>
      <w:lvlJc w:val="left"/>
      <w:pPr>
        <w:tabs>
          <w:tab w:val="left" w:pos="1342"/>
        </w:tabs>
        <w:ind w:left="1342" w:hanging="360"/>
      </w:pPr>
      <w:rPr>
        <w:rFonts w:hint="eastAsia"/>
      </w:rPr>
    </w:lvl>
    <w:lvl w:ilvl="2">
      <w:start w:val="1"/>
      <w:numFmt w:val="decimal"/>
      <w:lvlText w:val="（%3）"/>
      <w:lvlJc w:val="left"/>
      <w:pPr>
        <w:tabs>
          <w:tab w:val="left" w:pos="2122"/>
        </w:tabs>
        <w:ind w:left="2122" w:hanging="720"/>
      </w:pPr>
      <w:rPr>
        <w:rFonts w:hint="eastAsia"/>
      </w:rPr>
    </w:lvl>
    <w:lvl w:ilvl="3">
      <w:start w:val="1"/>
      <w:numFmt w:val="upperLetter"/>
      <w:lvlText w:val="%4."/>
      <w:lvlJc w:val="left"/>
      <w:pPr>
        <w:tabs>
          <w:tab w:val="left" w:pos="2542"/>
        </w:tabs>
        <w:ind w:left="2542" w:hanging="720"/>
      </w:pPr>
      <w:rPr>
        <w:rFonts w:hint="eastAsia"/>
      </w:rPr>
    </w:lvl>
    <w:lvl w:ilvl="4">
      <w:start w:val="1"/>
      <w:numFmt w:val="decimal"/>
      <w:lvlText w:val="%5）"/>
      <w:lvlJc w:val="left"/>
      <w:pPr>
        <w:tabs>
          <w:tab w:val="left" w:pos="2602"/>
        </w:tabs>
        <w:ind w:left="2602" w:hanging="360"/>
      </w:pPr>
      <w:rPr>
        <w:rFonts w:hint="eastAsia"/>
      </w:rPr>
    </w:lvl>
    <w:lvl w:ilvl="5">
      <w:start w:val="1"/>
      <w:numFmt w:val="lowerRoman"/>
      <w:lvlText w:val="%6."/>
      <w:lvlJc w:val="right"/>
      <w:pPr>
        <w:tabs>
          <w:tab w:val="left" w:pos="3082"/>
        </w:tabs>
        <w:ind w:left="3082" w:hanging="420"/>
      </w:pPr>
    </w:lvl>
    <w:lvl w:ilvl="6">
      <w:start w:val="1"/>
      <w:numFmt w:val="decimal"/>
      <w:lvlText w:val="%7."/>
      <w:lvlJc w:val="left"/>
      <w:pPr>
        <w:tabs>
          <w:tab w:val="left" w:pos="3502"/>
        </w:tabs>
        <w:ind w:left="3502" w:hanging="420"/>
      </w:pPr>
    </w:lvl>
    <w:lvl w:ilvl="7">
      <w:start w:val="1"/>
      <w:numFmt w:val="lowerLetter"/>
      <w:lvlText w:val="%8)"/>
      <w:lvlJc w:val="left"/>
      <w:pPr>
        <w:tabs>
          <w:tab w:val="left" w:pos="3922"/>
        </w:tabs>
        <w:ind w:left="3922" w:hanging="420"/>
      </w:pPr>
    </w:lvl>
    <w:lvl w:ilvl="8">
      <w:start w:val="1"/>
      <w:numFmt w:val="lowerRoman"/>
      <w:lvlText w:val="%9."/>
      <w:lvlJc w:val="right"/>
      <w:pPr>
        <w:tabs>
          <w:tab w:val="left" w:pos="4342"/>
        </w:tabs>
        <w:ind w:left="4342"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stylePaneFormatFilter w:val="3F01"/>
  <w:trackRevisions/>
  <w:defaultTabStop w:val="420"/>
  <w:drawingGridVerticalSpacing w:val="156"/>
  <w:noPunctuationKerning/>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14C"/>
    <w:rsid w:val="00001AA5"/>
    <w:rsid w:val="0000223E"/>
    <w:rsid w:val="00002FE7"/>
    <w:rsid w:val="00003ACA"/>
    <w:rsid w:val="0000550C"/>
    <w:rsid w:val="00005A8D"/>
    <w:rsid w:val="0000605F"/>
    <w:rsid w:val="000063C5"/>
    <w:rsid w:val="000067E0"/>
    <w:rsid w:val="00006F7B"/>
    <w:rsid w:val="000075FC"/>
    <w:rsid w:val="00007928"/>
    <w:rsid w:val="00010430"/>
    <w:rsid w:val="00010D63"/>
    <w:rsid w:val="00010E74"/>
    <w:rsid w:val="000124B8"/>
    <w:rsid w:val="00012790"/>
    <w:rsid w:val="00012923"/>
    <w:rsid w:val="00012F08"/>
    <w:rsid w:val="000137B0"/>
    <w:rsid w:val="0001380C"/>
    <w:rsid w:val="00014276"/>
    <w:rsid w:val="00015019"/>
    <w:rsid w:val="00015F01"/>
    <w:rsid w:val="00016E5E"/>
    <w:rsid w:val="000209E4"/>
    <w:rsid w:val="000219B1"/>
    <w:rsid w:val="00021EBA"/>
    <w:rsid w:val="00022523"/>
    <w:rsid w:val="00022CD9"/>
    <w:rsid w:val="00022DC9"/>
    <w:rsid w:val="00024108"/>
    <w:rsid w:val="00024A60"/>
    <w:rsid w:val="00025069"/>
    <w:rsid w:val="0002512E"/>
    <w:rsid w:val="000256BA"/>
    <w:rsid w:val="00025D29"/>
    <w:rsid w:val="00025FED"/>
    <w:rsid w:val="00026654"/>
    <w:rsid w:val="00026D6F"/>
    <w:rsid w:val="0003015D"/>
    <w:rsid w:val="00030936"/>
    <w:rsid w:val="00030C3B"/>
    <w:rsid w:val="00031636"/>
    <w:rsid w:val="0003315B"/>
    <w:rsid w:val="00034A47"/>
    <w:rsid w:val="000356D0"/>
    <w:rsid w:val="00035F8D"/>
    <w:rsid w:val="00036557"/>
    <w:rsid w:val="000401F9"/>
    <w:rsid w:val="000406B0"/>
    <w:rsid w:val="00040D1B"/>
    <w:rsid w:val="00040F19"/>
    <w:rsid w:val="0004106C"/>
    <w:rsid w:val="00043CB0"/>
    <w:rsid w:val="000447AC"/>
    <w:rsid w:val="00044CD0"/>
    <w:rsid w:val="00044D4A"/>
    <w:rsid w:val="00044FAC"/>
    <w:rsid w:val="00045217"/>
    <w:rsid w:val="00045BBE"/>
    <w:rsid w:val="00046B2A"/>
    <w:rsid w:val="00046C4F"/>
    <w:rsid w:val="00047071"/>
    <w:rsid w:val="000474B9"/>
    <w:rsid w:val="00050066"/>
    <w:rsid w:val="000519AE"/>
    <w:rsid w:val="00051E6A"/>
    <w:rsid w:val="00052773"/>
    <w:rsid w:val="00053368"/>
    <w:rsid w:val="000537A7"/>
    <w:rsid w:val="000540C9"/>
    <w:rsid w:val="00054A7E"/>
    <w:rsid w:val="00054F6D"/>
    <w:rsid w:val="0005521E"/>
    <w:rsid w:val="0005581E"/>
    <w:rsid w:val="000567FB"/>
    <w:rsid w:val="00056ADE"/>
    <w:rsid w:val="00056B81"/>
    <w:rsid w:val="00056BC6"/>
    <w:rsid w:val="00056BF6"/>
    <w:rsid w:val="00056EFD"/>
    <w:rsid w:val="00062269"/>
    <w:rsid w:val="000625A3"/>
    <w:rsid w:val="00065E33"/>
    <w:rsid w:val="00066340"/>
    <w:rsid w:val="0006697E"/>
    <w:rsid w:val="00067AA7"/>
    <w:rsid w:val="00070615"/>
    <w:rsid w:val="00070B0C"/>
    <w:rsid w:val="00071FAC"/>
    <w:rsid w:val="00071FBE"/>
    <w:rsid w:val="000723E3"/>
    <w:rsid w:val="0007271C"/>
    <w:rsid w:val="00072969"/>
    <w:rsid w:val="00072A35"/>
    <w:rsid w:val="00072D28"/>
    <w:rsid w:val="00073880"/>
    <w:rsid w:val="00074182"/>
    <w:rsid w:val="00074353"/>
    <w:rsid w:val="00074482"/>
    <w:rsid w:val="000744A4"/>
    <w:rsid w:val="0007543D"/>
    <w:rsid w:val="0007589C"/>
    <w:rsid w:val="0007606F"/>
    <w:rsid w:val="0008185A"/>
    <w:rsid w:val="0008192F"/>
    <w:rsid w:val="00081939"/>
    <w:rsid w:val="00081F10"/>
    <w:rsid w:val="00082552"/>
    <w:rsid w:val="00082AE8"/>
    <w:rsid w:val="00083B34"/>
    <w:rsid w:val="00084136"/>
    <w:rsid w:val="000842E4"/>
    <w:rsid w:val="00084A47"/>
    <w:rsid w:val="00085851"/>
    <w:rsid w:val="00085F29"/>
    <w:rsid w:val="00085FBA"/>
    <w:rsid w:val="0008758E"/>
    <w:rsid w:val="00087771"/>
    <w:rsid w:val="0009005C"/>
    <w:rsid w:val="00090E28"/>
    <w:rsid w:val="00091264"/>
    <w:rsid w:val="00091A5C"/>
    <w:rsid w:val="00092724"/>
    <w:rsid w:val="0009399A"/>
    <w:rsid w:val="00093C03"/>
    <w:rsid w:val="00094CEE"/>
    <w:rsid w:val="000955A6"/>
    <w:rsid w:val="00095681"/>
    <w:rsid w:val="00096C7E"/>
    <w:rsid w:val="00097426"/>
    <w:rsid w:val="00097EBB"/>
    <w:rsid w:val="000A083E"/>
    <w:rsid w:val="000A1F40"/>
    <w:rsid w:val="000A2227"/>
    <w:rsid w:val="000A2F36"/>
    <w:rsid w:val="000A416A"/>
    <w:rsid w:val="000A5E36"/>
    <w:rsid w:val="000A61FB"/>
    <w:rsid w:val="000A69FC"/>
    <w:rsid w:val="000B0011"/>
    <w:rsid w:val="000B0393"/>
    <w:rsid w:val="000B0471"/>
    <w:rsid w:val="000B1A5B"/>
    <w:rsid w:val="000B2042"/>
    <w:rsid w:val="000B352E"/>
    <w:rsid w:val="000B363D"/>
    <w:rsid w:val="000B692F"/>
    <w:rsid w:val="000B6A76"/>
    <w:rsid w:val="000B6CE2"/>
    <w:rsid w:val="000B6DA8"/>
    <w:rsid w:val="000B6DFC"/>
    <w:rsid w:val="000B6EB0"/>
    <w:rsid w:val="000B73EE"/>
    <w:rsid w:val="000C0746"/>
    <w:rsid w:val="000C11B4"/>
    <w:rsid w:val="000C2DC5"/>
    <w:rsid w:val="000C33F4"/>
    <w:rsid w:val="000C3C26"/>
    <w:rsid w:val="000C3C9F"/>
    <w:rsid w:val="000C3FE8"/>
    <w:rsid w:val="000C410C"/>
    <w:rsid w:val="000C4B3E"/>
    <w:rsid w:val="000C538B"/>
    <w:rsid w:val="000C5844"/>
    <w:rsid w:val="000C609B"/>
    <w:rsid w:val="000C63DE"/>
    <w:rsid w:val="000C68A9"/>
    <w:rsid w:val="000C6CD8"/>
    <w:rsid w:val="000C6FF1"/>
    <w:rsid w:val="000C7709"/>
    <w:rsid w:val="000D0347"/>
    <w:rsid w:val="000D0E86"/>
    <w:rsid w:val="000D1341"/>
    <w:rsid w:val="000D16F7"/>
    <w:rsid w:val="000D20AD"/>
    <w:rsid w:val="000D3DB8"/>
    <w:rsid w:val="000D4781"/>
    <w:rsid w:val="000D6BE1"/>
    <w:rsid w:val="000D6F6C"/>
    <w:rsid w:val="000D7115"/>
    <w:rsid w:val="000D778C"/>
    <w:rsid w:val="000E035C"/>
    <w:rsid w:val="000E2B02"/>
    <w:rsid w:val="000E2C24"/>
    <w:rsid w:val="000E2D5D"/>
    <w:rsid w:val="000E3314"/>
    <w:rsid w:val="000E40D0"/>
    <w:rsid w:val="000E4E18"/>
    <w:rsid w:val="000E4FB8"/>
    <w:rsid w:val="000E5481"/>
    <w:rsid w:val="000E5CEE"/>
    <w:rsid w:val="000E612F"/>
    <w:rsid w:val="000E6FB0"/>
    <w:rsid w:val="000E75A7"/>
    <w:rsid w:val="000E771E"/>
    <w:rsid w:val="000F0353"/>
    <w:rsid w:val="000F0843"/>
    <w:rsid w:val="000F1C98"/>
    <w:rsid w:val="000F2E6D"/>
    <w:rsid w:val="000F2F23"/>
    <w:rsid w:val="000F3619"/>
    <w:rsid w:val="000F38E2"/>
    <w:rsid w:val="000F3D49"/>
    <w:rsid w:val="000F4149"/>
    <w:rsid w:val="000F4EAD"/>
    <w:rsid w:val="000F51D0"/>
    <w:rsid w:val="000F558E"/>
    <w:rsid w:val="000F74E6"/>
    <w:rsid w:val="000F77D6"/>
    <w:rsid w:val="00100052"/>
    <w:rsid w:val="001005C3"/>
    <w:rsid w:val="00100882"/>
    <w:rsid w:val="001009AA"/>
    <w:rsid w:val="00101229"/>
    <w:rsid w:val="00103996"/>
    <w:rsid w:val="00104F57"/>
    <w:rsid w:val="0010528B"/>
    <w:rsid w:val="00105CF7"/>
    <w:rsid w:val="001061F9"/>
    <w:rsid w:val="00106D4A"/>
    <w:rsid w:val="00107A37"/>
    <w:rsid w:val="00107B86"/>
    <w:rsid w:val="00111F45"/>
    <w:rsid w:val="00112178"/>
    <w:rsid w:val="00112527"/>
    <w:rsid w:val="0011349A"/>
    <w:rsid w:val="0011371D"/>
    <w:rsid w:val="00113C59"/>
    <w:rsid w:val="001158DB"/>
    <w:rsid w:val="001160C6"/>
    <w:rsid w:val="00116961"/>
    <w:rsid w:val="00117DC9"/>
    <w:rsid w:val="00120161"/>
    <w:rsid w:val="001211EC"/>
    <w:rsid w:val="001213A6"/>
    <w:rsid w:val="00122CB2"/>
    <w:rsid w:val="00122E0C"/>
    <w:rsid w:val="00123658"/>
    <w:rsid w:val="00124498"/>
    <w:rsid w:val="00124FE1"/>
    <w:rsid w:val="0012591A"/>
    <w:rsid w:val="0012618E"/>
    <w:rsid w:val="001261EC"/>
    <w:rsid w:val="00126299"/>
    <w:rsid w:val="00127438"/>
    <w:rsid w:val="001276F9"/>
    <w:rsid w:val="00130B52"/>
    <w:rsid w:val="00130F9F"/>
    <w:rsid w:val="00131085"/>
    <w:rsid w:val="001314E6"/>
    <w:rsid w:val="00131580"/>
    <w:rsid w:val="00131ADB"/>
    <w:rsid w:val="00131F97"/>
    <w:rsid w:val="001324BC"/>
    <w:rsid w:val="001328A8"/>
    <w:rsid w:val="001339E7"/>
    <w:rsid w:val="00133D96"/>
    <w:rsid w:val="00135106"/>
    <w:rsid w:val="00135108"/>
    <w:rsid w:val="0013577E"/>
    <w:rsid w:val="00135F9A"/>
    <w:rsid w:val="001367E5"/>
    <w:rsid w:val="00136F61"/>
    <w:rsid w:val="00137C48"/>
    <w:rsid w:val="00137FBB"/>
    <w:rsid w:val="00140B95"/>
    <w:rsid w:val="00140D3D"/>
    <w:rsid w:val="0014154C"/>
    <w:rsid w:val="00141CB6"/>
    <w:rsid w:val="00141EAD"/>
    <w:rsid w:val="00141F5C"/>
    <w:rsid w:val="0014309C"/>
    <w:rsid w:val="00143816"/>
    <w:rsid w:val="00143EFE"/>
    <w:rsid w:val="00144022"/>
    <w:rsid w:val="001449B7"/>
    <w:rsid w:val="0014528D"/>
    <w:rsid w:val="00145D42"/>
    <w:rsid w:val="00146B79"/>
    <w:rsid w:val="00150E47"/>
    <w:rsid w:val="0015160F"/>
    <w:rsid w:val="00151EF4"/>
    <w:rsid w:val="001521A9"/>
    <w:rsid w:val="00152267"/>
    <w:rsid w:val="00152529"/>
    <w:rsid w:val="00152E4F"/>
    <w:rsid w:val="00153556"/>
    <w:rsid w:val="00153883"/>
    <w:rsid w:val="00154AF0"/>
    <w:rsid w:val="00154DFC"/>
    <w:rsid w:val="00154EC6"/>
    <w:rsid w:val="00155216"/>
    <w:rsid w:val="00155822"/>
    <w:rsid w:val="0015761B"/>
    <w:rsid w:val="001577C4"/>
    <w:rsid w:val="001607D0"/>
    <w:rsid w:val="00160E2F"/>
    <w:rsid w:val="00160F53"/>
    <w:rsid w:val="00161830"/>
    <w:rsid w:val="001625E4"/>
    <w:rsid w:val="00162AC9"/>
    <w:rsid w:val="001639B5"/>
    <w:rsid w:val="00163AD4"/>
    <w:rsid w:val="00164A58"/>
    <w:rsid w:val="00166867"/>
    <w:rsid w:val="00167219"/>
    <w:rsid w:val="00170243"/>
    <w:rsid w:val="00170729"/>
    <w:rsid w:val="001708F8"/>
    <w:rsid w:val="00170E95"/>
    <w:rsid w:val="00172A27"/>
    <w:rsid w:val="00172C51"/>
    <w:rsid w:val="00172C66"/>
    <w:rsid w:val="0017343E"/>
    <w:rsid w:val="00173AE5"/>
    <w:rsid w:val="00173BCB"/>
    <w:rsid w:val="00174981"/>
    <w:rsid w:val="001755F1"/>
    <w:rsid w:val="00175F7F"/>
    <w:rsid w:val="00176670"/>
    <w:rsid w:val="001810A7"/>
    <w:rsid w:val="001820E0"/>
    <w:rsid w:val="00183EE8"/>
    <w:rsid w:val="001846F5"/>
    <w:rsid w:val="001847CE"/>
    <w:rsid w:val="001858F9"/>
    <w:rsid w:val="001860FD"/>
    <w:rsid w:val="001866EB"/>
    <w:rsid w:val="00187D07"/>
    <w:rsid w:val="00187F76"/>
    <w:rsid w:val="00190983"/>
    <w:rsid w:val="00191504"/>
    <w:rsid w:val="001916BF"/>
    <w:rsid w:val="0019177D"/>
    <w:rsid w:val="00192086"/>
    <w:rsid w:val="0019237A"/>
    <w:rsid w:val="00192639"/>
    <w:rsid w:val="00192BBB"/>
    <w:rsid w:val="001938FB"/>
    <w:rsid w:val="00193926"/>
    <w:rsid w:val="0019395E"/>
    <w:rsid w:val="001948B8"/>
    <w:rsid w:val="001966ED"/>
    <w:rsid w:val="00196E64"/>
    <w:rsid w:val="0019749D"/>
    <w:rsid w:val="00197652"/>
    <w:rsid w:val="001A1115"/>
    <w:rsid w:val="001A15E6"/>
    <w:rsid w:val="001A248A"/>
    <w:rsid w:val="001A26FC"/>
    <w:rsid w:val="001A3489"/>
    <w:rsid w:val="001A386D"/>
    <w:rsid w:val="001A3B9C"/>
    <w:rsid w:val="001A4CDC"/>
    <w:rsid w:val="001A7321"/>
    <w:rsid w:val="001B09E9"/>
    <w:rsid w:val="001B0C33"/>
    <w:rsid w:val="001B0C85"/>
    <w:rsid w:val="001B0F39"/>
    <w:rsid w:val="001B2A5E"/>
    <w:rsid w:val="001B2D42"/>
    <w:rsid w:val="001B3817"/>
    <w:rsid w:val="001B5369"/>
    <w:rsid w:val="001B55EC"/>
    <w:rsid w:val="001B5629"/>
    <w:rsid w:val="001B60F9"/>
    <w:rsid w:val="001C05CA"/>
    <w:rsid w:val="001C4310"/>
    <w:rsid w:val="001C44CA"/>
    <w:rsid w:val="001C46CF"/>
    <w:rsid w:val="001C60D5"/>
    <w:rsid w:val="001C62D6"/>
    <w:rsid w:val="001C7DF9"/>
    <w:rsid w:val="001D0301"/>
    <w:rsid w:val="001D036F"/>
    <w:rsid w:val="001D128D"/>
    <w:rsid w:val="001D17E1"/>
    <w:rsid w:val="001D19C6"/>
    <w:rsid w:val="001D1F75"/>
    <w:rsid w:val="001D2318"/>
    <w:rsid w:val="001D26B1"/>
    <w:rsid w:val="001D304B"/>
    <w:rsid w:val="001D335D"/>
    <w:rsid w:val="001D3F44"/>
    <w:rsid w:val="001D479D"/>
    <w:rsid w:val="001D50F3"/>
    <w:rsid w:val="001D5582"/>
    <w:rsid w:val="001D5BB3"/>
    <w:rsid w:val="001D6685"/>
    <w:rsid w:val="001D6CB3"/>
    <w:rsid w:val="001D753C"/>
    <w:rsid w:val="001D787F"/>
    <w:rsid w:val="001E082F"/>
    <w:rsid w:val="001E2387"/>
    <w:rsid w:val="001E2FC0"/>
    <w:rsid w:val="001E32F4"/>
    <w:rsid w:val="001E3F67"/>
    <w:rsid w:val="001E48EB"/>
    <w:rsid w:val="001E5058"/>
    <w:rsid w:val="001E5631"/>
    <w:rsid w:val="001E590A"/>
    <w:rsid w:val="001E5D4B"/>
    <w:rsid w:val="001E6D17"/>
    <w:rsid w:val="001E6EE1"/>
    <w:rsid w:val="001E702D"/>
    <w:rsid w:val="001E7CB4"/>
    <w:rsid w:val="001F0168"/>
    <w:rsid w:val="001F0719"/>
    <w:rsid w:val="001F14AB"/>
    <w:rsid w:val="001F171C"/>
    <w:rsid w:val="001F373D"/>
    <w:rsid w:val="001F3EB7"/>
    <w:rsid w:val="001F534D"/>
    <w:rsid w:val="001F587D"/>
    <w:rsid w:val="001F5BE7"/>
    <w:rsid w:val="001F5CC3"/>
    <w:rsid w:val="001F5E24"/>
    <w:rsid w:val="001F66E7"/>
    <w:rsid w:val="001F68C3"/>
    <w:rsid w:val="001F71B2"/>
    <w:rsid w:val="001F7AAA"/>
    <w:rsid w:val="002003C6"/>
    <w:rsid w:val="00200C8C"/>
    <w:rsid w:val="00200CCD"/>
    <w:rsid w:val="00201704"/>
    <w:rsid w:val="00202ACB"/>
    <w:rsid w:val="00203E83"/>
    <w:rsid w:val="002041D4"/>
    <w:rsid w:val="00204AE5"/>
    <w:rsid w:val="0020552E"/>
    <w:rsid w:val="00206568"/>
    <w:rsid w:val="002102C7"/>
    <w:rsid w:val="00210B4E"/>
    <w:rsid w:val="002110B3"/>
    <w:rsid w:val="0021124F"/>
    <w:rsid w:val="0021257A"/>
    <w:rsid w:val="00212C97"/>
    <w:rsid w:val="00213415"/>
    <w:rsid w:val="00214369"/>
    <w:rsid w:val="00214F88"/>
    <w:rsid w:val="002154A0"/>
    <w:rsid w:val="002154BB"/>
    <w:rsid w:val="00215534"/>
    <w:rsid w:val="002173AC"/>
    <w:rsid w:val="002175A7"/>
    <w:rsid w:val="002177BB"/>
    <w:rsid w:val="0022112B"/>
    <w:rsid w:val="002213F4"/>
    <w:rsid w:val="00221678"/>
    <w:rsid w:val="00221F13"/>
    <w:rsid w:val="00222193"/>
    <w:rsid w:val="00222330"/>
    <w:rsid w:val="00223AAF"/>
    <w:rsid w:val="00223E3E"/>
    <w:rsid w:val="0022418B"/>
    <w:rsid w:val="00227330"/>
    <w:rsid w:val="00227664"/>
    <w:rsid w:val="002301B5"/>
    <w:rsid w:val="00232160"/>
    <w:rsid w:val="00232F25"/>
    <w:rsid w:val="002333BD"/>
    <w:rsid w:val="00233C77"/>
    <w:rsid w:val="00233FE0"/>
    <w:rsid w:val="002341FB"/>
    <w:rsid w:val="0023467C"/>
    <w:rsid w:val="00234D73"/>
    <w:rsid w:val="002368D7"/>
    <w:rsid w:val="0023731C"/>
    <w:rsid w:val="00237615"/>
    <w:rsid w:val="002401A8"/>
    <w:rsid w:val="00240AC5"/>
    <w:rsid w:val="00240B5B"/>
    <w:rsid w:val="00241B96"/>
    <w:rsid w:val="00242F61"/>
    <w:rsid w:val="0024357D"/>
    <w:rsid w:val="002447BC"/>
    <w:rsid w:val="00245296"/>
    <w:rsid w:val="0024540E"/>
    <w:rsid w:val="0024547B"/>
    <w:rsid w:val="00245A88"/>
    <w:rsid w:val="00246469"/>
    <w:rsid w:val="00246747"/>
    <w:rsid w:val="00247D73"/>
    <w:rsid w:val="0025001F"/>
    <w:rsid w:val="0025053E"/>
    <w:rsid w:val="00251197"/>
    <w:rsid w:val="0025194E"/>
    <w:rsid w:val="00251CEB"/>
    <w:rsid w:val="00251E77"/>
    <w:rsid w:val="00252450"/>
    <w:rsid w:val="00252471"/>
    <w:rsid w:val="00253493"/>
    <w:rsid w:val="00254095"/>
    <w:rsid w:val="00254143"/>
    <w:rsid w:val="002544BC"/>
    <w:rsid w:val="00254DA1"/>
    <w:rsid w:val="002551D8"/>
    <w:rsid w:val="00260DF7"/>
    <w:rsid w:val="00260F09"/>
    <w:rsid w:val="002613B8"/>
    <w:rsid w:val="00261D56"/>
    <w:rsid w:val="00261DB7"/>
    <w:rsid w:val="00262226"/>
    <w:rsid w:val="00262419"/>
    <w:rsid w:val="0026332F"/>
    <w:rsid w:val="0026465D"/>
    <w:rsid w:val="00264C4D"/>
    <w:rsid w:val="00264EFC"/>
    <w:rsid w:val="00264FE8"/>
    <w:rsid w:val="00265006"/>
    <w:rsid w:val="002650F8"/>
    <w:rsid w:val="00266AD1"/>
    <w:rsid w:val="00266C8C"/>
    <w:rsid w:val="00266DFE"/>
    <w:rsid w:val="002670B6"/>
    <w:rsid w:val="0026724B"/>
    <w:rsid w:val="0026736F"/>
    <w:rsid w:val="00270725"/>
    <w:rsid w:val="0027099F"/>
    <w:rsid w:val="002709BD"/>
    <w:rsid w:val="00271022"/>
    <w:rsid w:val="00271E17"/>
    <w:rsid w:val="002732D3"/>
    <w:rsid w:val="00274228"/>
    <w:rsid w:val="002742F9"/>
    <w:rsid w:val="00274AF1"/>
    <w:rsid w:val="002752D4"/>
    <w:rsid w:val="002759AF"/>
    <w:rsid w:val="00275A61"/>
    <w:rsid w:val="00276B69"/>
    <w:rsid w:val="00276B72"/>
    <w:rsid w:val="002804C0"/>
    <w:rsid w:val="00280D86"/>
    <w:rsid w:val="002822E9"/>
    <w:rsid w:val="002823CE"/>
    <w:rsid w:val="00282E8E"/>
    <w:rsid w:val="00283763"/>
    <w:rsid w:val="00283A0F"/>
    <w:rsid w:val="002848AC"/>
    <w:rsid w:val="002862C3"/>
    <w:rsid w:val="00286D5D"/>
    <w:rsid w:val="00287EA9"/>
    <w:rsid w:val="00287F32"/>
    <w:rsid w:val="00291E93"/>
    <w:rsid w:val="002922A8"/>
    <w:rsid w:val="00292624"/>
    <w:rsid w:val="00292BA1"/>
    <w:rsid w:val="00292DB7"/>
    <w:rsid w:val="00293154"/>
    <w:rsid w:val="00294942"/>
    <w:rsid w:val="002A050E"/>
    <w:rsid w:val="002A0B35"/>
    <w:rsid w:val="002A0E9C"/>
    <w:rsid w:val="002A0F15"/>
    <w:rsid w:val="002A0F2E"/>
    <w:rsid w:val="002A1DB5"/>
    <w:rsid w:val="002A2970"/>
    <w:rsid w:val="002A3793"/>
    <w:rsid w:val="002A4345"/>
    <w:rsid w:val="002A4C6B"/>
    <w:rsid w:val="002A5450"/>
    <w:rsid w:val="002A5A52"/>
    <w:rsid w:val="002A6950"/>
    <w:rsid w:val="002A6A16"/>
    <w:rsid w:val="002B2FEB"/>
    <w:rsid w:val="002B31E2"/>
    <w:rsid w:val="002B33F5"/>
    <w:rsid w:val="002B39F1"/>
    <w:rsid w:val="002B3B11"/>
    <w:rsid w:val="002B454A"/>
    <w:rsid w:val="002B5D38"/>
    <w:rsid w:val="002B6014"/>
    <w:rsid w:val="002B75A3"/>
    <w:rsid w:val="002B762E"/>
    <w:rsid w:val="002B78EE"/>
    <w:rsid w:val="002C0AD3"/>
    <w:rsid w:val="002C16DE"/>
    <w:rsid w:val="002C333C"/>
    <w:rsid w:val="002C3A2A"/>
    <w:rsid w:val="002C4232"/>
    <w:rsid w:val="002C465D"/>
    <w:rsid w:val="002C5531"/>
    <w:rsid w:val="002C6389"/>
    <w:rsid w:val="002C6C27"/>
    <w:rsid w:val="002C704C"/>
    <w:rsid w:val="002C7500"/>
    <w:rsid w:val="002C756B"/>
    <w:rsid w:val="002C76E2"/>
    <w:rsid w:val="002D0B6D"/>
    <w:rsid w:val="002D1D05"/>
    <w:rsid w:val="002D2439"/>
    <w:rsid w:val="002D2BD9"/>
    <w:rsid w:val="002D366F"/>
    <w:rsid w:val="002D3D4E"/>
    <w:rsid w:val="002D4724"/>
    <w:rsid w:val="002D584B"/>
    <w:rsid w:val="002D6176"/>
    <w:rsid w:val="002D7081"/>
    <w:rsid w:val="002D7307"/>
    <w:rsid w:val="002E00A4"/>
    <w:rsid w:val="002E152F"/>
    <w:rsid w:val="002E18CB"/>
    <w:rsid w:val="002E1E9E"/>
    <w:rsid w:val="002E20CD"/>
    <w:rsid w:val="002E31A7"/>
    <w:rsid w:val="002E36AA"/>
    <w:rsid w:val="002E3E46"/>
    <w:rsid w:val="002E65C1"/>
    <w:rsid w:val="002E7683"/>
    <w:rsid w:val="002E7978"/>
    <w:rsid w:val="002F0B77"/>
    <w:rsid w:val="002F19E1"/>
    <w:rsid w:val="002F31D2"/>
    <w:rsid w:val="002F3506"/>
    <w:rsid w:val="002F42F8"/>
    <w:rsid w:val="002F447F"/>
    <w:rsid w:val="002F4EF0"/>
    <w:rsid w:val="002F574B"/>
    <w:rsid w:val="002F6625"/>
    <w:rsid w:val="002F6DA5"/>
    <w:rsid w:val="002F74D8"/>
    <w:rsid w:val="002F7D9F"/>
    <w:rsid w:val="00300520"/>
    <w:rsid w:val="00300782"/>
    <w:rsid w:val="00301645"/>
    <w:rsid w:val="00302D6A"/>
    <w:rsid w:val="0030334E"/>
    <w:rsid w:val="00303793"/>
    <w:rsid w:val="003070B0"/>
    <w:rsid w:val="00307895"/>
    <w:rsid w:val="003078DC"/>
    <w:rsid w:val="00307CF4"/>
    <w:rsid w:val="003100A9"/>
    <w:rsid w:val="00311420"/>
    <w:rsid w:val="0031148D"/>
    <w:rsid w:val="00311DD5"/>
    <w:rsid w:val="00313261"/>
    <w:rsid w:val="0031362C"/>
    <w:rsid w:val="00313B0B"/>
    <w:rsid w:val="00313B25"/>
    <w:rsid w:val="00313DA4"/>
    <w:rsid w:val="00314FB0"/>
    <w:rsid w:val="00317149"/>
    <w:rsid w:val="003174F0"/>
    <w:rsid w:val="00317AB7"/>
    <w:rsid w:val="00317CB4"/>
    <w:rsid w:val="00317CD8"/>
    <w:rsid w:val="00317F0E"/>
    <w:rsid w:val="00320D2B"/>
    <w:rsid w:val="003220E5"/>
    <w:rsid w:val="003227CC"/>
    <w:rsid w:val="0032290A"/>
    <w:rsid w:val="0032304C"/>
    <w:rsid w:val="003230E0"/>
    <w:rsid w:val="00323134"/>
    <w:rsid w:val="00323203"/>
    <w:rsid w:val="003232CA"/>
    <w:rsid w:val="003239A3"/>
    <w:rsid w:val="0032466D"/>
    <w:rsid w:val="00324DBB"/>
    <w:rsid w:val="00325FA9"/>
    <w:rsid w:val="00327E96"/>
    <w:rsid w:val="00330036"/>
    <w:rsid w:val="003306C3"/>
    <w:rsid w:val="003309C8"/>
    <w:rsid w:val="003312C0"/>
    <w:rsid w:val="00331567"/>
    <w:rsid w:val="00331806"/>
    <w:rsid w:val="00331F71"/>
    <w:rsid w:val="003321CE"/>
    <w:rsid w:val="00332B32"/>
    <w:rsid w:val="00332DBF"/>
    <w:rsid w:val="00332E0B"/>
    <w:rsid w:val="00333BFF"/>
    <w:rsid w:val="00333FA4"/>
    <w:rsid w:val="00334617"/>
    <w:rsid w:val="003352B5"/>
    <w:rsid w:val="0033568F"/>
    <w:rsid w:val="003378FC"/>
    <w:rsid w:val="00337A7F"/>
    <w:rsid w:val="00340514"/>
    <w:rsid w:val="0034075D"/>
    <w:rsid w:val="003426C2"/>
    <w:rsid w:val="00343C1A"/>
    <w:rsid w:val="00343ED7"/>
    <w:rsid w:val="003442BD"/>
    <w:rsid w:val="00344589"/>
    <w:rsid w:val="00345C7A"/>
    <w:rsid w:val="00346488"/>
    <w:rsid w:val="0034704F"/>
    <w:rsid w:val="00350027"/>
    <w:rsid w:val="00350170"/>
    <w:rsid w:val="00350ACA"/>
    <w:rsid w:val="00350EDA"/>
    <w:rsid w:val="003518AC"/>
    <w:rsid w:val="00351FDE"/>
    <w:rsid w:val="003520D0"/>
    <w:rsid w:val="003527F3"/>
    <w:rsid w:val="00352CC4"/>
    <w:rsid w:val="00352FFD"/>
    <w:rsid w:val="003532B1"/>
    <w:rsid w:val="003538F4"/>
    <w:rsid w:val="00353D4F"/>
    <w:rsid w:val="00353D89"/>
    <w:rsid w:val="003568B0"/>
    <w:rsid w:val="003576CD"/>
    <w:rsid w:val="00360CFC"/>
    <w:rsid w:val="00361014"/>
    <w:rsid w:val="00361A91"/>
    <w:rsid w:val="00361B21"/>
    <w:rsid w:val="0036216A"/>
    <w:rsid w:val="00362CCC"/>
    <w:rsid w:val="0036338F"/>
    <w:rsid w:val="003639EF"/>
    <w:rsid w:val="00363EA2"/>
    <w:rsid w:val="003647BB"/>
    <w:rsid w:val="003649D3"/>
    <w:rsid w:val="00364B04"/>
    <w:rsid w:val="003657CA"/>
    <w:rsid w:val="003676C1"/>
    <w:rsid w:val="00367B65"/>
    <w:rsid w:val="00370118"/>
    <w:rsid w:val="00371103"/>
    <w:rsid w:val="0037202C"/>
    <w:rsid w:val="0037460C"/>
    <w:rsid w:val="00376501"/>
    <w:rsid w:val="00376AB2"/>
    <w:rsid w:val="0038024B"/>
    <w:rsid w:val="00381721"/>
    <w:rsid w:val="00381799"/>
    <w:rsid w:val="003848D3"/>
    <w:rsid w:val="0038492D"/>
    <w:rsid w:val="00384E45"/>
    <w:rsid w:val="003854B8"/>
    <w:rsid w:val="003859F4"/>
    <w:rsid w:val="003863C0"/>
    <w:rsid w:val="00386DD5"/>
    <w:rsid w:val="00386EF8"/>
    <w:rsid w:val="0039016D"/>
    <w:rsid w:val="00391BC4"/>
    <w:rsid w:val="00392E92"/>
    <w:rsid w:val="0039330C"/>
    <w:rsid w:val="0039446C"/>
    <w:rsid w:val="003972F6"/>
    <w:rsid w:val="00397447"/>
    <w:rsid w:val="00397A9A"/>
    <w:rsid w:val="003A0328"/>
    <w:rsid w:val="003A108D"/>
    <w:rsid w:val="003A118F"/>
    <w:rsid w:val="003A122F"/>
    <w:rsid w:val="003A2DDC"/>
    <w:rsid w:val="003A3DD1"/>
    <w:rsid w:val="003A3E67"/>
    <w:rsid w:val="003A4275"/>
    <w:rsid w:val="003A44D4"/>
    <w:rsid w:val="003A4536"/>
    <w:rsid w:val="003A477E"/>
    <w:rsid w:val="003A4AB3"/>
    <w:rsid w:val="003A51BB"/>
    <w:rsid w:val="003A52A5"/>
    <w:rsid w:val="003A52E1"/>
    <w:rsid w:val="003A568A"/>
    <w:rsid w:val="003A587B"/>
    <w:rsid w:val="003A6222"/>
    <w:rsid w:val="003A68B9"/>
    <w:rsid w:val="003A78E2"/>
    <w:rsid w:val="003B18E6"/>
    <w:rsid w:val="003B1949"/>
    <w:rsid w:val="003B2A29"/>
    <w:rsid w:val="003B2B2A"/>
    <w:rsid w:val="003B2B58"/>
    <w:rsid w:val="003B2E47"/>
    <w:rsid w:val="003B2EBB"/>
    <w:rsid w:val="003B3055"/>
    <w:rsid w:val="003B32DC"/>
    <w:rsid w:val="003B37CF"/>
    <w:rsid w:val="003B3C63"/>
    <w:rsid w:val="003B41C1"/>
    <w:rsid w:val="003B42B1"/>
    <w:rsid w:val="003B66AC"/>
    <w:rsid w:val="003B6A2B"/>
    <w:rsid w:val="003B75D1"/>
    <w:rsid w:val="003B7A76"/>
    <w:rsid w:val="003B7B47"/>
    <w:rsid w:val="003C086A"/>
    <w:rsid w:val="003C1A7A"/>
    <w:rsid w:val="003C1AC1"/>
    <w:rsid w:val="003C1C6D"/>
    <w:rsid w:val="003C1D3D"/>
    <w:rsid w:val="003C20FC"/>
    <w:rsid w:val="003C2A02"/>
    <w:rsid w:val="003C3918"/>
    <w:rsid w:val="003C49DD"/>
    <w:rsid w:val="003C5E4C"/>
    <w:rsid w:val="003C72A3"/>
    <w:rsid w:val="003D04A2"/>
    <w:rsid w:val="003D1A3E"/>
    <w:rsid w:val="003D299F"/>
    <w:rsid w:val="003D2C0B"/>
    <w:rsid w:val="003D3D7C"/>
    <w:rsid w:val="003D3EE0"/>
    <w:rsid w:val="003D4BAC"/>
    <w:rsid w:val="003D550B"/>
    <w:rsid w:val="003D60D2"/>
    <w:rsid w:val="003D6E2D"/>
    <w:rsid w:val="003D7249"/>
    <w:rsid w:val="003E2235"/>
    <w:rsid w:val="003E488B"/>
    <w:rsid w:val="003E5308"/>
    <w:rsid w:val="003E5E58"/>
    <w:rsid w:val="003E647B"/>
    <w:rsid w:val="003E7B15"/>
    <w:rsid w:val="003F1BCA"/>
    <w:rsid w:val="003F3181"/>
    <w:rsid w:val="003F4AD0"/>
    <w:rsid w:val="003F51F4"/>
    <w:rsid w:val="003F5B68"/>
    <w:rsid w:val="003F76E8"/>
    <w:rsid w:val="003F7AAC"/>
    <w:rsid w:val="00401531"/>
    <w:rsid w:val="004021B7"/>
    <w:rsid w:val="00402463"/>
    <w:rsid w:val="00402497"/>
    <w:rsid w:val="00403682"/>
    <w:rsid w:val="00404B3C"/>
    <w:rsid w:val="004056C6"/>
    <w:rsid w:val="00410725"/>
    <w:rsid w:val="00410855"/>
    <w:rsid w:val="0041090C"/>
    <w:rsid w:val="00411BD9"/>
    <w:rsid w:val="00412153"/>
    <w:rsid w:val="004129AE"/>
    <w:rsid w:val="00412AE2"/>
    <w:rsid w:val="00413592"/>
    <w:rsid w:val="00415571"/>
    <w:rsid w:val="00415845"/>
    <w:rsid w:val="00416632"/>
    <w:rsid w:val="004208E4"/>
    <w:rsid w:val="004209FE"/>
    <w:rsid w:val="004234A0"/>
    <w:rsid w:val="004244D0"/>
    <w:rsid w:val="0042458E"/>
    <w:rsid w:val="00425E3F"/>
    <w:rsid w:val="00426E55"/>
    <w:rsid w:val="004271DB"/>
    <w:rsid w:val="00427BFF"/>
    <w:rsid w:val="00427CE4"/>
    <w:rsid w:val="004300AB"/>
    <w:rsid w:val="004304C8"/>
    <w:rsid w:val="00431F80"/>
    <w:rsid w:val="00432492"/>
    <w:rsid w:val="004325E9"/>
    <w:rsid w:val="004328CE"/>
    <w:rsid w:val="00434BE3"/>
    <w:rsid w:val="00434C15"/>
    <w:rsid w:val="00435720"/>
    <w:rsid w:val="004360F3"/>
    <w:rsid w:val="00437308"/>
    <w:rsid w:val="004375D8"/>
    <w:rsid w:val="004402B0"/>
    <w:rsid w:val="004403E3"/>
    <w:rsid w:val="00441B15"/>
    <w:rsid w:val="004428FC"/>
    <w:rsid w:val="00442D49"/>
    <w:rsid w:val="00443A33"/>
    <w:rsid w:val="00443AE8"/>
    <w:rsid w:val="00444089"/>
    <w:rsid w:val="00445A25"/>
    <w:rsid w:val="00445FB8"/>
    <w:rsid w:val="004462BA"/>
    <w:rsid w:val="00446724"/>
    <w:rsid w:val="00446FB2"/>
    <w:rsid w:val="0044798B"/>
    <w:rsid w:val="00450BE2"/>
    <w:rsid w:val="00450E05"/>
    <w:rsid w:val="0045120F"/>
    <w:rsid w:val="004514AE"/>
    <w:rsid w:val="00451CBB"/>
    <w:rsid w:val="00452A71"/>
    <w:rsid w:val="0045430D"/>
    <w:rsid w:val="00454C03"/>
    <w:rsid w:val="00454CA5"/>
    <w:rsid w:val="0045566D"/>
    <w:rsid w:val="0045588D"/>
    <w:rsid w:val="00455F5E"/>
    <w:rsid w:val="004562F1"/>
    <w:rsid w:val="00457BD6"/>
    <w:rsid w:val="00457EE5"/>
    <w:rsid w:val="00460B3D"/>
    <w:rsid w:val="0046183F"/>
    <w:rsid w:val="00461BDD"/>
    <w:rsid w:val="004624B5"/>
    <w:rsid w:val="0046257A"/>
    <w:rsid w:val="00462AB8"/>
    <w:rsid w:val="00462D53"/>
    <w:rsid w:val="00463D44"/>
    <w:rsid w:val="00464632"/>
    <w:rsid w:val="00464AC4"/>
    <w:rsid w:val="00465482"/>
    <w:rsid w:val="0046692A"/>
    <w:rsid w:val="0046695C"/>
    <w:rsid w:val="00466DB0"/>
    <w:rsid w:val="00470097"/>
    <w:rsid w:val="00470B0A"/>
    <w:rsid w:val="00470EE8"/>
    <w:rsid w:val="00470F56"/>
    <w:rsid w:val="0047264D"/>
    <w:rsid w:val="00472E03"/>
    <w:rsid w:val="00472F93"/>
    <w:rsid w:val="0047366E"/>
    <w:rsid w:val="0047388C"/>
    <w:rsid w:val="00473DA1"/>
    <w:rsid w:val="004745EB"/>
    <w:rsid w:val="004755C9"/>
    <w:rsid w:val="00475927"/>
    <w:rsid w:val="00476061"/>
    <w:rsid w:val="00476F0D"/>
    <w:rsid w:val="0047712F"/>
    <w:rsid w:val="00480C78"/>
    <w:rsid w:val="00481C2E"/>
    <w:rsid w:val="00481FF9"/>
    <w:rsid w:val="00482793"/>
    <w:rsid w:val="00482E36"/>
    <w:rsid w:val="00482F0B"/>
    <w:rsid w:val="00482FAB"/>
    <w:rsid w:val="00484910"/>
    <w:rsid w:val="00485076"/>
    <w:rsid w:val="004850AE"/>
    <w:rsid w:val="0048529E"/>
    <w:rsid w:val="00485404"/>
    <w:rsid w:val="00485B48"/>
    <w:rsid w:val="00485EB0"/>
    <w:rsid w:val="00486130"/>
    <w:rsid w:val="00486194"/>
    <w:rsid w:val="0048694E"/>
    <w:rsid w:val="00487C3F"/>
    <w:rsid w:val="00487CA5"/>
    <w:rsid w:val="0049081B"/>
    <w:rsid w:val="00491747"/>
    <w:rsid w:val="00491CB9"/>
    <w:rsid w:val="00492B4F"/>
    <w:rsid w:val="004939A3"/>
    <w:rsid w:val="004946C4"/>
    <w:rsid w:val="004949F2"/>
    <w:rsid w:val="00494FC5"/>
    <w:rsid w:val="00495236"/>
    <w:rsid w:val="00495EA1"/>
    <w:rsid w:val="004961D7"/>
    <w:rsid w:val="00496A7D"/>
    <w:rsid w:val="004975A4"/>
    <w:rsid w:val="00497F7A"/>
    <w:rsid w:val="004A2423"/>
    <w:rsid w:val="004A289E"/>
    <w:rsid w:val="004A292C"/>
    <w:rsid w:val="004A3435"/>
    <w:rsid w:val="004A39E4"/>
    <w:rsid w:val="004A3B7D"/>
    <w:rsid w:val="004A4DA0"/>
    <w:rsid w:val="004A535E"/>
    <w:rsid w:val="004A536B"/>
    <w:rsid w:val="004A5C7E"/>
    <w:rsid w:val="004A5EFE"/>
    <w:rsid w:val="004A6DC0"/>
    <w:rsid w:val="004A79F9"/>
    <w:rsid w:val="004A7B5F"/>
    <w:rsid w:val="004B1078"/>
    <w:rsid w:val="004B14A3"/>
    <w:rsid w:val="004B26B9"/>
    <w:rsid w:val="004B2D32"/>
    <w:rsid w:val="004B4C58"/>
    <w:rsid w:val="004B4DD4"/>
    <w:rsid w:val="004B6023"/>
    <w:rsid w:val="004B657E"/>
    <w:rsid w:val="004B66C3"/>
    <w:rsid w:val="004B7054"/>
    <w:rsid w:val="004C1AB0"/>
    <w:rsid w:val="004C24AB"/>
    <w:rsid w:val="004C2801"/>
    <w:rsid w:val="004C2CFC"/>
    <w:rsid w:val="004C3EF6"/>
    <w:rsid w:val="004C3FA5"/>
    <w:rsid w:val="004C44B5"/>
    <w:rsid w:val="004C57C4"/>
    <w:rsid w:val="004C739F"/>
    <w:rsid w:val="004C7B8A"/>
    <w:rsid w:val="004C7BCA"/>
    <w:rsid w:val="004D02E9"/>
    <w:rsid w:val="004D12DB"/>
    <w:rsid w:val="004D36A2"/>
    <w:rsid w:val="004D3E74"/>
    <w:rsid w:val="004D489F"/>
    <w:rsid w:val="004D6189"/>
    <w:rsid w:val="004D631B"/>
    <w:rsid w:val="004D6465"/>
    <w:rsid w:val="004D75D2"/>
    <w:rsid w:val="004D798D"/>
    <w:rsid w:val="004E140C"/>
    <w:rsid w:val="004E1B82"/>
    <w:rsid w:val="004E2DA9"/>
    <w:rsid w:val="004E443D"/>
    <w:rsid w:val="004E521A"/>
    <w:rsid w:val="004E5B17"/>
    <w:rsid w:val="004E6F58"/>
    <w:rsid w:val="004E7314"/>
    <w:rsid w:val="004E7347"/>
    <w:rsid w:val="004E7517"/>
    <w:rsid w:val="004F0772"/>
    <w:rsid w:val="004F1685"/>
    <w:rsid w:val="004F1919"/>
    <w:rsid w:val="004F19A4"/>
    <w:rsid w:val="004F1B46"/>
    <w:rsid w:val="004F3AC6"/>
    <w:rsid w:val="004F44AC"/>
    <w:rsid w:val="004F5663"/>
    <w:rsid w:val="004F57B7"/>
    <w:rsid w:val="004F6466"/>
    <w:rsid w:val="004F7EBE"/>
    <w:rsid w:val="00500559"/>
    <w:rsid w:val="00500BEA"/>
    <w:rsid w:val="00500DAE"/>
    <w:rsid w:val="00501949"/>
    <w:rsid w:val="00502242"/>
    <w:rsid w:val="00502C57"/>
    <w:rsid w:val="00502D10"/>
    <w:rsid w:val="005039B1"/>
    <w:rsid w:val="00503D4C"/>
    <w:rsid w:val="00504AC6"/>
    <w:rsid w:val="00504E29"/>
    <w:rsid w:val="005061D9"/>
    <w:rsid w:val="005071A9"/>
    <w:rsid w:val="00507EF1"/>
    <w:rsid w:val="0051091C"/>
    <w:rsid w:val="00510DDC"/>
    <w:rsid w:val="00510EB6"/>
    <w:rsid w:val="00510EEE"/>
    <w:rsid w:val="00511568"/>
    <w:rsid w:val="0051162F"/>
    <w:rsid w:val="00512080"/>
    <w:rsid w:val="005139BB"/>
    <w:rsid w:val="00514C45"/>
    <w:rsid w:val="005203DD"/>
    <w:rsid w:val="0052148F"/>
    <w:rsid w:val="005215A7"/>
    <w:rsid w:val="00522547"/>
    <w:rsid w:val="00523559"/>
    <w:rsid w:val="0052376D"/>
    <w:rsid w:val="00523E2A"/>
    <w:rsid w:val="00524909"/>
    <w:rsid w:val="00524B07"/>
    <w:rsid w:val="00526872"/>
    <w:rsid w:val="00527FA7"/>
    <w:rsid w:val="00530568"/>
    <w:rsid w:val="00530A92"/>
    <w:rsid w:val="005310AE"/>
    <w:rsid w:val="00531C0B"/>
    <w:rsid w:val="00533768"/>
    <w:rsid w:val="00534102"/>
    <w:rsid w:val="00534249"/>
    <w:rsid w:val="00534828"/>
    <w:rsid w:val="0053517E"/>
    <w:rsid w:val="005355F6"/>
    <w:rsid w:val="00535D31"/>
    <w:rsid w:val="00535F30"/>
    <w:rsid w:val="0053716C"/>
    <w:rsid w:val="0054068E"/>
    <w:rsid w:val="00540D5C"/>
    <w:rsid w:val="00540E73"/>
    <w:rsid w:val="0054137C"/>
    <w:rsid w:val="005421DC"/>
    <w:rsid w:val="005424AB"/>
    <w:rsid w:val="005429D1"/>
    <w:rsid w:val="00544130"/>
    <w:rsid w:val="0054466A"/>
    <w:rsid w:val="00544728"/>
    <w:rsid w:val="005448EC"/>
    <w:rsid w:val="00544F6A"/>
    <w:rsid w:val="005452B9"/>
    <w:rsid w:val="0054616F"/>
    <w:rsid w:val="0054665F"/>
    <w:rsid w:val="00546B64"/>
    <w:rsid w:val="005470E6"/>
    <w:rsid w:val="005473E0"/>
    <w:rsid w:val="005474EB"/>
    <w:rsid w:val="0055035F"/>
    <w:rsid w:val="00550993"/>
    <w:rsid w:val="00551EA6"/>
    <w:rsid w:val="005539A5"/>
    <w:rsid w:val="005543DF"/>
    <w:rsid w:val="005552DA"/>
    <w:rsid w:val="00555B5F"/>
    <w:rsid w:val="00555F68"/>
    <w:rsid w:val="00556173"/>
    <w:rsid w:val="0055626F"/>
    <w:rsid w:val="00556CA3"/>
    <w:rsid w:val="00560852"/>
    <w:rsid w:val="00560AC4"/>
    <w:rsid w:val="00560DE4"/>
    <w:rsid w:val="00562069"/>
    <w:rsid w:val="0056253D"/>
    <w:rsid w:val="0056267E"/>
    <w:rsid w:val="00562B20"/>
    <w:rsid w:val="00562CFE"/>
    <w:rsid w:val="0056474D"/>
    <w:rsid w:val="00564862"/>
    <w:rsid w:val="00565418"/>
    <w:rsid w:val="005658E9"/>
    <w:rsid w:val="00565A31"/>
    <w:rsid w:val="00566060"/>
    <w:rsid w:val="005662FE"/>
    <w:rsid w:val="0057113F"/>
    <w:rsid w:val="00571D2C"/>
    <w:rsid w:val="00571E82"/>
    <w:rsid w:val="00571EA0"/>
    <w:rsid w:val="00571EC3"/>
    <w:rsid w:val="005723AF"/>
    <w:rsid w:val="0057297E"/>
    <w:rsid w:val="00574A51"/>
    <w:rsid w:val="005750F7"/>
    <w:rsid w:val="00575F3B"/>
    <w:rsid w:val="0057616C"/>
    <w:rsid w:val="0057645A"/>
    <w:rsid w:val="00576A39"/>
    <w:rsid w:val="00576ACD"/>
    <w:rsid w:val="00577447"/>
    <w:rsid w:val="00577ECF"/>
    <w:rsid w:val="005801F7"/>
    <w:rsid w:val="00580C42"/>
    <w:rsid w:val="00581156"/>
    <w:rsid w:val="0058197C"/>
    <w:rsid w:val="00581A9E"/>
    <w:rsid w:val="00581AC8"/>
    <w:rsid w:val="00583029"/>
    <w:rsid w:val="00584795"/>
    <w:rsid w:val="0058664A"/>
    <w:rsid w:val="005876A9"/>
    <w:rsid w:val="00590A01"/>
    <w:rsid w:val="00590D39"/>
    <w:rsid w:val="0059140B"/>
    <w:rsid w:val="005915E5"/>
    <w:rsid w:val="005946BB"/>
    <w:rsid w:val="00594AB5"/>
    <w:rsid w:val="0059527A"/>
    <w:rsid w:val="00596530"/>
    <w:rsid w:val="00597335"/>
    <w:rsid w:val="005A10A2"/>
    <w:rsid w:val="005A10A9"/>
    <w:rsid w:val="005A1398"/>
    <w:rsid w:val="005A1948"/>
    <w:rsid w:val="005A24F2"/>
    <w:rsid w:val="005A267D"/>
    <w:rsid w:val="005A2A3C"/>
    <w:rsid w:val="005A3338"/>
    <w:rsid w:val="005A3EF2"/>
    <w:rsid w:val="005A3FEE"/>
    <w:rsid w:val="005A4249"/>
    <w:rsid w:val="005A4C99"/>
    <w:rsid w:val="005A5002"/>
    <w:rsid w:val="005A6A59"/>
    <w:rsid w:val="005A7641"/>
    <w:rsid w:val="005A7950"/>
    <w:rsid w:val="005B1789"/>
    <w:rsid w:val="005B2253"/>
    <w:rsid w:val="005B24FD"/>
    <w:rsid w:val="005B28CD"/>
    <w:rsid w:val="005B2E62"/>
    <w:rsid w:val="005B2F9B"/>
    <w:rsid w:val="005B3AE7"/>
    <w:rsid w:val="005B3EA6"/>
    <w:rsid w:val="005B4A3F"/>
    <w:rsid w:val="005B4AC2"/>
    <w:rsid w:val="005B54DE"/>
    <w:rsid w:val="005B5EA5"/>
    <w:rsid w:val="005B7105"/>
    <w:rsid w:val="005B725F"/>
    <w:rsid w:val="005B747B"/>
    <w:rsid w:val="005B7BB1"/>
    <w:rsid w:val="005B7D0D"/>
    <w:rsid w:val="005C1BCD"/>
    <w:rsid w:val="005C591C"/>
    <w:rsid w:val="005C5F19"/>
    <w:rsid w:val="005C61B4"/>
    <w:rsid w:val="005C6667"/>
    <w:rsid w:val="005D017F"/>
    <w:rsid w:val="005D02B6"/>
    <w:rsid w:val="005D045B"/>
    <w:rsid w:val="005D1C3D"/>
    <w:rsid w:val="005D25E5"/>
    <w:rsid w:val="005D2A58"/>
    <w:rsid w:val="005D2FE5"/>
    <w:rsid w:val="005D324B"/>
    <w:rsid w:val="005D4153"/>
    <w:rsid w:val="005D5180"/>
    <w:rsid w:val="005D6D0C"/>
    <w:rsid w:val="005D7421"/>
    <w:rsid w:val="005D7441"/>
    <w:rsid w:val="005D762A"/>
    <w:rsid w:val="005E05C3"/>
    <w:rsid w:val="005E3138"/>
    <w:rsid w:val="005E315E"/>
    <w:rsid w:val="005E3B5A"/>
    <w:rsid w:val="005E5F85"/>
    <w:rsid w:val="005E6128"/>
    <w:rsid w:val="005E7088"/>
    <w:rsid w:val="005E7665"/>
    <w:rsid w:val="005E7EDA"/>
    <w:rsid w:val="005F094F"/>
    <w:rsid w:val="005F35A1"/>
    <w:rsid w:val="005F406F"/>
    <w:rsid w:val="005F44DB"/>
    <w:rsid w:val="005F5145"/>
    <w:rsid w:val="00600579"/>
    <w:rsid w:val="006016A5"/>
    <w:rsid w:val="00601C06"/>
    <w:rsid w:val="00601CA0"/>
    <w:rsid w:val="00603238"/>
    <w:rsid w:val="00603444"/>
    <w:rsid w:val="006041E1"/>
    <w:rsid w:val="00604865"/>
    <w:rsid w:val="006050C5"/>
    <w:rsid w:val="00605D73"/>
    <w:rsid w:val="00605E30"/>
    <w:rsid w:val="006075AB"/>
    <w:rsid w:val="00607B69"/>
    <w:rsid w:val="0061009A"/>
    <w:rsid w:val="006101AC"/>
    <w:rsid w:val="006103AD"/>
    <w:rsid w:val="00610D6F"/>
    <w:rsid w:val="00610FF3"/>
    <w:rsid w:val="00611EB6"/>
    <w:rsid w:val="006124E8"/>
    <w:rsid w:val="00612FCA"/>
    <w:rsid w:val="0061315A"/>
    <w:rsid w:val="0061400B"/>
    <w:rsid w:val="0061419E"/>
    <w:rsid w:val="00617E74"/>
    <w:rsid w:val="00617F1C"/>
    <w:rsid w:val="00620310"/>
    <w:rsid w:val="0062100F"/>
    <w:rsid w:val="006212D7"/>
    <w:rsid w:val="00621C85"/>
    <w:rsid w:val="0062220B"/>
    <w:rsid w:val="0062273A"/>
    <w:rsid w:val="00623998"/>
    <w:rsid w:val="00623FE4"/>
    <w:rsid w:val="006240A8"/>
    <w:rsid w:val="00624588"/>
    <w:rsid w:val="0062594C"/>
    <w:rsid w:val="00625E2A"/>
    <w:rsid w:val="006260C4"/>
    <w:rsid w:val="00627731"/>
    <w:rsid w:val="00627781"/>
    <w:rsid w:val="00627FB9"/>
    <w:rsid w:val="0063059A"/>
    <w:rsid w:val="006308D7"/>
    <w:rsid w:val="006317C8"/>
    <w:rsid w:val="00631AE8"/>
    <w:rsid w:val="00631E95"/>
    <w:rsid w:val="00634289"/>
    <w:rsid w:val="00636CF3"/>
    <w:rsid w:val="006370D8"/>
    <w:rsid w:val="00637491"/>
    <w:rsid w:val="00637DAE"/>
    <w:rsid w:val="00640576"/>
    <w:rsid w:val="00640F66"/>
    <w:rsid w:val="00641792"/>
    <w:rsid w:val="006419DC"/>
    <w:rsid w:val="006424F3"/>
    <w:rsid w:val="00642648"/>
    <w:rsid w:val="00643C30"/>
    <w:rsid w:val="00645402"/>
    <w:rsid w:val="006473C3"/>
    <w:rsid w:val="00647AF6"/>
    <w:rsid w:val="00650A64"/>
    <w:rsid w:val="00651CAD"/>
    <w:rsid w:val="0065224F"/>
    <w:rsid w:val="00652AA5"/>
    <w:rsid w:val="00653CCF"/>
    <w:rsid w:val="00653F1E"/>
    <w:rsid w:val="0065588B"/>
    <w:rsid w:val="006566A1"/>
    <w:rsid w:val="006569C6"/>
    <w:rsid w:val="00656F35"/>
    <w:rsid w:val="00657129"/>
    <w:rsid w:val="00657F62"/>
    <w:rsid w:val="006605CF"/>
    <w:rsid w:val="00661CF2"/>
    <w:rsid w:val="00662245"/>
    <w:rsid w:val="00662BB1"/>
    <w:rsid w:val="006635A7"/>
    <w:rsid w:val="006636D6"/>
    <w:rsid w:val="006636FB"/>
    <w:rsid w:val="00664778"/>
    <w:rsid w:val="00664B4F"/>
    <w:rsid w:val="00665DF8"/>
    <w:rsid w:val="00666CD4"/>
    <w:rsid w:val="00670D5F"/>
    <w:rsid w:val="00671672"/>
    <w:rsid w:val="00671692"/>
    <w:rsid w:val="00671894"/>
    <w:rsid w:val="00672308"/>
    <w:rsid w:val="0067241C"/>
    <w:rsid w:val="00673CA1"/>
    <w:rsid w:val="00673FC7"/>
    <w:rsid w:val="006758AD"/>
    <w:rsid w:val="00675C69"/>
    <w:rsid w:val="0067678D"/>
    <w:rsid w:val="00676810"/>
    <w:rsid w:val="00676985"/>
    <w:rsid w:val="006819AE"/>
    <w:rsid w:val="0068222B"/>
    <w:rsid w:val="00682F9A"/>
    <w:rsid w:val="0068351B"/>
    <w:rsid w:val="00685812"/>
    <w:rsid w:val="00685AAE"/>
    <w:rsid w:val="00686B2B"/>
    <w:rsid w:val="00686B3F"/>
    <w:rsid w:val="0068709B"/>
    <w:rsid w:val="006872A4"/>
    <w:rsid w:val="00687323"/>
    <w:rsid w:val="00687C45"/>
    <w:rsid w:val="006917C9"/>
    <w:rsid w:val="00691824"/>
    <w:rsid w:val="006920EF"/>
    <w:rsid w:val="006924F5"/>
    <w:rsid w:val="00692A05"/>
    <w:rsid w:val="00692E9A"/>
    <w:rsid w:val="00693E49"/>
    <w:rsid w:val="00694074"/>
    <w:rsid w:val="00695C5C"/>
    <w:rsid w:val="00696891"/>
    <w:rsid w:val="006969DE"/>
    <w:rsid w:val="00696B5F"/>
    <w:rsid w:val="0069793F"/>
    <w:rsid w:val="006A0602"/>
    <w:rsid w:val="006A0DF6"/>
    <w:rsid w:val="006A2350"/>
    <w:rsid w:val="006A2A83"/>
    <w:rsid w:val="006A48E3"/>
    <w:rsid w:val="006A4DB9"/>
    <w:rsid w:val="006A4E1F"/>
    <w:rsid w:val="006A5A0E"/>
    <w:rsid w:val="006A6322"/>
    <w:rsid w:val="006A68C2"/>
    <w:rsid w:val="006A7912"/>
    <w:rsid w:val="006B01E3"/>
    <w:rsid w:val="006B071C"/>
    <w:rsid w:val="006B0822"/>
    <w:rsid w:val="006B17F8"/>
    <w:rsid w:val="006B2824"/>
    <w:rsid w:val="006B29C9"/>
    <w:rsid w:val="006B3D36"/>
    <w:rsid w:val="006B3E05"/>
    <w:rsid w:val="006B451B"/>
    <w:rsid w:val="006B4E94"/>
    <w:rsid w:val="006B4F1B"/>
    <w:rsid w:val="006B51A2"/>
    <w:rsid w:val="006B5785"/>
    <w:rsid w:val="006B5836"/>
    <w:rsid w:val="006B5A3B"/>
    <w:rsid w:val="006B7E64"/>
    <w:rsid w:val="006B7F8A"/>
    <w:rsid w:val="006C1615"/>
    <w:rsid w:val="006C1A55"/>
    <w:rsid w:val="006C1DBA"/>
    <w:rsid w:val="006C23C2"/>
    <w:rsid w:val="006C2E70"/>
    <w:rsid w:val="006C32A4"/>
    <w:rsid w:val="006C5432"/>
    <w:rsid w:val="006C5DCD"/>
    <w:rsid w:val="006C60A7"/>
    <w:rsid w:val="006C6D74"/>
    <w:rsid w:val="006C6E0F"/>
    <w:rsid w:val="006C74CC"/>
    <w:rsid w:val="006C771D"/>
    <w:rsid w:val="006C775B"/>
    <w:rsid w:val="006D0A3B"/>
    <w:rsid w:val="006D1261"/>
    <w:rsid w:val="006D1E32"/>
    <w:rsid w:val="006D2941"/>
    <w:rsid w:val="006D3FA0"/>
    <w:rsid w:val="006D6D3E"/>
    <w:rsid w:val="006D6EC7"/>
    <w:rsid w:val="006D7660"/>
    <w:rsid w:val="006D79FF"/>
    <w:rsid w:val="006E077D"/>
    <w:rsid w:val="006E0F37"/>
    <w:rsid w:val="006E19BB"/>
    <w:rsid w:val="006E2906"/>
    <w:rsid w:val="006E354B"/>
    <w:rsid w:val="006E3D64"/>
    <w:rsid w:val="006E3E0C"/>
    <w:rsid w:val="006E3E9C"/>
    <w:rsid w:val="006E400D"/>
    <w:rsid w:val="006E51A6"/>
    <w:rsid w:val="006E532D"/>
    <w:rsid w:val="006E5CD3"/>
    <w:rsid w:val="006E6A4A"/>
    <w:rsid w:val="006E7251"/>
    <w:rsid w:val="006E766F"/>
    <w:rsid w:val="006E7E92"/>
    <w:rsid w:val="006F0085"/>
    <w:rsid w:val="006F01DC"/>
    <w:rsid w:val="006F0CFE"/>
    <w:rsid w:val="006F0F08"/>
    <w:rsid w:val="006F1340"/>
    <w:rsid w:val="006F1E4C"/>
    <w:rsid w:val="006F2E42"/>
    <w:rsid w:val="006F31B3"/>
    <w:rsid w:val="006F3E8A"/>
    <w:rsid w:val="006F41B3"/>
    <w:rsid w:val="006F47B4"/>
    <w:rsid w:val="006F4B06"/>
    <w:rsid w:val="006F4FE4"/>
    <w:rsid w:val="006F507C"/>
    <w:rsid w:val="006F5631"/>
    <w:rsid w:val="006F58C9"/>
    <w:rsid w:val="006F5DBE"/>
    <w:rsid w:val="007006C5"/>
    <w:rsid w:val="007014C1"/>
    <w:rsid w:val="00701770"/>
    <w:rsid w:val="0070179C"/>
    <w:rsid w:val="00701B04"/>
    <w:rsid w:val="00702D82"/>
    <w:rsid w:val="00703142"/>
    <w:rsid w:val="007036F4"/>
    <w:rsid w:val="00703B46"/>
    <w:rsid w:val="007046D6"/>
    <w:rsid w:val="00705BA7"/>
    <w:rsid w:val="0070643D"/>
    <w:rsid w:val="00706EB9"/>
    <w:rsid w:val="00707355"/>
    <w:rsid w:val="007103E0"/>
    <w:rsid w:val="007103FA"/>
    <w:rsid w:val="00710EDA"/>
    <w:rsid w:val="00713152"/>
    <w:rsid w:val="00713739"/>
    <w:rsid w:val="00713A34"/>
    <w:rsid w:val="00716A4A"/>
    <w:rsid w:val="00717B5B"/>
    <w:rsid w:val="00717BEE"/>
    <w:rsid w:val="00717ED6"/>
    <w:rsid w:val="00720084"/>
    <w:rsid w:val="0072098D"/>
    <w:rsid w:val="00720A16"/>
    <w:rsid w:val="00721A90"/>
    <w:rsid w:val="00721CC8"/>
    <w:rsid w:val="00722CF6"/>
    <w:rsid w:val="0072350D"/>
    <w:rsid w:val="007245BD"/>
    <w:rsid w:val="00725D67"/>
    <w:rsid w:val="0072617E"/>
    <w:rsid w:val="007266C9"/>
    <w:rsid w:val="007271A1"/>
    <w:rsid w:val="00727F0C"/>
    <w:rsid w:val="007312B7"/>
    <w:rsid w:val="007315AA"/>
    <w:rsid w:val="007316EC"/>
    <w:rsid w:val="00732629"/>
    <w:rsid w:val="007346C8"/>
    <w:rsid w:val="007352CE"/>
    <w:rsid w:val="0073548C"/>
    <w:rsid w:val="007354D7"/>
    <w:rsid w:val="007355A5"/>
    <w:rsid w:val="00736658"/>
    <w:rsid w:val="00736D7B"/>
    <w:rsid w:val="00740A6A"/>
    <w:rsid w:val="007411E2"/>
    <w:rsid w:val="00741366"/>
    <w:rsid w:val="00741835"/>
    <w:rsid w:val="007424AF"/>
    <w:rsid w:val="00742650"/>
    <w:rsid w:val="00742814"/>
    <w:rsid w:val="0074299D"/>
    <w:rsid w:val="007430F4"/>
    <w:rsid w:val="00743606"/>
    <w:rsid w:val="00743834"/>
    <w:rsid w:val="00743EB9"/>
    <w:rsid w:val="007451C0"/>
    <w:rsid w:val="00745683"/>
    <w:rsid w:val="0074602C"/>
    <w:rsid w:val="0074655E"/>
    <w:rsid w:val="0074687E"/>
    <w:rsid w:val="007470D9"/>
    <w:rsid w:val="00747AB5"/>
    <w:rsid w:val="00747B1E"/>
    <w:rsid w:val="00750308"/>
    <w:rsid w:val="00750502"/>
    <w:rsid w:val="00751386"/>
    <w:rsid w:val="00751998"/>
    <w:rsid w:val="007523D1"/>
    <w:rsid w:val="00752591"/>
    <w:rsid w:val="00752E54"/>
    <w:rsid w:val="00753435"/>
    <w:rsid w:val="00753F85"/>
    <w:rsid w:val="007541A0"/>
    <w:rsid w:val="007544AD"/>
    <w:rsid w:val="00756081"/>
    <w:rsid w:val="00756964"/>
    <w:rsid w:val="00757520"/>
    <w:rsid w:val="00757C9D"/>
    <w:rsid w:val="00757ED8"/>
    <w:rsid w:val="00760E18"/>
    <w:rsid w:val="00760FF0"/>
    <w:rsid w:val="00762EBE"/>
    <w:rsid w:val="00763426"/>
    <w:rsid w:val="00764E05"/>
    <w:rsid w:val="00765079"/>
    <w:rsid w:val="0076524D"/>
    <w:rsid w:val="007657E8"/>
    <w:rsid w:val="007667DD"/>
    <w:rsid w:val="00766E6C"/>
    <w:rsid w:val="00766F4E"/>
    <w:rsid w:val="00767876"/>
    <w:rsid w:val="0077015E"/>
    <w:rsid w:val="00770CF0"/>
    <w:rsid w:val="00771AA3"/>
    <w:rsid w:val="00773119"/>
    <w:rsid w:val="00773881"/>
    <w:rsid w:val="007740B4"/>
    <w:rsid w:val="00775632"/>
    <w:rsid w:val="00776D62"/>
    <w:rsid w:val="00776EC2"/>
    <w:rsid w:val="00777289"/>
    <w:rsid w:val="00781057"/>
    <w:rsid w:val="00781FD7"/>
    <w:rsid w:val="00782799"/>
    <w:rsid w:val="007828A3"/>
    <w:rsid w:val="00782FB2"/>
    <w:rsid w:val="00783151"/>
    <w:rsid w:val="00783FB7"/>
    <w:rsid w:val="007840BF"/>
    <w:rsid w:val="00786750"/>
    <w:rsid w:val="00787A39"/>
    <w:rsid w:val="00787CA1"/>
    <w:rsid w:val="00787D43"/>
    <w:rsid w:val="007920AF"/>
    <w:rsid w:val="00793206"/>
    <w:rsid w:val="007945F1"/>
    <w:rsid w:val="00794A27"/>
    <w:rsid w:val="00795524"/>
    <w:rsid w:val="007960C1"/>
    <w:rsid w:val="00796107"/>
    <w:rsid w:val="00796326"/>
    <w:rsid w:val="00796919"/>
    <w:rsid w:val="007979C4"/>
    <w:rsid w:val="007A299F"/>
    <w:rsid w:val="007A5972"/>
    <w:rsid w:val="007A66AE"/>
    <w:rsid w:val="007A7417"/>
    <w:rsid w:val="007A768D"/>
    <w:rsid w:val="007B04C7"/>
    <w:rsid w:val="007B1EBD"/>
    <w:rsid w:val="007B2154"/>
    <w:rsid w:val="007B220F"/>
    <w:rsid w:val="007B4257"/>
    <w:rsid w:val="007B4429"/>
    <w:rsid w:val="007B4FCB"/>
    <w:rsid w:val="007B5483"/>
    <w:rsid w:val="007B59A8"/>
    <w:rsid w:val="007B5FCB"/>
    <w:rsid w:val="007B6C75"/>
    <w:rsid w:val="007B6E48"/>
    <w:rsid w:val="007B7738"/>
    <w:rsid w:val="007C15AE"/>
    <w:rsid w:val="007C18C3"/>
    <w:rsid w:val="007C1E40"/>
    <w:rsid w:val="007C3205"/>
    <w:rsid w:val="007C3380"/>
    <w:rsid w:val="007C3CD8"/>
    <w:rsid w:val="007C3ED1"/>
    <w:rsid w:val="007C41E9"/>
    <w:rsid w:val="007C452F"/>
    <w:rsid w:val="007C48DC"/>
    <w:rsid w:val="007C55B0"/>
    <w:rsid w:val="007C589C"/>
    <w:rsid w:val="007C73A3"/>
    <w:rsid w:val="007C74C7"/>
    <w:rsid w:val="007C77E6"/>
    <w:rsid w:val="007C7A08"/>
    <w:rsid w:val="007D0BF6"/>
    <w:rsid w:val="007D217E"/>
    <w:rsid w:val="007D3CBD"/>
    <w:rsid w:val="007D410F"/>
    <w:rsid w:val="007D4701"/>
    <w:rsid w:val="007D6619"/>
    <w:rsid w:val="007D6760"/>
    <w:rsid w:val="007D6C6A"/>
    <w:rsid w:val="007D6E3B"/>
    <w:rsid w:val="007D7335"/>
    <w:rsid w:val="007D7642"/>
    <w:rsid w:val="007E0656"/>
    <w:rsid w:val="007E0BCB"/>
    <w:rsid w:val="007E0E07"/>
    <w:rsid w:val="007E1B9A"/>
    <w:rsid w:val="007E1CD9"/>
    <w:rsid w:val="007E222A"/>
    <w:rsid w:val="007E28AC"/>
    <w:rsid w:val="007E3ED4"/>
    <w:rsid w:val="007E4834"/>
    <w:rsid w:val="007E48A1"/>
    <w:rsid w:val="007E5807"/>
    <w:rsid w:val="007E6910"/>
    <w:rsid w:val="007E6CEB"/>
    <w:rsid w:val="007E7211"/>
    <w:rsid w:val="007E7BAA"/>
    <w:rsid w:val="007E7C47"/>
    <w:rsid w:val="007F0374"/>
    <w:rsid w:val="007F06B7"/>
    <w:rsid w:val="007F2B6F"/>
    <w:rsid w:val="007F44EB"/>
    <w:rsid w:val="007F4AD6"/>
    <w:rsid w:val="007F4C01"/>
    <w:rsid w:val="007F6041"/>
    <w:rsid w:val="007F63B4"/>
    <w:rsid w:val="007F6436"/>
    <w:rsid w:val="00801151"/>
    <w:rsid w:val="008017C8"/>
    <w:rsid w:val="008024A7"/>
    <w:rsid w:val="00802E22"/>
    <w:rsid w:val="0080305C"/>
    <w:rsid w:val="00803C90"/>
    <w:rsid w:val="00804EE4"/>
    <w:rsid w:val="00804EF5"/>
    <w:rsid w:val="00805123"/>
    <w:rsid w:val="00805C3A"/>
    <w:rsid w:val="00807BBF"/>
    <w:rsid w:val="00810088"/>
    <w:rsid w:val="00810D4B"/>
    <w:rsid w:val="0081139D"/>
    <w:rsid w:val="008113A2"/>
    <w:rsid w:val="008115F8"/>
    <w:rsid w:val="00811E57"/>
    <w:rsid w:val="00812245"/>
    <w:rsid w:val="00812F8D"/>
    <w:rsid w:val="00813085"/>
    <w:rsid w:val="0081336B"/>
    <w:rsid w:val="008137C5"/>
    <w:rsid w:val="00813D24"/>
    <w:rsid w:val="008144FB"/>
    <w:rsid w:val="0081498C"/>
    <w:rsid w:val="0081654B"/>
    <w:rsid w:val="00817702"/>
    <w:rsid w:val="00820BC6"/>
    <w:rsid w:val="00820BF5"/>
    <w:rsid w:val="008217CC"/>
    <w:rsid w:val="00822718"/>
    <w:rsid w:val="0082337B"/>
    <w:rsid w:val="00823F05"/>
    <w:rsid w:val="008243EC"/>
    <w:rsid w:val="00824FBB"/>
    <w:rsid w:val="00825165"/>
    <w:rsid w:val="00825708"/>
    <w:rsid w:val="00825EBE"/>
    <w:rsid w:val="0082645E"/>
    <w:rsid w:val="00827179"/>
    <w:rsid w:val="00827251"/>
    <w:rsid w:val="00827406"/>
    <w:rsid w:val="00827782"/>
    <w:rsid w:val="0083073C"/>
    <w:rsid w:val="008307E1"/>
    <w:rsid w:val="008309F7"/>
    <w:rsid w:val="00831572"/>
    <w:rsid w:val="0083228E"/>
    <w:rsid w:val="00832FDB"/>
    <w:rsid w:val="008332AA"/>
    <w:rsid w:val="008332EA"/>
    <w:rsid w:val="00833664"/>
    <w:rsid w:val="008336C2"/>
    <w:rsid w:val="00835231"/>
    <w:rsid w:val="008359F2"/>
    <w:rsid w:val="008360E3"/>
    <w:rsid w:val="00840302"/>
    <w:rsid w:val="00841248"/>
    <w:rsid w:val="0084130D"/>
    <w:rsid w:val="00843A5C"/>
    <w:rsid w:val="008448D3"/>
    <w:rsid w:val="00845CBC"/>
    <w:rsid w:val="00846EA6"/>
    <w:rsid w:val="00851932"/>
    <w:rsid w:val="00852124"/>
    <w:rsid w:val="00852783"/>
    <w:rsid w:val="00852A28"/>
    <w:rsid w:val="00853F27"/>
    <w:rsid w:val="00854919"/>
    <w:rsid w:val="00854921"/>
    <w:rsid w:val="008555D8"/>
    <w:rsid w:val="00855692"/>
    <w:rsid w:val="00855AD1"/>
    <w:rsid w:val="008561B3"/>
    <w:rsid w:val="008566D4"/>
    <w:rsid w:val="00856EB5"/>
    <w:rsid w:val="00857078"/>
    <w:rsid w:val="00857C9E"/>
    <w:rsid w:val="008603EC"/>
    <w:rsid w:val="008605A0"/>
    <w:rsid w:val="00861BCD"/>
    <w:rsid w:val="00861DB4"/>
    <w:rsid w:val="0086226E"/>
    <w:rsid w:val="008624A3"/>
    <w:rsid w:val="008636AB"/>
    <w:rsid w:val="00864706"/>
    <w:rsid w:val="008657FA"/>
    <w:rsid w:val="00865885"/>
    <w:rsid w:val="008660EF"/>
    <w:rsid w:val="008670A6"/>
    <w:rsid w:val="00870123"/>
    <w:rsid w:val="00870566"/>
    <w:rsid w:val="0087188B"/>
    <w:rsid w:val="0087311B"/>
    <w:rsid w:val="0087455C"/>
    <w:rsid w:val="00874A02"/>
    <w:rsid w:val="0087526B"/>
    <w:rsid w:val="00875331"/>
    <w:rsid w:val="008758CD"/>
    <w:rsid w:val="00875E51"/>
    <w:rsid w:val="00876A2F"/>
    <w:rsid w:val="008804F2"/>
    <w:rsid w:val="008821A4"/>
    <w:rsid w:val="00882F8C"/>
    <w:rsid w:val="00884AFD"/>
    <w:rsid w:val="0088536C"/>
    <w:rsid w:val="008859CD"/>
    <w:rsid w:val="008864E9"/>
    <w:rsid w:val="008868DA"/>
    <w:rsid w:val="00886B28"/>
    <w:rsid w:val="00890091"/>
    <w:rsid w:val="0089042D"/>
    <w:rsid w:val="008918CB"/>
    <w:rsid w:val="00892BD7"/>
    <w:rsid w:val="00893D99"/>
    <w:rsid w:val="00893F65"/>
    <w:rsid w:val="00894FA3"/>
    <w:rsid w:val="008959E4"/>
    <w:rsid w:val="00896C8F"/>
    <w:rsid w:val="008A0340"/>
    <w:rsid w:val="008A04E9"/>
    <w:rsid w:val="008A0DDD"/>
    <w:rsid w:val="008A120E"/>
    <w:rsid w:val="008A295E"/>
    <w:rsid w:val="008A2A87"/>
    <w:rsid w:val="008A2C6D"/>
    <w:rsid w:val="008A36A9"/>
    <w:rsid w:val="008A384F"/>
    <w:rsid w:val="008A3C8C"/>
    <w:rsid w:val="008A4A1F"/>
    <w:rsid w:val="008A508E"/>
    <w:rsid w:val="008A5DE0"/>
    <w:rsid w:val="008A5FD8"/>
    <w:rsid w:val="008A781E"/>
    <w:rsid w:val="008B095D"/>
    <w:rsid w:val="008B0FE0"/>
    <w:rsid w:val="008B151B"/>
    <w:rsid w:val="008B157F"/>
    <w:rsid w:val="008B2312"/>
    <w:rsid w:val="008B28EE"/>
    <w:rsid w:val="008B3E3B"/>
    <w:rsid w:val="008B4863"/>
    <w:rsid w:val="008B4AD5"/>
    <w:rsid w:val="008B52D3"/>
    <w:rsid w:val="008B5774"/>
    <w:rsid w:val="008B59A0"/>
    <w:rsid w:val="008C022E"/>
    <w:rsid w:val="008C0E7E"/>
    <w:rsid w:val="008C1033"/>
    <w:rsid w:val="008C103C"/>
    <w:rsid w:val="008C11AA"/>
    <w:rsid w:val="008C2147"/>
    <w:rsid w:val="008C23E0"/>
    <w:rsid w:val="008C2661"/>
    <w:rsid w:val="008C2B18"/>
    <w:rsid w:val="008C2F0C"/>
    <w:rsid w:val="008C313F"/>
    <w:rsid w:val="008C3765"/>
    <w:rsid w:val="008C41C4"/>
    <w:rsid w:val="008C49D5"/>
    <w:rsid w:val="008C4E6B"/>
    <w:rsid w:val="008C5AFE"/>
    <w:rsid w:val="008C620E"/>
    <w:rsid w:val="008C6A91"/>
    <w:rsid w:val="008C6E78"/>
    <w:rsid w:val="008C71D3"/>
    <w:rsid w:val="008C7E64"/>
    <w:rsid w:val="008D0061"/>
    <w:rsid w:val="008D031C"/>
    <w:rsid w:val="008D0ACA"/>
    <w:rsid w:val="008D1158"/>
    <w:rsid w:val="008D1526"/>
    <w:rsid w:val="008D2270"/>
    <w:rsid w:val="008D2D6F"/>
    <w:rsid w:val="008D303C"/>
    <w:rsid w:val="008D3332"/>
    <w:rsid w:val="008D333C"/>
    <w:rsid w:val="008D3AA8"/>
    <w:rsid w:val="008D3DDB"/>
    <w:rsid w:val="008D41A5"/>
    <w:rsid w:val="008D45EE"/>
    <w:rsid w:val="008D631F"/>
    <w:rsid w:val="008D7365"/>
    <w:rsid w:val="008E0A47"/>
    <w:rsid w:val="008E1302"/>
    <w:rsid w:val="008E133B"/>
    <w:rsid w:val="008E1593"/>
    <w:rsid w:val="008E2269"/>
    <w:rsid w:val="008E23EE"/>
    <w:rsid w:val="008E29E2"/>
    <w:rsid w:val="008E3A40"/>
    <w:rsid w:val="008E44C4"/>
    <w:rsid w:val="008E5684"/>
    <w:rsid w:val="008E661A"/>
    <w:rsid w:val="008E6D02"/>
    <w:rsid w:val="008E752D"/>
    <w:rsid w:val="008E7545"/>
    <w:rsid w:val="008F00E4"/>
    <w:rsid w:val="008F0A17"/>
    <w:rsid w:val="008F1615"/>
    <w:rsid w:val="008F1F6F"/>
    <w:rsid w:val="008F5408"/>
    <w:rsid w:val="008F55D0"/>
    <w:rsid w:val="008F6B02"/>
    <w:rsid w:val="0090216C"/>
    <w:rsid w:val="00902D73"/>
    <w:rsid w:val="00902E83"/>
    <w:rsid w:val="009030A3"/>
    <w:rsid w:val="00904875"/>
    <w:rsid w:val="009054D5"/>
    <w:rsid w:val="009078D0"/>
    <w:rsid w:val="00907A1E"/>
    <w:rsid w:val="00907F95"/>
    <w:rsid w:val="00910090"/>
    <w:rsid w:val="00910364"/>
    <w:rsid w:val="00910D61"/>
    <w:rsid w:val="0091373A"/>
    <w:rsid w:val="00914608"/>
    <w:rsid w:val="009146A2"/>
    <w:rsid w:val="00915264"/>
    <w:rsid w:val="00915CCD"/>
    <w:rsid w:val="00916CEC"/>
    <w:rsid w:val="009172F5"/>
    <w:rsid w:val="00917B35"/>
    <w:rsid w:val="009200F4"/>
    <w:rsid w:val="00920BB8"/>
    <w:rsid w:val="00920D36"/>
    <w:rsid w:val="00920FC5"/>
    <w:rsid w:val="009211D2"/>
    <w:rsid w:val="00921A67"/>
    <w:rsid w:val="00921DA9"/>
    <w:rsid w:val="009225AC"/>
    <w:rsid w:val="00922B7D"/>
    <w:rsid w:val="00922EB4"/>
    <w:rsid w:val="0092310C"/>
    <w:rsid w:val="009255AC"/>
    <w:rsid w:val="009256B1"/>
    <w:rsid w:val="00925B78"/>
    <w:rsid w:val="00926014"/>
    <w:rsid w:val="00926068"/>
    <w:rsid w:val="00926393"/>
    <w:rsid w:val="00927908"/>
    <w:rsid w:val="00927CDC"/>
    <w:rsid w:val="00930073"/>
    <w:rsid w:val="009314D3"/>
    <w:rsid w:val="00931A62"/>
    <w:rsid w:val="00932582"/>
    <w:rsid w:val="0093313A"/>
    <w:rsid w:val="00934EDF"/>
    <w:rsid w:val="0093590A"/>
    <w:rsid w:val="00935BB7"/>
    <w:rsid w:val="00936D8D"/>
    <w:rsid w:val="009405B4"/>
    <w:rsid w:val="00940A38"/>
    <w:rsid w:val="00940B52"/>
    <w:rsid w:val="00941999"/>
    <w:rsid w:val="00941B7A"/>
    <w:rsid w:val="0094421F"/>
    <w:rsid w:val="00944798"/>
    <w:rsid w:val="00944E01"/>
    <w:rsid w:val="00945E5D"/>
    <w:rsid w:val="00946004"/>
    <w:rsid w:val="009465B7"/>
    <w:rsid w:val="00946E8C"/>
    <w:rsid w:val="0094769B"/>
    <w:rsid w:val="00950F49"/>
    <w:rsid w:val="009511E9"/>
    <w:rsid w:val="0095125F"/>
    <w:rsid w:val="0095170C"/>
    <w:rsid w:val="009519A4"/>
    <w:rsid w:val="00953030"/>
    <w:rsid w:val="009536CB"/>
    <w:rsid w:val="009538A6"/>
    <w:rsid w:val="00953C36"/>
    <w:rsid w:val="00954794"/>
    <w:rsid w:val="00954B58"/>
    <w:rsid w:val="00954E5F"/>
    <w:rsid w:val="00954FCA"/>
    <w:rsid w:val="009558A9"/>
    <w:rsid w:val="009559CA"/>
    <w:rsid w:val="00956DA1"/>
    <w:rsid w:val="00957674"/>
    <w:rsid w:val="009579CD"/>
    <w:rsid w:val="00960EFF"/>
    <w:rsid w:val="0096225A"/>
    <w:rsid w:val="0096247B"/>
    <w:rsid w:val="009625AD"/>
    <w:rsid w:val="009656DF"/>
    <w:rsid w:val="00966A2A"/>
    <w:rsid w:val="00966C35"/>
    <w:rsid w:val="00967934"/>
    <w:rsid w:val="0097008C"/>
    <w:rsid w:val="00970127"/>
    <w:rsid w:val="0097034D"/>
    <w:rsid w:val="009715E3"/>
    <w:rsid w:val="00971690"/>
    <w:rsid w:val="00972462"/>
    <w:rsid w:val="00972F11"/>
    <w:rsid w:val="0097330B"/>
    <w:rsid w:val="00973468"/>
    <w:rsid w:val="00974421"/>
    <w:rsid w:val="00974887"/>
    <w:rsid w:val="009750FF"/>
    <w:rsid w:val="00975115"/>
    <w:rsid w:val="0097595F"/>
    <w:rsid w:val="009760B8"/>
    <w:rsid w:val="009761EA"/>
    <w:rsid w:val="009777A6"/>
    <w:rsid w:val="00980875"/>
    <w:rsid w:val="0098088A"/>
    <w:rsid w:val="009809DB"/>
    <w:rsid w:val="00980AE3"/>
    <w:rsid w:val="00980B66"/>
    <w:rsid w:val="0098118A"/>
    <w:rsid w:val="00983DCE"/>
    <w:rsid w:val="0098489A"/>
    <w:rsid w:val="00985BC0"/>
    <w:rsid w:val="00985CEA"/>
    <w:rsid w:val="00985D2D"/>
    <w:rsid w:val="00985F4A"/>
    <w:rsid w:val="0098600F"/>
    <w:rsid w:val="0098640E"/>
    <w:rsid w:val="009864DF"/>
    <w:rsid w:val="0098725A"/>
    <w:rsid w:val="009906C9"/>
    <w:rsid w:val="00991011"/>
    <w:rsid w:val="00991987"/>
    <w:rsid w:val="009929FE"/>
    <w:rsid w:val="00993596"/>
    <w:rsid w:val="00993826"/>
    <w:rsid w:val="00993A0A"/>
    <w:rsid w:val="00993DF4"/>
    <w:rsid w:val="00993E83"/>
    <w:rsid w:val="0099471C"/>
    <w:rsid w:val="0099658D"/>
    <w:rsid w:val="0099795C"/>
    <w:rsid w:val="00997EF5"/>
    <w:rsid w:val="009A0B88"/>
    <w:rsid w:val="009A1770"/>
    <w:rsid w:val="009A225A"/>
    <w:rsid w:val="009A22EB"/>
    <w:rsid w:val="009A2954"/>
    <w:rsid w:val="009A2E4E"/>
    <w:rsid w:val="009A394E"/>
    <w:rsid w:val="009A43C2"/>
    <w:rsid w:val="009A4459"/>
    <w:rsid w:val="009A5533"/>
    <w:rsid w:val="009A598C"/>
    <w:rsid w:val="009A76B5"/>
    <w:rsid w:val="009B13FF"/>
    <w:rsid w:val="009B1998"/>
    <w:rsid w:val="009B1B1D"/>
    <w:rsid w:val="009B1EAF"/>
    <w:rsid w:val="009B2925"/>
    <w:rsid w:val="009B3744"/>
    <w:rsid w:val="009B385F"/>
    <w:rsid w:val="009B3CC7"/>
    <w:rsid w:val="009B4515"/>
    <w:rsid w:val="009B55F8"/>
    <w:rsid w:val="009B5963"/>
    <w:rsid w:val="009B6C62"/>
    <w:rsid w:val="009B7706"/>
    <w:rsid w:val="009C096A"/>
    <w:rsid w:val="009C0A8E"/>
    <w:rsid w:val="009C1A20"/>
    <w:rsid w:val="009C2159"/>
    <w:rsid w:val="009C2F62"/>
    <w:rsid w:val="009C3B39"/>
    <w:rsid w:val="009C407C"/>
    <w:rsid w:val="009C4B49"/>
    <w:rsid w:val="009C56CF"/>
    <w:rsid w:val="009C655C"/>
    <w:rsid w:val="009D0781"/>
    <w:rsid w:val="009D16FE"/>
    <w:rsid w:val="009D47FD"/>
    <w:rsid w:val="009D5604"/>
    <w:rsid w:val="009D63AD"/>
    <w:rsid w:val="009D790E"/>
    <w:rsid w:val="009E1EE5"/>
    <w:rsid w:val="009E3029"/>
    <w:rsid w:val="009E30AE"/>
    <w:rsid w:val="009E39EB"/>
    <w:rsid w:val="009E5D5A"/>
    <w:rsid w:val="009E6B08"/>
    <w:rsid w:val="009E6E0D"/>
    <w:rsid w:val="009E7F23"/>
    <w:rsid w:val="009F0472"/>
    <w:rsid w:val="009F1BF8"/>
    <w:rsid w:val="009F1F36"/>
    <w:rsid w:val="009F2A85"/>
    <w:rsid w:val="009F3413"/>
    <w:rsid w:val="009F34E9"/>
    <w:rsid w:val="009F3956"/>
    <w:rsid w:val="009F3A9A"/>
    <w:rsid w:val="009F3B9D"/>
    <w:rsid w:val="009F3EE1"/>
    <w:rsid w:val="009F5D2A"/>
    <w:rsid w:val="009F6EAB"/>
    <w:rsid w:val="009F76CC"/>
    <w:rsid w:val="009F78BB"/>
    <w:rsid w:val="00A013EE"/>
    <w:rsid w:val="00A01DF3"/>
    <w:rsid w:val="00A01F2C"/>
    <w:rsid w:val="00A04232"/>
    <w:rsid w:val="00A05340"/>
    <w:rsid w:val="00A058B5"/>
    <w:rsid w:val="00A05956"/>
    <w:rsid w:val="00A06AF9"/>
    <w:rsid w:val="00A06B49"/>
    <w:rsid w:val="00A06E90"/>
    <w:rsid w:val="00A07B27"/>
    <w:rsid w:val="00A11B8C"/>
    <w:rsid w:val="00A12AC3"/>
    <w:rsid w:val="00A12BDA"/>
    <w:rsid w:val="00A14A92"/>
    <w:rsid w:val="00A14E6C"/>
    <w:rsid w:val="00A15361"/>
    <w:rsid w:val="00A154D4"/>
    <w:rsid w:val="00A157E8"/>
    <w:rsid w:val="00A1584B"/>
    <w:rsid w:val="00A159C5"/>
    <w:rsid w:val="00A1661D"/>
    <w:rsid w:val="00A174BF"/>
    <w:rsid w:val="00A1760D"/>
    <w:rsid w:val="00A17660"/>
    <w:rsid w:val="00A1786B"/>
    <w:rsid w:val="00A20889"/>
    <w:rsid w:val="00A20CB5"/>
    <w:rsid w:val="00A212A6"/>
    <w:rsid w:val="00A21545"/>
    <w:rsid w:val="00A223EA"/>
    <w:rsid w:val="00A2281D"/>
    <w:rsid w:val="00A22DE5"/>
    <w:rsid w:val="00A24BC2"/>
    <w:rsid w:val="00A25D6E"/>
    <w:rsid w:val="00A25EF0"/>
    <w:rsid w:val="00A270B8"/>
    <w:rsid w:val="00A274F0"/>
    <w:rsid w:val="00A27ABA"/>
    <w:rsid w:val="00A27B4F"/>
    <w:rsid w:val="00A27D82"/>
    <w:rsid w:val="00A30D13"/>
    <w:rsid w:val="00A31E09"/>
    <w:rsid w:val="00A31FB5"/>
    <w:rsid w:val="00A320D0"/>
    <w:rsid w:val="00A32410"/>
    <w:rsid w:val="00A3266C"/>
    <w:rsid w:val="00A32B6D"/>
    <w:rsid w:val="00A32C24"/>
    <w:rsid w:val="00A33A5A"/>
    <w:rsid w:val="00A33B35"/>
    <w:rsid w:val="00A33F46"/>
    <w:rsid w:val="00A3499F"/>
    <w:rsid w:val="00A36563"/>
    <w:rsid w:val="00A371EB"/>
    <w:rsid w:val="00A373F3"/>
    <w:rsid w:val="00A37CA3"/>
    <w:rsid w:val="00A37CED"/>
    <w:rsid w:val="00A37EC1"/>
    <w:rsid w:val="00A40086"/>
    <w:rsid w:val="00A4058F"/>
    <w:rsid w:val="00A40CA4"/>
    <w:rsid w:val="00A411F3"/>
    <w:rsid w:val="00A4214E"/>
    <w:rsid w:val="00A42A15"/>
    <w:rsid w:val="00A42B10"/>
    <w:rsid w:val="00A4326C"/>
    <w:rsid w:val="00A440B0"/>
    <w:rsid w:val="00A447F7"/>
    <w:rsid w:val="00A44A80"/>
    <w:rsid w:val="00A455DB"/>
    <w:rsid w:val="00A45C5B"/>
    <w:rsid w:val="00A45DA4"/>
    <w:rsid w:val="00A46C54"/>
    <w:rsid w:val="00A4747E"/>
    <w:rsid w:val="00A477AD"/>
    <w:rsid w:val="00A50AC2"/>
    <w:rsid w:val="00A512F3"/>
    <w:rsid w:val="00A51941"/>
    <w:rsid w:val="00A52A4B"/>
    <w:rsid w:val="00A52E52"/>
    <w:rsid w:val="00A53B9B"/>
    <w:rsid w:val="00A54311"/>
    <w:rsid w:val="00A547E6"/>
    <w:rsid w:val="00A54F93"/>
    <w:rsid w:val="00A552CA"/>
    <w:rsid w:val="00A55D2B"/>
    <w:rsid w:val="00A56105"/>
    <w:rsid w:val="00A57DAE"/>
    <w:rsid w:val="00A6061E"/>
    <w:rsid w:val="00A60D16"/>
    <w:rsid w:val="00A6176A"/>
    <w:rsid w:val="00A6261A"/>
    <w:rsid w:val="00A63E54"/>
    <w:rsid w:val="00A643C2"/>
    <w:rsid w:val="00A64668"/>
    <w:rsid w:val="00A6467D"/>
    <w:rsid w:val="00A64A30"/>
    <w:rsid w:val="00A64A73"/>
    <w:rsid w:val="00A64C5B"/>
    <w:rsid w:val="00A65E9E"/>
    <w:rsid w:val="00A66EB6"/>
    <w:rsid w:val="00A6749B"/>
    <w:rsid w:val="00A70D90"/>
    <w:rsid w:val="00A721E4"/>
    <w:rsid w:val="00A729F7"/>
    <w:rsid w:val="00A733AD"/>
    <w:rsid w:val="00A7444A"/>
    <w:rsid w:val="00A74A6F"/>
    <w:rsid w:val="00A75F9F"/>
    <w:rsid w:val="00A7637C"/>
    <w:rsid w:val="00A7647E"/>
    <w:rsid w:val="00A76F61"/>
    <w:rsid w:val="00A76F6B"/>
    <w:rsid w:val="00A7760F"/>
    <w:rsid w:val="00A8061C"/>
    <w:rsid w:val="00A80AF7"/>
    <w:rsid w:val="00A82B32"/>
    <w:rsid w:val="00A83A8E"/>
    <w:rsid w:val="00A83E4A"/>
    <w:rsid w:val="00A83E50"/>
    <w:rsid w:val="00A8447C"/>
    <w:rsid w:val="00A86586"/>
    <w:rsid w:val="00A866E1"/>
    <w:rsid w:val="00A86851"/>
    <w:rsid w:val="00A869B8"/>
    <w:rsid w:val="00A86CFD"/>
    <w:rsid w:val="00A87583"/>
    <w:rsid w:val="00A87861"/>
    <w:rsid w:val="00A91372"/>
    <w:rsid w:val="00A9271C"/>
    <w:rsid w:val="00A9376B"/>
    <w:rsid w:val="00A93F24"/>
    <w:rsid w:val="00A955D9"/>
    <w:rsid w:val="00A95ADB"/>
    <w:rsid w:val="00A97F68"/>
    <w:rsid w:val="00AA0379"/>
    <w:rsid w:val="00AA07CA"/>
    <w:rsid w:val="00AA0A74"/>
    <w:rsid w:val="00AA0F97"/>
    <w:rsid w:val="00AA0FD5"/>
    <w:rsid w:val="00AA1C19"/>
    <w:rsid w:val="00AA1D8C"/>
    <w:rsid w:val="00AA21DD"/>
    <w:rsid w:val="00AA4196"/>
    <w:rsid w:val="00AA4C10"/>
    <w:rsid w:val="00AA5473"/>
    <w:rsid w:val="00AA6E25"/>
    <w:rsid w:val="00AA7982"/>
    <w:rsid w:val="00AA7B68"/>
    <w:rsid w:val="00AB0028"/>
    <w:rsid w:val="00AB0E4F"/>
    <w:rsid w:val="00AB1B1D"/>
    <w:rsid w:val="00AB225A"/>
    <w:rsid w:val="00AB2478"/>
    <w:rsid w:val="00AB26CB"/>
    <w:rsid w:val="00AB2BC0"/>
    <w:rsid w:val="00AB3186"/>
    <w:rsid w:val="00AB3774"/>
    <w:rsid w:val="00AB54FE"/>
    <w:rsid w:val="00AB629A"/>
    <w:rsid w:val="00AB652C"/>
    <w:rsid w:val="00AB7E20"/>
    <w:rsid w:val="00AC0BC1"/>
    <w:rsid w:val="00AC0DBD"/>
    <w:rsid w:val="00AC1095"/>
    <w:rsid w:val="00AC13DB"/>
    <w:rsid w:val="00AC3844"/>
    <w:rsid w:val="00AC569B"/>
    <w:rsid w:val="00AC5B3A"/>
    <w:rsid w:val="00AC6805"/>
    <w:rsid w:val="00AC7032"/>
    <w:rsid w:val="00AC7D90"/>
    <w:rsid w:val="00AD06AF"/>
    <w:rsid w:val="00AD0AD7"/>
    <w:rsid w:val="00AD22A5"/>
    <w:rsid w:val="00AD2339"/>
    <w:rsid w:val="00AD25AB"/>
    <w:rsid w:val="00AD27B1"/>
    <w:rsid w:val="00AD2FE9"/>
    <w:rsid w:val="00AD3FB1"/>
    <w:rsid w:val="00AD4648"/>
    <w:rsid w:val="00AD4C60"/>
    <w:rsid w:val="00AD5472"/>
    <w:rsid w:val="00AD5790"/>
    <w:rsid w:val="00AD62C9"/>
    <w:rsid w:val="00AD6C0F"/>
    <w:rsid w:val="00AD6FF7"/>
    <w:rsid w:val="00AD725C"/>
    <w:rsid w:val="00AD72CB"/>
    <w:rsid w:val="00AE02BE"/>
    <w:rsid w:val="00AE140C"/>
    <w:rsid w:val="00AE1954"/>
    <w:rsid w:val="00AE19A2"/>
    <w:rsid w:val="00AE19E7"/>
    <w:rsid w:val="00AE2CC1"/>
    <w:rsid w:val="00AE3A29"/>
    <w:rsid w:val="00AE40CF"/>
    <w:rsid w:val="00AE4314"/>
    <w:rsid w:val="00AE47B5"/>
    <w:rsid w:val="00AE682E"/>
    <w:rsid w:val="00AE694A"/>
    <w:rsid w:val="00AE7A0D"/>
    <w:rsid w:val="00AE7B96"/>
    <w:rsid w:val="00AF15E1"/>
    <w:rsid w:val="00AF17BD"/>
    <w:rsid w:val="00AF2864"/>
    <w:rsid w:val="00AF2B0C"/>
    <w:rsid w:val="00AF2B58"/>
    <w:rsid w:val="00AF3912"/>
    <w:rsid w:val="00AF3C83"/>
    <w:rsid w:val="00AF4B9D"/>
    <w:rsid w:val="00AF5037"/>
    <w:rsid w:val="00AF5839"/>
    <w:rsid w:val="00AF63BD"/>
    <w:rsid w:val="00B005FB"/>
    <w:rsid w:val="00B010AB"/>
    <w:rsid w:val="00B01333"/>
    <w:rsid w:val="00B0156A"/>
    <w:rsid w:val="00B015A3"/>
    <w:rsid w:val="00B0187F"/>
    <w:rsid w:val="00B01B9C"/>
    <w:rsid w:val="00B029EF"/>
    <w:rsid w:val="00B02D0F"/>
    <w:rsid w:val="00B03864"/>
    <w:rsid w:val="00B03927"/>
    <w:rsid w:val="00B04443"/>
    <w:rsid w:val="00B0643B"/>
    <w:rsid w:val="00B075AF"/>
    <w:rsid w:val="00B100B0"/>
    <w:rsid w:val="00B10315"/>
    <w:rsid w:val="00B10A5F"/>
    <w:rsid w:val="00B11409"/>
    <w:rsid w:val="00B11587"/>
    <w:rsid w:val="00B14027"/>
    <w:rsid w:val="00B141E6"/>
    <w:rsid w:val="00B1422F"/>
    <w:rsid w:val="00B146A8"/>
    <w:rsid w:val="00B16ACB"/>
    <w:rsid w:val="00B171F5"/>
    <w:rsid w:val="00B17253"/>
    <w:rsid w:val="00B20ADF"/>
    <w:rsid w:val="00B20F9D"/>
    <w:rsid w:val="00B21105"/>
    <w:rsid w:val="00B21221"/>
    <w:rsid w:val="00B21CA1"/>
    <w:rsid w:val="00B21DD3"/>
    <w:rsid w:val="00B2344D"/>
    <w:rsid w:val="00B236EF"/>
    <w:rsid w:val="00B236F6"/>
    <w:rsid w:val="00B23713"/>
    <w:rsid w:val="00B23917"/>
    <w:rsid w:val="00B23F6E"/>
    <w:rsid w:val="00B25058"/>
    <w:rsid w:val="00B267CC"/>
    <w:rsid w:val="00B268F5"/>
    <w:rsid w:val="00B2750A"/>
    <w:rsid w:val="00B302E5"/>
    <w:rsid w:val="00B305FD"/>
    <w:rsid w:val="00B30F83"/>
    <w:rsid w:val="00B3100D"/>
    <w:rsid w:val="00B3264C"/>
    <w:rsid w:val="00B32BBD"/>
    <w:rsid w:val="00B330DB"/>
    <w:rsid w:val="00B341C9"/>
    <w:rsid w:val="00B34685"/>
    <w:rsid w:val="00B34BA4"/>
    <w:rsid w:val="00B34F0B"/>
    <w:rsid w:val="00B355E0"/>
    <w:rsid w:val="00B36087"/>
    <w:rsid w:val="00B36BD4"/>
    <w:rsid w:val="00B36D75"/>
    <w:rsid w:val="00B37D01"/>
    <w:rsid w:val="00B40FF9"/>
    <w:rsid w:val="00B419EA"/>
    <w:rsid w:val="00B41AE2"/>
    <w:rsid w:val="00B41CDE"/>
    <w:rsid w:val="00B41E17"/>
    <w:rsid w:val="00B42206"/>
    <w:rsid w:val="00B4241F"/>
    <w:rsid w:val="00B42726"/>
    <w:rsid w:val="00B43237"/>
    <w:rsid w:val="00B43970"/>
    <w:rsid w:val="00B44828"/>
    <w:rsid w:val="00B45049"/>
    <w:rsid w:val="00B46323"/>
    <w:rsid w:val="00B50A81"/>
    <w:rsid w:val="00B50E8F"/>
    <w:rsid w:val="00B51546"/>
    <w:rsid w:val="00B51AF1"/>
    <w:rsid w:val="00B5247D"/>
    <w:rsid w:val="00B52BCA"/>
    <w:rsid w:val="00B52C6F"/>
    <w:rsid w:val="00B53542"/>
    <w:rsid w:val="00B53726"/>
    <w:rsid w:val="00B54735"/>
    <w:rsid w:val="00B556D7"/>
    <w:rsid w:val="00B56223"/>
    <w:rsid w:val="00B562DB"/>
    <w:rsid w:val="00B56933"/>
    <w:rsid w:val="00B57836"/>
    <w:rsid w:val="00B606FC"/>
    <w:rsid w:val="00B6105D"/>
    <w:rsid w:val="00B614D8"/>
    <w:rsid w:val="00B618D5"/>
    <w:rsid w:val="00B61ADD"/>
    <w:rsid w:val="00B620E6"/>
    <w:rsid w:val="00B638A5"/>
    <w:rsid w:val="00B639F5"/>
    <w:rsid w:val="00B646FC"/>
    <w:rsid w:val="00B64F85"/>
    <w:rsid w:val="00B660EB"/>
    <w:rsid w:val="00B6684B"/>
    <w:rsid w:val="00B6739F"/>
    <w:rsid w:val="00B67D24"/>
    <w:rsid w:val="00B703C1"/>
    <w:rsid w:val="00B705C0"/>
    <w:rsid w:val="00B715D4"/>
    <w:rsid w:val="00B71D48"/>
    <w:rsid w:val="00B7270E"/>
    <w:rsid w:val="00B73277"/>
    <w:rsid w:val="00B75EBB"/>
    <w:rsid w:val="00B810CB"/>
    <w:rsid w:val="00B81B2C"/>
    <w:rsid w:val="00B82D1A"/>
    <w:rsid w:val="00B83303"/>
    <w:rsid w:val="00B83F83"/>
    <w:rsid w:val="00B85F75"/>
    <w:rsid w:val="00B86118"/>
    <w:rsid w:val="00B86A53"/>
    <w:rsid w:val="00B87FD0"/>
    <w:rsid w:val="00B90C5B"/>
    <w:rsid w:val="00B92B5A"/>
    <w:rsid w:val="00B92DEF"/>
    <w:rsid w:val="00B9403E"/>
    <w:rsid w:val="00B943DF"/>
    <w:rsid w:val="00B94610"/>
    <w:rsid w:val="00B946A4"/>
    <w:rsid w:val="00B951F2"/>
    <w:rsid w:val="00B95680"/>
    <w:rsid w:val="00B95F7E"/>
    <w:rsid w:val="00B96416"/>
    <w:rsid w:val="00B96435"/>
    <w:rsid w:val="00B96F90"/>
    <w:rsid w:val="00B971C7"/>
    <w:rsid w:val="00B97462"/>
    <w:rsid w:val="00BA045E"/>
    <w:rsid w:val="00BA04C0"/>
    <w:rsid w:val="00BA061B"/>
    <w:rsid w:val="00BA224A"/>
    <w:rsid w:val="00BA33B9"/>
    <w:rsid w:val="00BA396A"/>
    <w:rsid w:val="00BA3DBC"/>
    <w:rsid w:val="00BA4170"/>
    <w:rsid w:val="00BA4369"/>
    <w:rsid w:val="00BA456E"/>
    <w:rsid w:val="00BA47B4"/>
    <w:rsid w:val="00BA6124"/>
    <w:rsid w:val="00BA6B01"/>
    <w:rsid w:val="00BB05CA"/>
    <w:rsid w:val="00BB1DE7"/>
    <w:rsid w:val="00BB268F"/>
    <w:rsid w:val="00BB2A16"/>
    <w:rsid w:val="00BB4072"/>
    <w:rsid w:val="00BB5B4C"/>
    <w:rsid w:val="00BB67B1"/>
    <w:rsid w:val="00BB7055"/>
    <w:rsid w:val="00BB71D5"/>
    <w:rsid w:val="00BB7CB9"/>
    <w:rsid w:val="00BB7DD1"/>
    <w:rsid w:val="00BC046E"/>
    <w:rsid w:val="00BC07CC"/>
    <w:rsid w:val="00BC0F87"/>
    <w:rsid w:val="00BC2970"/>
    <w:rsid w:val="00BC2E7D"/>
    <w:rsid w:val="00BC3639"/>
    <w:rsid w:val="00BC4234"/>
    <w:rsid w:val="00BC4898"/>
    <w:rsid w:val="00BC6130"/>
    <w:rsid w:val="00BC614C"/>
    <w:rsid w:val="00BC68D1"/>
    <w:rsid w:val="00BC6E40"/>
    <w:rsid w:val="00BD1819"/>
    <w:rsid w:val="00BD1BD2"/>
    <w:rsid w:val="00BD1F71"/>
    <w:rsid w:val="00BD22CC"/>
    <w:rsid w:val="00BD24CC"/>
    <w:rsid w:val="00BD2910"/>
    <w:rsid w:val="00BD2FD3"/>
    <w:rsid w:val="00BD34C1"/>
    <w:rsid w:val="00BD3951"/>
    <w:rsid w:val="00BD4D63"/>
    <w:rsid w:val="00BD50E4"/>
    <w:rsid w:val="00BD5393"/>
    <w:rsid w:val="00BD5CF4"/>
    <w:rsid w:val="00BD5F24"/>
    <w:rsid w:val="00BD691F"/>
    <w:rsid w:val="00BD7553"/>
    <w:rsid w:val="00BE0291"/>
    <w:rsid w:val="00BE0304"/>
    <w:rsid w:val="00BE0754"/>
    <w:rsid w:val="00BE1B16"/>
    <w:rsid w:val="00BE2CD6"/>
    <w:rsid w:val="00BE3434"/>
    <w:rsid w:val="00BE4B72"/>
    <w:rsid w:val="00BE54D9"/>
    <w:rsid w:val="00BE5535"/>
    <w:rsid w:val="00BE5681"/>
    <w:rsid w:val="00BE5B33"/>
    <w:rsid w:val="00BE6207"/>
    <w:rsid w:val="00BE643C"/>
    <w:rsid w:val="00BE6EED"/>
    <w:rsid w:val="00BE7A78"/>
    <w:rsid w:val="00BE7A95"/>
    <w:rsid w:val="00BF00AF"/>
    <w:rsid w:val="00BF0239"/>
    <w:rsid w:val="00BF1BF1"/>
    <w:rsid w:val="00BF1FDE"/>
    <w:rsid w:val="00BF2C02"/>
    <w:rsid w:val="00BF3168"/>
    <w:rsid w:val="00BF3951"/>
    <w:rsid w:val="00BF47C9"/>
    <w:rsid w:val="00BF48FC"/>
    <w:rsid w:val="00BF4A70"/>
    <w:rsid w:val="00BF4FBF"/>
    <w:rsid w:val="00BF6CC0"/>
    <w:rsid w:val="00BF7735"/>
    <w:rsid w:val="00BF789E"/>
    <w:rsid w:val="00C00F80"/>
    <w:rsid w:val="00C02717"/>
    <w:rsid w:val="00C0330A"/>
    <w:rsid w:val="00C035B4"/>
    <w:rsid w:val="00C03EAA"/>
    <w:rsid w:val="00C049D0"/>
    <w:rsid w:val="00C04F88"/>
    <w:rsid w:val="00C05191"/>
    <w:rsid w:val="00C054C7"/>
    <w:rsid w:val="00C05558"/>
    <w:rsid w:val="00C0714C"/>
    <w:rsid w:val="00C109CF"/>
    <w:rsid w:val="00C110FD"/>
    <w:rsid w:val="00C117E8"/>
    <w:rsid w:val="00C11850"/>
    <w:rsid w:val="00C11CCD"/>
    <w:rsid w:val="00C1263B"/>
    <w:rsid w:val="00C127A3"/>
    <w:rsid w:val="00C1323E"/>
    <w:rsid w:val="00C133CB"/>
    <w:rsid w:val="00C13A8B"/>
    <w:rsid w:val="00C141FA"/>
    <w:rsid w:val="00C14897"/>
    <w:rsid w:val="00C15021"/>
    <w:rsid w:val="00C15157"/>
    <w:rsid w:val="00C15755"/>
    <w:rsid w:val="00C1696E"/>
    <w:rsid w:val="00C172DB"/>
    <w:rsid w:val="00C17355"/>
    <w:rsid w:val="00C17509"/>
    <w:rsid w:val="00C17AAD"/>
    <w:rsid w:val="00C2058A"/>
    <w:rsid w:val="00C211BF"/>
    <w:rsid w:val="00C231C5"/>
    <w:rsid w:val="00C242BC"/>
    <w:rsid w:val="00C24A80"/>
    <w:rsid w:val="00C25F95"/>
    <w:rsid w:val="00C261C2"/>
    <w:rsid w:val="00C263D0"/>
    <w:rsid w:val="00C2649E"/>
    <w:rsid w:val="00C27246"/>
    <w:rsid w:val="00C27721"/>
    <w:rsid w:val="00C30259"/>
    <w:rsid w:val="00C3179A"/>
    <w:rsid w:val="00C31B7C"/>
    <w:rsid w:val="00C325E3"/>
    <w:rsid w:val="00C32F78"/>
    <w:rsid w:val="00C345EC"/>
    <w:rsid w:val="00C34A22"/>
    <w:rsid w:val="00C368B5"/>
    <w:rsid w:val="00C37EEA"/>
    <w:rsid w:val="00C40049"/>
    <w:rsid w:val="00C40A9C"/>
    <w:rsid w:val="00C43E64"/>
    <w:rsid w:val="00C44408"/>
    <w:rsid w:val="00C4498C"/>
    <w:rsid w:val="00C44FBF"/>
    <w:rsid w:val="00C4544F"/>
    <w:rsid w:val="00C4551A"/>
    <w:rsid w:val="00C50DD3"/>
    <w:rsid w:val="00C51983"/>
    <w:rsid w:val="00C52F04"/>
    <w:rsid w:val="00C5302A"/>
    <w:rsid w:val="00C53F9C"/>
    <w:rsid w:val="00C545D9"/>
    <w:rsid w:val="00C553F8"/>
    <w:rsid w:val="00C6019C"/>
    <w:rsid w:val="00C61F2E"/>
    <w:rsid w:val="00C624A2"/>
    <w:rsid w:val="00C62621"/>
    <w:rsid w:val="00C64113"/>
    <w:rsid w:val="00C6564E"/>
    <w:rsid w:val="00C6662B"/>
    <w:rsid w:val="00C72546"/>
    <w:rsid w:val="00C730D3"/>
    <w:rsid w:val="00C76ADB"/>
    <w:rsid w:val="00C76C0C"/>
    <w:rsid w:val="00C76E2E"/>
    <w:rsid w:val="00C806E1"/>
    <w:rsid w:val="00C80EDB"/>
    <w:rsid w:val="00C8105C"/>
    <w:rsid w:val="00C82621"/>
    <w:rsid w:val="00C846C9"/>
    <w:rsid w:val="00C853FF"/>
    <w:rsid w:val="00C8574F"/>
    <w:rsid w:val="00C85942"/>
    <w:rsid w:val="00C85996"/>
    <w:rsid w:val="00C859B3"/>
    <w:rsid w:val="00C85DC7"/>
    <w:rsid w:val="00C85F98"/>
    <w:rsid w:val="00C8639E"/>
    <w:rsid w:val="00C87670"/>
    <w:rsid w:val="00C91261"/>
    <w:rsid w:val="00C91483"/>
    <w:rsid w:val="00C91C9B"/>
    <w:rsid w:val="00C92AD5"/>
    <w:rsid w:val="00C93637"/>
    <w:rsid w:val="00C93658"/>
    <w:rsid w:val="00C94A4B"/>
    <w:rsid w:val="00C9527F"/>
    <w:rsid w:val="00C95F4A"/>
    <w:rsid w:val="00C9622C"/>
    <w:rsid w:val="00C96794"/>
    <w:rsid w:val="00C97BF9"/>
    <w:rsid w:val="00CA1551"/>
    <w:rsid w:val="00CA2B5F"/>
    <w:rsid w:val="00CA2C51"/>
    <w:rsid w:val="00CA2E51"/>
    <w:rsid w:val="00CA2EC7"/>
    <w:rsid w:val="00CA36E9"/>
    <w:rsid w:val="00CA4E33"/>
    <w:rsid w:val="00CA50FB"/>
    <w:rsid w:val="00CA54B5"/>
    <w:rsid w:val="00CA56D9"/>
    <w:rsid w:val="00CA5EB9"/>
    <w:rsid w:val="00CA7333"/>
    <w:rsid w:val="00CA7632"/>
    <w:rsid w:val="00CA7AC9"/>
    <w:rsid w:val="00CB057A"/>
    <w:rsid w:val="00CB0649"/>
    <w:rsid w:val="00CB07AF"/>
    <w:rsid w:val="00CB130A"/>
    <w:rsid w:val="00CB132F"/>
    <w:rsid w:val="00CB2643"/>
    <w:rsid w:val="00CB352B"/>
    <w:rsid w:val="00CB3AB3"/>
    <w:rsid w:val="00CB42EB"/>
    <w:rsid w:val="00CB53AA"/>
    <w:rsid w:val="00CB591F"/>
    <w:rsid w:val="00CB5C50"/>
    <w:rsid w:val="00CB6662"/>
    <w:rsid w:val="00CB6CD6"/>
    <w:rsid w:val="00CB76F3"/>
    <w:rsid w:val="00CC1959"/>
    <w:rsid w:val="00CC2BD1"/>
    <w:rsid w:val="00CC2D90"/>
    <w:rsid w:val="00CC2DC8"/>
    <w:rsid w:val="00CC3492"/>
    <w:rsid w:val="00CC37C6"/>
    <w:rsid w:val="00CC4392"/>
    <w:rsid w:val="00CC4AA7"/>
    <w:rsid w:val="00CC4D08"/>
    <w:rsid w:val="00CC4DCA"/>
    <w:rsid w:val="00CC5C8D"/>
    <w:rsid w:val="00CC6D28"/>
    <w:rsid w:val="00CD015D"/>
    <w:rsid w:val="00CD29DD"/>
    <w:rsid w:val="00CD43E4"/>
    <w:rsid w:val="00CD4FC3"/>
    <w:rsid w:val="00CE031F"/>
    <w:rsid w:val="00CE0666"/>
    <w:rsid w:val="00CE18BD"/>
    <w:rsid w:val="00CE22F3"/>
    <w:rsid w:val="00CE3C0A"/>
    <w:rsid w:val="00CE3C45"/>
    <w:rsid w:val="00CE4538"/>
    <w:rsid w:val="00CE4CFC"/>
    <w:rsid w:val="00CE5532"/>
    <w:rsid w:val="00CE59DF"/>
    <w:rsid w:val="00CE5DCD"/>
    <w:rsid w:val="00CE5FD8"/>
    <w:rsid w:val="00CE62FD"/>
    <w:rsid w:val="00CE6445"/>
    <w:rsid w:val="00CE73F4"/>
    <w:rsid w:val="00CF0763"/>
    <w:rsid w:val="00CF0C7C"/>
    <w:rsid w:val="00CF1D95"/>
    <w:rsid w:val="00CF2A12"/>
    <w:rsid w:val="00CF2C45"/>
    <w:rsid w:val="00CF2D38"/>
    <w:rsid w:val="00CF3178"/>
    <w:rsid w:val="00CF406E"/>
    <w:rsid w:val="00CF40C9"/>
    <w:rsid w:val="00CF59A7"/>
    <w:rsid w:val="00CF59B2"/>
    <w:rsid w:val="00CF64EC"/>
    <w:rsid w:val="00CF660A"/>
    <w:rsid w:val="00CF6645"/>
    <w:rsid w:val="00D004BB"/>
    <w:rsid w:val="00D00846"/>
    <w:rsid w:val="00D00E69"/>
    <w:rsid w:val="00D013A1"/>
    <w:rsid w:val="00D013A2"/>
    <w:rsid w:val="00D014F1"/>
    <w:rsid w:val="00D01593"/>
    <w:rsid w:val="00D01776"/>
    <w:rsid w:val="00D01C53"/>
    <w:rsid w:val="00D01FEA"/>
    <w:rsid w:val="00D02207"/>
    <w:rsid w:val="00D02BA9"/>
    <w:rsid w:val="00D02E5D"/>
    <w:rsid w:val="00D03075"/>
    <w:rsid w:val="00D03CB6"/>
    <w:rsid w:val="00D044A8"/>
    <w:rsid w:val="00D049A5"/>
    <w:rsid w:val="00D04B41"/>
    <w:rsid w:val="00D04BEE"/>
    <w:rsid w:val="00D0793D"/>
    <w:rsid w:val="00D10FCB"/>
    <w:rsid w:val="00D11EB4"/>
    <w:rsid w:val="00D13892"/>
    <w:rsid w:val="00D169E4"/>
    <w:rsid w:val="00D17107"/>
    <w:rsid w:val="00D17989"/>
    <w:rsid w:val="00D20AA1"/>
    <w:rsid w:val="00D20F53"/>
    <w:rsid w:val="00D2135A"/>
    <w:rsid w:val="00D21975"/>
    <w:rsid w:val="00D22B51"/>
    <w:rsid w:val="00D235AE"/>
    <w:rsid w:val="00D23A38"/>
    <w:rsid w:val="00D23BF5"/>
    <w:rsid w:val="00D2468E"/>
    <w:rsid w:val="00D2488F"/>
    <w:rsid w:val="00D24F33"/>
    <w:rsid w:val="00D263AC"/>
    <w:rsid w:val="00D26F6B"/>
    <w:rsid w:val="00D3164E"/>
    <w:rsid w:val="00D31D5F"/>
    <w:rsid w:val="00D324B0"/>
    <w:rsid w:val="00D3476C"/>
    <w:rsid w:val="00D34F43"/>
    <w:rsid w:val="00D35B0E"/>
    <w:rsid w:val="00D36DE0"/>
    <w:rsid w:val="00D37A31"/>
    <w:rsid w:val="00D37E48"/>
    <w:rsid w:val="00D4003A"/>
    <w:rsid w:val="00D401DC"/>
    <w:rsid w:val="00D401DF"/>
    <w:rsid w:val="00D41238"/>
    <w:rsid w:val="00D423F9"/>
    <w:rsid w:val="00D42F99"/>
    <w:rsid w:val="00D4302C"/>
    <w:rsid w:val="00D462F2"/>
    <w:rsid w:val="00D465A4"/>
    <w:rsid w:val="00D47166"/>
    <w:rsid w:val="00D476AB"/>
    <w:rsid w:val="00D478DD"/>
    <w:rsid w:val="00D47A1F"/>
    <w:rsid w:val="00D47E09"/>
    <w:rsid w:val="00D51697"/>
    <w:rsid w:val="00D51F5E"/>
    <w:rsid w:val="00D51F92"/>
    <w:rsid w:val="00D521A8"/>
    <w:rsid w:val="00D52A35"/>
    <w:rsid w:val="00D53A43"/>
    <w:rsid w:val="00D5427A"/>
    <w:rsid w:val="00D54AE3"/>
    <w:rsid w:val="00D54B10"/>
    <w:rsid w:val="00D54D59"/>
    <w:rsid w:val="00D55C35"/>
    <w:rsid w:val="00D55F1E"/>
    <w:rsid w:val="00D56118"/>
    <w:rsid w:val="00D57A82"/>
    <w:rsid w:val="00D62A33"/>
    <w:rsid w:val="00D63020"/>
    <w:rsid w:val="00D63F42"/>
    <w:rsid w:val="00D6409E"/>
    <w:rsid w:val="00D642D8"/>
    <w:rsid w:val="00D66A27"/>
    <w:rsid w:val="00D66DF5"/>
    <w:rsid w:val="00D67B79"/>
    <w:rsid w:val="00D67BF6"/>
    <w:rsid w:val="00D704E1"/>
    <w:rsid w:val="00D7073D"/>
    <w:rsid w:val="00D70ECA"/>
    <w:rsid w:val="00D732B2"/>
    <w:rsid w:val="00D73636"/>
    <w:rsid w:val="00D73A36"/>
    <w:rsid w:val="00D74C1D"/>
    <w:rsid w:val="00D74EE9"/>
    <w:rsid w:val="00D74FA2"/>
    <w:rsid w:val="00D7551F"/>
    <w:rsid w:val="00D755E7"/>
    <w:rsid w:val="00D76CED"/>
    <w:rsid w:val="00D77295"/>
    <w:rsid w:val="00D77598"/>
    <w:rsid w:val="00D80AB2"/>
    <w:rsid w:val="00D8114B"/>
    <w:rsid w:val="00D81567"/>
    <w:rsid w:val="00D815A5"/>
    <w:rsid w:val="00D81739"/>
    <w:rsid w:val="00D8253B"/>
    <w:rsid w:val="00D827EF"/>
    <w:rsid w:val="00D866C0"/>
    <w:rsid w:val="00D87446"/>
    <w:rsid w:val="00D87764"/>
    <w:rsid w:val="00D877D2"/>
    <w:rsid w:val="00D9041B"/>
    <w:rsid w:val="00D925AD"/>
    <w:rsid w:val="00D94523"/>
    <w:rsid w:val="00D9589A"/>
    <w:rsid w:val="00D9608E"/>
    <w:rsid w:val="00D9653F"/>
    <w:rsid w:val="00D96712"/>
    <w:rsid w:val="00D978CC"/>
    <w:rsid w:val="00DA14E3"/>
    <w:rsid w:val="00DA1A82"/>
    <w:rsid w:val="00DA1B5F"/>
    <w:rsid w:val="00DA29B0"/>
    <w:rsid w:val="00DA2ADA"/>
    <w:rsid w:val="00DA2F64"/>
    <w:rsid w:val="00DA3788"/>
    <w:rsid w:val="00DA3FFF"/>
    <w:rsid w:val="00DA42E1"/>
    <w:rsid w:val="00DA4494"/>
    <w:rsid w:val="00DA56C2"/>
    <w:rsid w:val="00DA5AF8"/>
    <w:rsid w:val="00DA60FD"/>
    <w:rsid w:val="00DA6A0E"/>
    <w:rsid w:val="00DB0B86"/>
    <w:rsid w:val="00DB124F"/>
    <w:rsid w:val="00DB21E7"/>
    <w:rsid w:val="00DB2444"/>
    <w:rsid w:val="00DB246B"/>
    <w:rsid w:val="00DB2898"/>
    <w:rsid w:val="00DB2944"/>
    <w:rsid w:val="00DB2AAC"/>
    <w:rsid w:val="00DB363D"/>
    <w:rsid w:val="00DB4C85"/>
    <w:rsid w:val="00DB6B0F"/>
    <w:rsid w:val="00DB7463"/>
    <w:rsid w:val="00DB795A"/>
    <w:rsid w:val="00DC0EB5"/>
    <w:rsid w:val="00DC10DE"/>
    <w:rsid w:val="00DC1775"/>
    <w:rsid w:val="00DC1CA7"/>
    <w:rsid w:val="00DC1EDB"/>
    <w:rsid w:val="00DC24F5"/>
    <w:rsid w:val="00DC3580"/>
    <w:rsid w:val="00DC3C79"/>
    <w:rsid w:val="00DC535A"/>
    <w:rsid w:val="00DC5377"/>
    <w:rsid w:val="00DC5E64"/>
    <w:rsid w:val="00DC5F89"/>
    <w:rsid w:val="00DD26D3"/>
    <w:rsid w:val="00DD28BD"/>
    <w:rsid w:val="00DD28CE"/>
    <w:rsid w:val="00DD3A4E"/>
    <w:rsid w:val="00DD4264"/>
    <w:rsid w:val="00DD45E2"/>
    <w:rsid w:val="00DD674C"/>
    <w:rsid w:val="00DE1E2F"/>
    <w:rsid w:val="00DE20C9"/>
    <w:rsid w:val="00DE39A9"/>
    <w:rsid w:val="00DE50E3"/>
    <w:rsid w:val="00DE5240"/>
    <w:rsid w:val="00DE544B"/>
    <w:rsid w:val="00DE6145"/>
    <w:rsid w:val="00DE6CDD"/>
    <w:rsid w:val="00DE70D6"/>
    <w:rsid w:val="00DF01A6"/>
    <w:rsid w:val="00DF0222"/>
    <w:rsid w:val="00DF03CE"/>
    <w:rsid w:val="00DF18C0"/>
    <w:rsid w:val="00DF1D49"/>
    <w:rsid w:val="00DF3126"/>
    <w:rsid w:val="00DF3261"/>
    <w:rsid w:val="00DF3B8C"/>
    <w:rsid w:val="00DF438B"/>
    <w:rsid w:val="00DF4424"/>
    <w:rsid w:val="00DF466C"/>
    <w:rsid w:val="00DF51B2"/>
    <w:rsid w:val="00DF51FB"/>
    <w:rsid w:val="00DF5DD6"/>
    <w:rsid w:val="00DF6689"/>
    <w:rsid w:val="00DF767E"/>
    <w:rsid w:val="00DF77A9"/>
    <w:rsid w:val="00DF7D72"/>
    <w:rsid w:val="00E00522"/>
    <w:rsid w:val="00E00ED6"/>
    <w:rsid w:val="00E01161"/>
    <w:rsid w:val="00E02094"/>
    <w:rsid w:val="00E0295F"/>
    <w:rsid w:val="00E02E77"/>
    <w:rsid w:val="00E031B3"/>
    <w:rsid w:val="00E035E0"/>
    <w:rsid w:val="00E03E12"/>
    <w:rsid w:val="00E04474"/>
    <w:rsid w:val="00E05213"/>
    <w:rsid w:val="00E06198"/>
    <w:rsid w:val="00E065A5"/>
    <w:rsid w:val="00E06638"/>
    <w:rsid w:val="00E069C8"/>
    <w:rsid w:val="00E0739C"/>
    <w:rsid w:val="00E078CA"/>
    <w:rsid w:val="00E1050C"/>
    <w:rsid w:val="00E11BA5"/>
    <w:rsid w:val="00E120D4"/>
    <w:rsid w:val="00E12DBB"/>
    <w:rsid w:val="00E134A7"/>
    <w:rsid w:val="00E13FCB"/>
    <w:rsid w:val="00E1485D"/>
    <w:rsid w:val="00E14ADE"/>
    <w:rsid w:val="00E14B9D"/>
    <w:rsid w:val="00E15873"/>
    <w:rsid w:val="00E15F00"/>
    <w:rsid w:val="00E16226"/>
    <w:rsid w:val="00E203BB"/>
    <w:rsid w:val="00E20616"/>
    <w:rsid w:val="00E2107E"/>
    <w:rsid w:val="00E226DE"/>
    <w:rsid w:val="00E22740"/>
    <w:rsid w:val="00E24459"/>
    <w:rsid w:val="00E24CA6"/>
    <w:rsid w:val="00E24FAE"/>
    <w:rsid w:val="00E26014"/>
    <w:rsid w:val="00E26823"/>
    <w:rsid w:val="00E27040"/>
    <w:rsid w:val="00E27336"/>
    <w:rsid w:val="00E273A6"/>
    <w:rsid w:val="00E27573"/>
    <w:rsid w:val="00E27613"/>
    <w:rsid w:val="00E31BFC"/>
    <w:rsid w:val="00E33C06"/>
    <w:rsid w:val="00E360E4"/>
    <w:rsid w:val="00E3626F"/>
    <w:rsid w:val="00E3701B"/>
    <w:rsid w:val="00E37A21"/>
    <w:rsid w:val="00E40247"/>
    <w:rsid w:val="00E407C9"/>
    <w:rsid w:val="00E42267"/>
    <w:rsid w:val="00E42991"/>
    <w:rsid w:val="00E43830"/>
    <w:rsid w:val="00E45000"/>
    <w:rsid w:val="00E45F33"/>
    <w:rsid w:val="00E46A7F"/>
    <w:rsid w:val="00E46B92"/>
    <w:rsid w:val="00E46DEC"/>
    <w:rsid w:val="00E46F68"/>
    <w:rsid w:val="00E473F5"/>
    <w:rsid w:val="00E474E4"/>
    <w:rsid w:val="00E47CD4"/>
    <w:rsid w:val="00E47EB6"/>
    <w:rsid w:val="00E504F6"/>
    <w:rsid w:val="00E5158B"/>
    <w:rsid w:val="00E51719"/>
    <w:rsid w:val="00E51AD5"/>
    <w:rsid w:val="00E52026"/>
    <w:rsid w:val="00E520EA"/>
    <w:rsid w:val="00E52C33"/>
    <w:rsid w:val="00E537A5"/>
    <w:rsid w:val="00E53D4C"/>
    <w:rsid w:val="00E5488D"/>
    <w:rsid w:val="00E54CE2"/>
    <w:rsid w:val="00E54F25"/>
    <w:rsid w:val="00E55F11"/>
    <w:rsid w:val="00E55FFD"/>
    <w:rsid w:val="00E56B7E"/>
    <w:rsid w:val="00E5778B"/>
    <w:rsid w:val="00E57ABA"/>
    <w:rsid w:val="00E600C7"/>
    <w:rsid w:val="00E60B37"/>
    <w:rsid w:val="00E610DD"/>
    <w:rsid w:val="00E61205"/>
    <w:rsid w:val="00E6121A"/>
    <w:rsid w:val="00E616A3"/>
    <w:rsid w:val="00E61889"/>
    <w:rsid w:val="00E61943"/>
    <w:rsid w:val="00E61964"/>
    <w:rsid w:val="00E61B9A"/>
    <w:rsid w:val="00E622E6"/>
    <w:rsid w:val="00E626CA"/>
    <w:rsid w:val="00E62BAE"/>
    <w:rsid w:val="00E6636E"/>
    <w:rsid w:val="00E707E5"/>
    <w:rsid w:val="00E7108A"/>
    <w:rsid w:val="00E71568"/>
    <w:rsid w:val="00E72DA2"/>
    <w:rsid w:val="00E72ED9"/>
    <w:rsid w:val="00E73B0A"/>
    <w:rsid w:val="00E73CC2"/>
    <w:rsid w:val="00E75D9B"/>
    <w:rsid w:val="00E7605A"/>
    <w:rsid w:val="00E761BD"/>
    <w:rsid w:val="00E76E40"/>
    <w:rsid w:val="00E77C58"/>
    <w:rsid w:val="00E812CC"/>
    <w:rsid w:val="00E821A7"/>
    <w:rsid w:val="00E82526"/>
    <w:rsid w:val="00E8476A"/>
    <w:rsid w:val="00E8503E"/>
    <w:rsid w:val="00E856C0"/>
    <w:rsid w:val="00E85E18"/>
    <w:rsid w:val="00E85EE4"/>
    <w:rsid w:val="00E865F5"/>
    <w:rsid w:val="00E866F7"/>
    <w:rsid w:val="00E86703"/>
    <w:rsid w:val="00E918F4"/>
    <w:rsid w:val="00E919F4"/>
    <w:rsid w:val="00E93316"/>
    <w:rsid w:val="00E94533"/>
    <w:rsid w:val="00E9492B"/>
    <w:rsid w:val="00E95CC2"/>
    <w:rsid w:val="00E96446"/>
    <w:rsid w:val="00E96E1D"/>
    <w:rsid w:val="00EA062D"/>
    <w:rsid w:val="00EA0A2F"/>
    <w:rsid w:val="00EA0C6C"/>
    <w:rsid w:val="00EA1FAD"/>
    <w:rsid w:val="00EA2040"/>
    <w:rsid w:val="00EA3BD4"/>
    <w:rsid w:val="00EA3E48"/>
    <w:rsid w:val="00EA4200"/>
    <w:rsid w:val="00EA5CD1"/>
    <w:rsid w:val="00EA6034"/>
    <w:rsid w:val="00EA6C13"/>
    <w:rsid w:val="00EA7516"/>
    <w:rsid w:val="00EA7FE0"/>
    <w:rsid w:val="00EB0585"/>
    <w:rsid w:val="00EB1872"/>
    <w:rsid w:val="00EB1D28"/>
    <w:rsid w:val="00EB25E2"/>
    <w:rsid w:val="00EB2F68"/>
    <w:rsid w:val="00EB3A8A"/>
    <w:rsid w:val="00EB4771"/>
    <w:rsid w:val="00EB4AD5"/>
    <w:rsid w:val="00EB5297"/>
    <w:rsid w:val="00EB5C55"/>
    <w:rsid w:val="00EB5D87"/>
    <w:rsid w:val="00EB6B77"/>
    <w:rsid w:val="00EB7A20"/>
    <w:rsid w:val="00EB7A5B"/>
    <w:rsid w:val="00EC1D21"/>
    <w:rsid w:val="00EC31B4"/>
    <w:rsid w:val="00EC3389"/>
    <w:rsid w:val="00EC3483"/>
    <w:rsid w:val="00EC3EE2"/>
    <w:rsid w:val="00EC5BF2"/>
    <w:rsid w:val="00EC68BE"/>
    <w:rsid w:val="00EC7C67"/>
    <w:rsid w:val="00EC7E27"/>
    <w:rsid w:val="00ED178E"/>
    <w:rsid w:val="00ED21CD"/>
    <w:rsid w:val="00ED21F4"/>
    <w:rsid w:val="00ED2A88"/>
    <w:rsid w:val="00ED3424"/>
    <w:rsid w:val="00ED3A70"/>
    <w:rsid w:val="00ED4073"/>
    <w:rsid w:val="00ED55BF"/>
    <w:rsid w:val="00ED6207"/>
    <w:rsid w:val="00ED6435"/>
    <w:rsid w:val="00ED69C7"/>
    <w:rsid w:val="00ED7CE4"/>
    <w:rsid w:val="00EE1CF9"/>
    <w:rsid w:val="00EE2E8A"/>
    <w:rsid w:val="00EE3D38"/>
    <w:rsid w:val="00EE3ECD"/>
    <w:rsid w:val="00EE482A"/>
    <w:rsid w:val="00EE4F42"/>
    <w:rsid w:val="00EE4FF2"/>
    <w:rsid w:val="00EE6AF2"/>
    <w:rsid w:val="00EE752F"/>
    <w:rsid w:val="00EF1277"/>
    <w:rsid w:val="00EF198B"/>
    <w:rsid w:val="00EF4622"/>
    <w:rsid w:val="00EF4E53"/>
    <w:rsid w:val="00EF5D92"/>
    <w:rsid w:val="00EF6172"/>
    <w:rsid w:val="00EF730E"/>
    <w:rsid w:val="00EF7FF5"/>
    <w:rsid w:val="00F007A2"/>
    <w:rsid w:val="00F011F2"/>
    <w:rsid w:val="00F018B6"/>
    <w:rsid w:val="00F01B84"/>
    <w:rsid w:val="00F0202F"/>
    <w:rsid w:val="00F02427"/>
    <w:rsid w:val="00F02AAB"/>
    <w:rsid w:val="00F0415F"/>
    <w:rsid w:val="00F059D2"/>
    <w:rsid w:val="00F07444"/>
    <w:rsid w:val="00F07843"/>
    <w:rsid w:val="00F10C4C"/>
    <w:rsid w:val="00F11DA2"/>
    <w:rsid w:val="00F125CE"/>
    <w:rsid w:val="00F132FC"/>
    <w:rsid w:val="00F13FFE"/>
    <w:rsid w:val="00F14407"/>
    <w:rsid w:val="00F1474C"/>
    <w:rsid w:val="00F14B7E"/>
    <w:rsid w:val="00F16A16"/>
    <w:rsid w:val="00F173FC"/>
    <w:rsid w:val="00F17A48"/>
    <w:rsid w:val="00F2016E"/>
    <w:rsid w:val="00F209EA"/>
    <w:rsid w:val="00F21AF7"/>
    <w:rsid w:val="00F21E50"/>
    <w:rsid w:val="00F21E65"/>
    <w:rsid w:val="00F22F29"/>
    <w:rsid w:val="00F231E1"/>
    <w:rsid w:val="00F23EF6"/>
    <w:rsid w:val="00F24579"/>
    <w:rsid w:val="00F26628"/>
    <w:rsid w:val="00F26B7B"/>
    <w:rsid w:val="00F271F7"/>
    <w:rsid w:val="00F2744E"/>
    <w:rsid w:val="00F27657"/>
    <w:rsid w:val="00F3053C"/>
    <w:rsid w:val="00F30E2F"/>
    <w:rsid w:val="00F31361"/>
    <w:rsid w:val="00F32505"/>
    <w:rsid w:val="00F32C34"/>
    <w:rsid w:val="00F32F50"/>
    <w:rsid w:val="00F3317D"/>
    <w:rsid w:val="00F33575"/>
    <w:rsid w:val="00F33D25"/>
    <w:rsid w:val="00F33E26"/>
    <w:rsid w:val="00F35E31"/>
    <w:rsid w:val="00F35E7F"/>
    <w:rsid w:val="00F36858"/>
    <w:rsid w:val="00F36BBF"/>
    <w:rsid w:val="00F3720C"/>
    <w:rsid w:val="00F3737B"/>
    <w:rsid w:val="00F37AF4"/>
    <w:rsid w:val="00F40125"/>
    <w:rsid w:val="00F403E8"/>
    <w:rsid w:val="00F40420"/>
    <w:rsid w:val="00F405D3"/>
    <w:rsid w:val="00F40923"/>
    <w:rsid w:val="00F4101B"/>
    <w:rsid w:val="00F4137F"/>
    <w:rsid w:val="00F41C20"/>
    <w:rsid w:val="00F42AF3"/>
    <w:rsid w:val="00F42DC2"/>
    <w:rsid w:val="00F42DD3"/>
    <w:rsid w:val="00F433BC"/>
    <w:rsid w:val="00F43F10"/>
    <w:rsid w:val="00F4441F"/>
    <w:rsid w:val="00F44DC3"/>
    <w:rsid w:val="00F47949"/>
    <w:rsid w:val="00F5023D"/>
    <w:rsid w:val="00F5045B"/>
    <w:rsid w:val="00F50A6D"/>
    <w:rsid w:val="00F53083"/>
    <w:rsid w:val="00F53176"/>
    <w:rsid w:val="00F534AD"/>
    <w:rsid w:val="00F53DFE"/>
    <w:rsid w:val="00F54F8C"/>
    <w:rsid w:val="00F55844"/>
    <w:rsid w:val="00F558E8"/>
    <w:rsid w:val="00F56219"/>
    <w:rsid w:val="00F56AEA"/>
    <w:rsid w:val="00F576D3"/>
    <w:rsid w:val="00F60292"/>
    <w:rsid w:val="00F6036E"/>
    <w:rsid w:val="00F6048B"/>
    <w:rsid w:val="00F61E5F"/>
    <w:rsid w:val="00F6201C"/>
    <w:rsid w:val="00F63347"/>
    <w:rsid w:val="00F634C2"/>
    <w:rsid w:val="00F639CC"/>
    <w:rsid w:val="00F640BD"/>
    <w:rsid w:val="00F6435D"/>
    <w:rsid w:val="00F64851"/>
    <w:rsid w:val="00F64AD6"/>
    <w:rsid w:val="00F65A37"/>
    <w:rsid w:val="00F6625C"/>
    <w:rsid w:val="00F664B7"/>
    <w:rsid w:val="00F66D0B"/>
    <w:rsid w:val="00F672BC"/>
    <w:rsid w:val="00F67F31"/>
    <w:rsid w:val="00F70802"/>
    <w:rsid w:val="00F72BD0"/>
    <w:rsid w:val="00F72D11"/>
    <w:rsid w:val="00F72D5F"/>
    <w:rsid w:val="00F73CB2"/>
    <w:rsid w:val="00F755DE"/>
    <w:rsid w:val="00F7568C"/>
    <w:rsid w:val="00F759B8"/>
    <w:rsid w:val="00F76206"/>
    <w:rsid w:val="00F76B66"/>
    <w:rsid w:val="00F773A8"/>
    <w:rsid w:val="00F8237A"/>
    <w:rsid w:val="00F82A92"/>
    <w:rsid w:val="00F82F9C"/>
    <w:rsid w:val="00F83160"/>
    <w:rsid w:val="00F83649"/>
    <w:rsid w:val="00F846B7"/>
    <w:rsid w:val="00F84FC5"/>
    <w:rsid w:val="00F8572C"/>
    <w:rsid w:val="00F85E3E"/>
    <w:rsid w:val="00F85EF7"/>
    <w:rsid w:val="00F86B2D"/>
    <w:rsid w:val="00F86FE6"/>
    <w:rsid w:val="00F875D6"/>
    <w:rsid w:val="00F91757"/>
    <w:rsid w:val="00F91DA6"/>
    <w:rsid w:val="00F920D7"/>
    <w:rsid w:val="00F928E5"/>
    <w:rsid w:val="00F934A4"/>
    <w:rsid w:val="00F9359B"/>
    <w:rsid w:val="00F9387C"/>
    <w:rsid w:val="00F93BB7"/>
    <w:rsid w:val="00F94363"/>
    <w:rsid w:val="00F94547"/>
    <w:rsid w:val="00F94C82"/>
    <w:rsid w:val="00F957DA"/>
    <w:rsid w:val="00F967DD"/>
    <w:rsid w:val="00F96893"/>
    <w:rsid w:val="00F96D9C"/>
    <w:rsid w:val="00F977E4"/>
    <w:rsid w:val="00FA052F"/>
    <w:rsid w:val="00FA154B"/>
    <w:rsid w:val="00FA15D0"/>
    <w:rsid w:val="00FA164F"/>
    <w:rsid w:val="00FA1A21"/>
    <w:rsid w:val="00FA1DE1"/>
    <w:rsid w:val="00FA378C"/>
    <w:rsid w:val="00FA3C5B"/>
    <w:rsid w:val="00FA41AB"/>
    <w:rsid w:val="00FA4E38"/>
    <w:rsid w:val="00FA50A4"/>
    <w:rsid w:val="00FA608C"/>
    <w:rsid w:val="00FA6619"/>
    <w:rsid w:val="00FA77BC"/>
    <w:rsid w:val="00FA79B6"/>
    <w:rsid w:val="00FA7D54"/>
    <w:rsid w:val="00FB0E5E"/>
    <w:rsid w:val="00FB1755"/>
    <w:rsid w:val="00FB2B21"/>
    <w:rsid w:val="00FB2B6C"/>
    <w:rsid w:val="00FB2E9D"/>
    <w:rsid w:val="00FB3552"/>
    <w:rsid w:val="00FB3E36"/>
    <w:rsid w:val="00FB48C9"/>
    <w:rsid w:val="00FB4997"/>
    <w:rsid w:val="00FB568B"/>
    <w:rsid w:val="00FB5790"/>
    <w:rsid w:val="00FB592E"/>
    <w:rsid w:val="00FB685E"/>
    <w:rsid w:val="00FB7791"/>
    <w:rsid w:val="00FC0FA4"/>
    <w:rsid w:val="00FC25A5"/>
    <w:rsid w:val="00FC2693"/>
    <w:rsid w:val="00FC3598"/>
    <w:rsid w:val="00FC4A43"/>
    <w:rsid w:val="00FC4F9F"/>
    <w:rsid w:val="00FC6445"/>
    <w:rsid w:val="00FC6796"/>
    <w:rsid w:val="00FC7533"/>
    <w:rsid w:val="00FC7E62"/>
    <w:rsid w:val="00FD011D"/>
    <w:rsid w:val="00FD0CAF"/>
    <w:rsid w:val="00FD260B"/>
    <w:rsid w:val="00FD2617"/>
    <w:rsid w:val="00FD2C52"/>
    <w:rsid w:val="00FD2F55"/>
    <w:rsid w:val="00FD2F69"/>
    <w:rsid w:val="00FD3A19"/>
    <w:rsid w:val="00FD3D8F"/>
    <w:rsid w:val="00FD52C6"/>
    <w:rsid w:val="00FD5999"/>
    <w:rsid w:val="00FD5B31"/>
    <w:rsid w:val="00FD6838"/>
    <w:rsid w:val="00FD775B"/>
    <w:rsid w:val="00FD7A16"/>
    <w:rsid w:val="00FE0895"/>
    <w:rsid w:val="00FE0A59"/>
    <w:rsid w:val="00FE0DA5"/>
    <w:rsid w:val="00FE0F73"/>
    <w:rsid w:val="00FE1161"/>
    <w:rsid w:val="00FE1C41"/>
    <w:rsid w:val="00FE3E60"/>
    <w:rsid w:val="00FE41A7"/>
    <w:rsid w:val="00FE4595"/>
    <w:rsid w:val="00FE59C4"/>
    <w:rsid w:val="00FE5BA4"/>
    <w:rsid w:val="00FE5ECF"/>
    <w:rsid w:val="00FE6D5F"/>
    <w:rsid w:val="00FE7A7B"/>
    <w:rsid w:val="00FF00DD"/>
    <w:rsid w:val="00FF02C7"/>
    <w:rsid w:val="00FF1240"/>
    <w:rsid w:val="00FF202E"/>
    <w:rsid w:val="00FF3094"/>
    <w:rsid w:val="00FF32E0"/>
    <w:rsid w:val="00FF371E"/>
    <w:rsid w:val="00FF420E"/>
    <w:rsid w:val="00FF454B"/>
    <w:rsid w:val="00FF46E1"/>
    <w:rsid w:val="00FF4930"/>
    <w:rsid w:val="00FF4CDF"/>
    <w:rsid w:val="00FF5A88"/>
    <w:rsid w:val="00FF5CF4"/>
    <w:rsid w:val="00FF6129"/>
    <w:rsid w:val="00FF6B08"/>
    <w:rsid w:val="00FF706B"/>
    <w:rsid w:val="00FF72A7"/>
    <w:rsid w:val="00FF7CE8"/>
    <w:rsid w:val="0191644A"/>
    <w:rsid w:val="021635AE"/>
    <w:rsid w:val="03196AE0"/>
    <w:rsid w:val="04B95AC3"/>
    <w:rsid w:val="05B37F3E"/>
    <w:rsid w:val="06901066"/>
    <w:rsid w:val="069751E9"/>
    <w:rsid w:val="076629DC"/>
    <w:rsid w:val="091B5CDF"/>
    <w:rsid w:val="09672B67"/>
    <w:rsid w:val="09D02B35"/>
    <w:rsid w:val="0A6A2CC3"/>
    <w:rsid w:val="0A9F5C0D"/>
    <w:rsid w:val="0AE15667"/>
    <w:rsid w:val="0E997ED9"/>
    <w:rsid w:val="0EB969CE"/>
    <w:rsid w:val="0ECC74EE"/>
    <w:rsid w:val="0EEF4C27"/>
    <w:rsid w:val="0F2766B4"/>
    <w:rsid w:val="0FAA62E8"/>
    <w:rsid w:val="0FBE5880"/>
    <w:rsid w:val="101D1B94"/>
    <w:rsid w:val="103B0741"/>
    <w:rsid w:val="10BE278C"/>
    <w:rsid w:val="10FF776D"/>
    <w:rsid w:val="110B2C87"/>
    <w:rsid w:val="116B1796"/>
    <w:rsid w:val="117932A4"/>
    <w:rsid w:val="11793983"/>
    <w:rsid w:val="12A5561C"/>
    <w:rsid w:val="12AB73DF"/>
    <w:rsid w:val="13254A51"/>
    <w:rsid w:val="13682184"/>
    <w:rsid w:val="13C943EE"/>
    <w:rsid w:val="15513C5F"/>
    <w:rsid w:val="1667491F"/>
    <w:rsid w:val="170028BB"/>
    <w:rsid w:val="179778F3"/>
    <w:rsid w:val="196139F7"/>
    <w:rsid w:val="1A68116B"/>
    <w:rsid w:val="1A6E292B"/>
    <w:rsid w:val="1AF33662"/>
    <w:rsid w:val="1CA25AE0"/>
    <w:rsid w:val="1CC46A27"/>
    <w:rsid w:val="1DE17836"/>
    <w:rsid w:val="1E045DFC"/>
    <w:rsid w:val="1E323CAD"/>
    <w:rsid w:val="1E8E317B"/>
    <w:rsid w:val="2008785C"/>
    <w:rsid w:val="20896080"/>
    <w:rsid w:val="20F4051A"/>
    <w:rsid w:val="215430DD"/>
    <w:rsid w:val="21601A54"/>
    <w:rsid w:val="23A3484C"/>
    <w:rsid w:val="24502696"/>
    <w:rsid w:val="250B5C8E"/>
    <w:rsid w:val="25984A02"/>
    <w:rsid w:val="259F033E"/>
    <w:rsid w:val="2747487C"/>
    <w:rsid w:val="27AD0235"/>
    <w:rsid w:val="27CA530F"/>
    <w:rsid w:val="28F56582"/>
    <w:rsid w:val="29186F8B"/>
    <w:rsid w:val="292C1D18"/>
    <w:rsid w:val="29711156"/>
    <w:rsid w:val="2A924C47"/>
    <w:rsid w:val="2AF846A1"/>
    <w:rsid w:val="2B5163DB"/>
    <w:rsid w:val="2B876668"/>
    <w:rsid w:val="2CF404E8"/>
    <w:rsid w:val="2D4431CF"/>
    <w:rsid w:val="2D9860C8"/>
    <w:rsid w:val="2DE00CFE"/>
    <w:rsid w:val="2E932B9B"/>
    <w:rsid w:val="2FBC535E"/>
    <w:rsid w:val="30D2016C"/>
    <w:rsid w:val="30E13271"/>
    <w:rsid w:val="31260631"/>
    <w:rsid w:val="313C4DCD"/>
    <w:rsid w:val="31904636"/>
    <w:rsid w:val="321F7C96"/>
    <w:rsid w:val="32CC3A28"/>
    <w:rsid w:val="32D57988"/>
    <w:rsid w:val="330A7867"/>
    <w:rsid w:val="346D0647"/>
    <w:rsid w:val="356625AD"/>
    <w:rsid w:val="3584494B"/>
    <w:rsid w:val="36813D31"/>
    <w:rsid w:val="36860E08"/>
    <w:rsid w:val="370C33BA"/>
    <w:rsid w:val="3810238B"/>
    <w:rsid w:val="38CB7D11"/>
    <w:rsid w:val="396005CF"/>
    <w:rsid w:val="3A3510AC"/>
    <w:rsid w:val="3A3B02CF"/>
    <w:rsid w:val="3C5F2B9F"/>
    <w:rsid w:val="3D8308D0"/>
    <w:rsid w:val="3D9766DF"/>
    <w:rsid w:val="3E245A4C"/>
    <w:rsid w:val="4027403C"/>
    <w:rsid w:val="41773E1E"/>
    <w:rsid w:val="41866D5D"/>
    <w:rsid w:val="42375E18"/>
    <w:rsid w:val="43437643"/>
    <w:rsid w:val="43714B2F"/>
    <w:rsid w:val="446103FC"/>
    <w:rsid w:val="447842E1"/>
    <w:rsid w:val="453A623D"/>
    <w:rsid w:val="453B395C"/>
    <w:rsid w:val="45A26AA0"/>
    <w:rsid w:val="45DE2BFB"/>
    <w:rsid w:val="46261CAF"/>
    <w:rsid w:val="4638774A"/>
    <w:rsid w:val="46FD7D1F"/>
    <w:rsid w:val="47005703"/>
    <w:rsid w:val="47E808B1"/>
    <w:rsid w:val="486E6E19"/>
    <w:rsid w:val="488A4B42"/>
    <w:rsid w:val="49DF4877"/>
    <w:rsid w:val="4AD127A0"/>
    <w:rsid w:val="4C0F714F"/>
    <w:rsid w:val="4C6110DC"/>
    <w:rsid w:val="4C6B0DCA"/>
    <w:rsid w:val="4C85133C"/>
    <w:rsid w:val="4CAD655A"/>
    <w:rsid w:val="4D650A7E"/>
    <w:rsid w:val="4E3F428C"/>
    <w:rsid w:val="4F0F669C"/>
    <w:rsid w:val="4F4F6A0E"/>
    <w:rsid w:val="4FD126A6"/>
    <w:rsid w:val="4FE7778D"/>
    <w:rsid w:val="504D5A55"/>
    <w:rsid w:val="50C42948"/>
    <w:rsid w:val="50FD5A94"/>
    <w:rsid w:val="51530E74"/>
    <w:rsid w:val="52226906"/>
    <w:rsid w:val="533E3775"/>
    <w:rsid w:val="53E06DC0"/>
    <w:rsid w:val="545E7D2D"/>
    <w:rsid w:val="54696056"/>
    <w:rsid w:val="54707315"/>
    <w:rsid w:val="55396730"/>
    <w:rsid w:val="55C31CAA"/>
    <w:rsid w:val="570B2A84"/>
    <w:rsid w:val="581B2117"/>
    <w:rsid w:val="5908418E"/>
    <w:rsid w:val="595246C2"/>
    <w:rsid w:val="59931404"/>
    <w:rsid w:val="5A1C360D"/>
    <w:rsid w:val="5B5F0498"/>
    <w:rsid w:val="5C6C4ACC"/>
    <w:rsid w:val="5C9147B1"/>
    <w:rsid w:val="5CE57295"/>
    <w:rsid w:val="5E9551D7"/>
    <w:rsid w:val="5F190D56"/>
    <w:rsid w:val="616805DD"/>
    <w:rsid w:val="62ED6167"/>
    <w:rsid w:val="635A74C7"/>
    <w:rsid w:val="635C776E"/>
    <w:rsid w:val="63B4107C"/>
    <w:rsid w:val="646A514E"/>
    <w:rsid w:val="65E520BC"/>
    <w:rsid w:val="67691683"/>
    <w:rsid w:val="68080C60"/>
    <w:rsid w:val="684106FB"/>
    <w:rsid w:val="68DD1FD2"/>
    <w:rsid w:val="690F1C54"/>
    <w:rsid w:val="6A880109"/>
    <w:rsid w:val="6B022032"/>
    <w:rsid w:val="6B424AF2"/>
    <w:rsid w:val="6B6D604D"/>
    <w:rsid w:val="6B98697D"/>
    <w:rsid w:val="6BB92512"/>
    <w:rsid w:val="6C1F54AB"/>
    <w:rsid w:val="6C7779A5"/>
    <w:rsid w:val="6C8F071D"/>
    <w:rsid w:val="6DD44D78"/>
    <w:rsid w:val="6E1A7D0B"/>
    <w:rsid w:val="6E5A2AC3"/>
    <w:rsid w:val="6EB60ADF"/>
    <w:rsid w:val="70BD55F2"/>
    <w:rsid w:val="71E17978"/>
    <w:rsid w:val="71F56B8F"/>
    <w:rsid w:val="728435AD"/>
    <w:rsid w:val="73AD178B"/>
    <w:rsid w:val="73DF571A"/>
    <w:rsid w:val="74AA10DF"/>
    <w:rsid w:val="74FF4332"/>
    <w:rsid w:val="750A121C"/>
    <w:rsid w:val="75823B0F"/>
    <w:rsid w:val="7628406D"/>
    <w:rsid w:val="765D5805"/>
    <w:rsid w:val="7781089C"/>
    <w:rsid w:val="77D35D25"/>
    <w:rsid w:val="77EE27B8"/>
    <w:rsid w:val="78A40652"/>
    <w:rsid w:val="791A70F9"/>
    <w:rsid w:val="79B306E8"/>
    <w:rsid w:val="79D10A23"/>
    <w:rsid w:val="7A793F95"/>
    <w:rsid w:val="7B0233DB"/>
    <w:rsid w:val="7B5E09D4"/>
    <w:rsid w:val="7B952DD8"/>
    <w:rsid w:val="7BDD0A10"/>
    <w:rsid w:val="7C1A0259"/>
    <w:rsid w:val="7C8A477D"/>
    <w:rsid w:val="7C984448"/>
    <w:rsid w:val="7C9D1ECE"/>
    <w:rsid w:val="7D830F44"/>
    <w:rsid w:val="7F2A0A4D"/>
    <w:rsid w:val="7F655221"/>
    <w:rsid w:val="7F7D3114"/>
    <w:rsid w:val="7FCD68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iPriority="0" w:unhideWhenUsed="0" w:qFormat="1"/>
    <w:lsdException w:name="toa heading"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Body Text Indent 3" w:semiHidden="0" w:uiPriority="0"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39D"/>
    <w:pPr>
      <w:widowControl w:val="0"/>
      <w:jc w:val="both"/>
    </w:pPr>
    <w:rPr>
      <w:kern w:val="2"/>
      <w:sz w:val="21"/>
      <w:szCs w:val="22"/>
    </w:rPr>
  </w:style>
  <w:style w:type="paragraph" w:styleId="1">
    <w:name w:val="heading 1"/>
    <w:basedOn w:val="a"/>
    <w:next w:val="a"/>
    <w:link w:val="1Char"/>
    <w:qFormat/>
    <w:rsid w:val="0081139D"/>
    <w:pPr>
      <w:keepNext/>
      <w:keepLines/>
      <w:spacing w:before="340" w:after="330" w:line="576" w:lineRule="auto"/>
      <w:outlineLvl w:val="0"/>
    </w:pPr>
    <w:rPr>
      <w:rFonts w:eastAsia="Arial Unicode MS"/>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1139D"/>
    <w:pPr>
      <w:snapToGrid w:val="0"/>
      <w:spacing w:line="360" w:lineRule="auto"/>
      <w:ind w:firstLine="420"/>
    </w:pPr>
    <w:rPr>
      <w:sz w:val="28"/>
      <w:szCs w:val="20"/>
    </w:rPr>
  </w:style>
  <w:style w:type="paragraph" w:styleId="a4">
    <w:name w:val="toa heading"/>
    <w:basedOn w:val="a"/>
    <w:next w:val="a"/>
    <w:semiHidden/>
    <w:qFormat/>
    <w:rsid w:val="0081139D"/>
    <w:pPr>
      <w:tabs>
        <w:tab w:val="right" w:pos="9490"/>
      </w:tabs>
      <w:spacing w:before="240" w:after="120"/>
    </w:pPr>
    <w:rPr>
      <w:b/>
    </w:rPr>
  </w:style>
  <w:style w:type="paragraph" w:styleId="a5">
    <w:name w:val="annotation text"/>
    <w:basedOn w:val="a"/>
    <w:link w:val="Char"/>
    <w:uiPriority w:val="99"/>
    <w:unhideWhenUsed/>
    <w:qFormat/>
    <w:rsid w:val="0081139D"/>
    <w:pPr>
      <w:jc w:val="left"/>
    </w:pPr>
  </w:style>
  <w:style w:type="paragraph" w:styleId="a6">
    <w:name w:val="Body Text"/>
    <w:basedOn w:val="a"/>
    <w:link w:val="Char0"/>
    <w:qFormat/>
    <w:rsid w:val="0081139D"/>
    <w:pPr>
      <w:spacing w:after="120"/>
    </w:pPr>
    <w:rPr>
      <w:kern w:val="0"/>
      <w:sz w:val="20"/>
      <w:szCs w:val="24"/>
    </w:rPr>
  </w:style>
  <w:style w:type="paragraph" w:styleId="a7">
    <w:name w:val="Date"/>
    <w:basedOn w:val="a"/>
    <w:next w:val="a"/>
    <w:link w:val="Char1"/>
    <w:qFormat/>
    <w:rsid w:val="0081139D"/>
    <w:rPr>
      <w:rFonts w:ascii="宋体" w:hAnsi="Courier New"/>
      <w:b/>
      <w:color w:val="000000"/>
      <w:spacing w:val="20"/>
      <w:kern w:val="0"/>
      <w:sz w:val="30"/>
      <w:szCs w:val="20"/>
    </w:rPr>
  </w:style>
  <w:style w:type="paragraph" w:styleId="a8">
    <w:name w:val="Balloon Text"/>
    <w:basedOn w:val="a"/>
    <w:link w:val="Char2"/>
    <w:uiPriority w:val="99"/>
    <w:unhideWhenUsed/>
    <w:qFormat/>
    <w:rsid w:val="0081139D"/>
    <w:rPr>
      <w:sz w:val="18"/>
      <w:szCs w:val="18"/>
    </w:rPr>
  </w:style>
  <w:style w:type="paragraph" w:styleId="a9">
    <w:name w:val="footer"/>
    <w:basedOn w:val="a"/>
    <w:link w:val="Char3"/>
    <w:uiPriority w:val="99"/>
    <w:unhideWhenUsed/>
    <w:qFormat/>
    <w:rsid w:val="0081139D"/>
    <w:pPr>
      <w:tabs>
        <w:tab w:val="center" w:pos="4153"/>
        <w:tab w:val="right" w:pos="8306"/>
      </w:tabs>
      <w:snapToGrid w:val="0"/>
      <w:jc w:val="left"/>
    </w:pPr>
    <w:rPr>
      <w:kern w:val="0"/>
      <w:sz w:val="18"/>
      <w:szCs w:val="18"/>
    </w:rPr>
  </w:style>
  <w:style w:type="paragraph" w:styleId="aa">
    <w:name w:val="header"/>
    <w:basedOn w:val="a"/>
    <w:link w:val="Char4"/>
    <w:uiPriority w:val="99"/>
    <w:unhideWhenUsed/>
    <w:qFormat/>
    <w:rsid w:val="0081139D"/>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sid w:val="0081139D"/>
    <w:pPr>
      <w:spacing w:beforeLines="100" w:afterLines="100"/>
    </w:pPr>
    <w:rPr>
      <w:sz w:val="24"/>
      <w:szCs w:val="24"/>
    </w:rPr>
  </w:style>
  <w:style w:type="paragraph" w:styleId="3">
    <w:name w:val="Body Text Indent 3"/>
    <w:basedOn w:val="a"/>
    <w:qFormat/>
    <w:rsid w:val="0081139D"/>
    <w:pPr>
      <w:spacing w:line="400" w:lineRule="atLeast"/>
      <w:ind w:firstLine="600"/>
    </w:pPr>
    <w:rPr>
      <w:rFonts w:ascii="宋体"/>
      <w:kern w:val="0"/>
      <w:sz w:val="28"/>
      <w:szCs w:val="20"/>
    </w:rPr>
  </w:style>
  <w:style w:type="paragraph" w:styleId="ab">
    <w:name w:val="Normal (Web)"/>
    <w:basedOn w:val="a"/>
    <w:uiPriority w:val="99"/>
    <w:unhideWhenUsed/>
    <w:qFormat/>
    <w:rsid w:val="0081139D"/>
    <w:rPr>
      <w:sz w:val="24"/>
      <w:szCs w:val="20"/>
    </w:rPr>
  </w:style>
  <w:style w:type="paragraph" w:styleId="ac">
    <w:name w:val="annotation subject"/>
    <w:basedOn w:val="a5"/>
    <w:next w:val="a5"/>
    <w:link w:val="Char5"/>
    <w:uiPriority w:val="99"/>
    <w:unhideWhenUsed/>
    <w:qFormat/>
    <w:rsid w:val="0081139D"/>
    <w:rPr>
      <w:b/>
      <w:bCs/>
    </w:rPr>
  </w:style>
  <w:style w:type="table" w:styleId="ad">
    <w:name w:val="Table Grid"/>
    <w:basedOn w:val="a1"/>
    <w:uiPriority w:val="59"/>
    <w:qFormat/>
    <w:rsid w:val="008113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uiPriority w:val="99"/>
    <w:unhideWhenUsed/>
    <w:qFormat/>
    <w:rsid w:val="0081139D"/>
    <w:rPr>
      <w:color w:val="003048"/>
      <w:u w:val="single"/>
    </w:rPr>
  </w:style>
  <w:style w:type="character" w:styleId="af">
    <w:name w:val="Hyperlink"/>
    <w:uiPriority w:val="99"/>
    <w:qFormat/>
    <w:rsid w:val="0081139D"/>
    <w:rPr>
      <w:color w:val="003048"/>
      <w:u w:val="single"/>
    </w:rPr>
  </w:style>
  <w:style w:type="character" w:styleId="af0">
    <w:name w:val="annotation reference"/>
    <w:qFormat/>
    <w:rsid w:val="0081139D"/>
    <w:rPr>
      <w:sz w:val="21"/>
      <w:szCs w:val="21"/>
    </w:rPr>
  </w:style>
  <w:style w:type="character" w:customStyle="1" w:styleId="1Char">
    <w:name w:val="标题 1 Char"/>
    <w:link w:val="1"/>
    <w:qFormat/>
    <w:rsid w:val="0081139D"/>
    <w:rPr>
      <w:rFonts w:ascii="Times New Roman" w:eastAsia="Arial Unicode MS" w:hAnsi="Times New Roman" w:cs="Times New Roman"/>
      <w:b/>
      <w:bCs/>
      <w:kern w:val="44"/>
      <w:sz w:val="44"/>
      <w:szCs w:val="44"/>
    </w:rPr>
  </w:style>
  <w:style w:type="character" w:customStyle="1" w:styleId="Char">
    <w:name w:val="批注文字 Char"/>
    <w:link w:val="a5"/>
    <w:uiPriority w:val="99"/>
    <w:semiHidden/>
    <w:qFormat/>
    <w:rsid w:val="0081139D"/>
    <w:rPr>
      <w:kern w:val="2"/>
      <w:sz w:val="21"/>
      <w:szCs w:val="22"/>
    </w:rPr>
  </w:style>
  <w:style w:type="character" w:customStyle="1" w:styleId="Char0">
    <w:name w:val="正文文本 Char"/>
    <w:link w:val="a6"/>
    <w:qFormat/>
    <w:rsid w:val="0081139D"/>
    <w:rPr>
      <w:rFonts w:ascii="Times New Roman" w:eastAsia="宋体" w:hAnsi="Times New Roman" w:cs="Times New Roman"/>
      <w:szCs w:val="24"/>
    </w:rPr>
  </w:style>
  <w:style w:type="character" w:customStyle="1" w:styleId="Char1">
    <w:name w:val="日期 Char"/>
    <w:link w:val="a7"/>
    <w:qFormat/>
    <w:rsid w:val="0081139D"/>
    <w:rPr>
      <w:rFonts w:ascii="宋体" w:eastAsia="宋体" w:hAnsi="Courier New" w:cs="Times New Roman"/>
      <w:b/>
      <w:color w:val="000000"/>
      <w:spacing w:val="20"/>
      <w:kern w:val="0"/>
      <w:sz w:val="30"/>
      <w:szCs w:val="20"/>
    </w:rPr>
  </w:style>
  <w:style w:type="character" w:customStyle="1" w:styleId="Char2">
    <w:name w:val="批注框文本 Char"/>
    <w:link w:val="a8"/>
    <w:uiPriority w:val="99"/>
    <w:semiHidden/>
    <w:qFormat/>
    <w:rsid w:val="0081139D"/>
    <w:rPr>
      <w:kern w:val="2"/>
      <w:sz w:val="18"/>
      <w:szCs w:val="18"/>
    </w:rPr>
  </w:style>
  <w:style w:type="character" w:customStyle="1" w:styleId="Char3">
    <w:name w:val="页脚 Char"/>
    <w:link w:val="a9"/>
    <w:uiPriority w:val="99"/>
    <w:qFormat/>
    <w:rsid w:val="0081139D"/>
    <w:rPr>
      <w:sz w:val="18"/>
      <w:szCs w:val="18"/>
    </w:rPr>
  </w:style>
  <w:style w:type="character" w:customStyle="1" w:styleId="Char4">
    <w:name w:val="页眉 Char"/>
    <w:link w:val="aa"/>
    <w:uiPriority w:val="99"/>
    <w:qFormat/>
    <w:rsid w:val="0081139D"/>
    <w:rPr>
      <w:sz w:val="18"/>
      <w:szCs w:val="18"/>
    </w:rPr>
  </w:style>
  <w:style w:type="character" w:customStyle="1" w:styleId="Char5">
    <w:name w:val="批注主题 Char"/>
    <w:link w:val="ac"/>
    <w:uiPriority w:val="99"/>
    <w:semiHidden/>
    <w:qFormat/>
    <w:rsid w:val="0081139D"/>
    <w:rPr>
      <w:b/>
      <w:bCs/>
      <w:kern w:val="2"/>
      <w:sz w:val="21"/>
      <w:szCs w:val="22"/>
    </w:rPr>
  </w:style>
  <w:style w:type="paragraph" w:customStyle="1" w:styleId="11">
    <w:name w:val="列出段落1"/>
    <w:basedOn w:val="a"/>
    <w:uiPriority w:val="34"/>
    <w:qFormat/>
    <w:rsid w:val="0081139D"/>
    <w:pPr>
      <w:ind w:firstLineChars="200" w:firstLine="420"/>
    </w:pPr>
    <w:rPr>
      <w:szCs w:val="24"/>
    </w:rPr>
  </w:style>
  <w:style w:type="paragraph" w:styleId="af1">
    <w:name w:val="List Paragraph"/>
    <w:basedOn w:val="a"/>
    <w:uiPriority w:val="34"/>
    <w:qFormat/>
    <w:rsid w:val="0081139D"/>
    <w:pPr>
      <w:ind w:firstLineChars="200" w:firstLine="420"/>
    </w:pPr>
    <w:rPr>
      <w:rFonts w:ascii="Calibri" w:hAnsi="Calibri"/>
    </w:rPr>
  </w:style>
  <w:style w:type="paragraph" w:customStyle="1" w:styleId="Default">
    <w:name w:val="Default"/>
    <w:uiPriority w:val="99"/>
    <w:unhideWhenUsed/>
    <w:qFormat/>
    <w:rsid w:val="0081139D"/>
    <w:pPr>
      <w:widowControl w:val="0"/>
      <w:autoSpaceDE w:val="0"/>
      <w:autoSpaceDN w:val="0"/>
      <w:adjustRightInd w:val="0"/>
    </w:pPr>
    <w:rPr>
      <w:rFonts w:ascii="宋体" w:hAnsi="宋体" w:hint="eastAsia"/>
      <w:color w:val="000000"/>
      <w:sz w:val="24"/>
    </w:rPr>
  </w:style>
  <w:style w:type="paragraph" w:customStyle="1" w:styleId="CharChar">
    <w:name w:val="Char Char"/>
    <w:basedOn w:val="a"/>
    <w:qFormat/>
    <w:rsid w:val="0081139D"/>
    <w:rPr>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2184</Words>
  <Characters>12451</Characters>
  <Application>Microsoft Office Word</Application>
  <DocSecurity>4</DocSecurity>
  <Lines>103</Lines>
  <Paragraphs>29</Paragraphs>
  <ScaleCrop>false</ScaleCrop>
  <LinksUpToDate>false</LinksUpToDate>
  <CharactersWithSpaces>14606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2025-11-26T16:03:00Z</dcterms:created>
  <dcterms:modified xsi:type="dcterms:W3CDTF">2025-11-26T16:03:00Z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EBD93BA4F1434E36B82F1BAEF685F11E_13</vt:lpwstr>
  </property>
</Properties>
</file>