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16A" w:rsidRPr="00A719B3" w:rsidRDefault="00A719B3" w:rsidP="00A719B3">
      <w:pPr>
        <w:spacing w:line="480" w:lineRule="auto"/>
        <w:jc w:val="center"/>
        <w:rPr>
          <w:rFonts w:ascii="Times New Roman" w:eastAsia="楷体_GB2312" w:hAnsi="Times New Roman" w:cs="Times New Roman"/>
          <w:b/>
          <w:bCs/>
          <w:kern w:val="0"/>
          <w:sz w:val="30"/>
          <w:szCs w:val="30"/>
        </w:rPr>
      </w:pPr>
      <w:r w:rsidRPr="00A719B3">
        <w:rPr>
          <w:rFonts w:ascii="Times New Roman" w:eastAsia="楷体_GB2312" w:hAnsi="Times New Roman" w:cs="Times New Roman" w:hint="eastAsia"/>
          <w:b/>
          <w:bCs/>
          <w:kern w:val="0"/>
          <w:sz w:val="30"/>
          <w:szCs w:val="30"/>
        </w:rPr>
        <w:t>嘉实基金管理有限公司关于旗下部分基金新增</w:t>
      </w:r>
      <w:r w:rsidR="00EE3BB5">
        <w:rPr>
          <w:rFonts w:ascii="Times New Roman" w:eastAsia="楷体_GB2312" w:hAnsi="Times New Roman" w:cs="Times New Roman" w:hint="eastAsia"/>
          <w:b/>
          <w:bCs/>
          <w:kern w:val="0"/>
          <w:sz w:val="30"/>
          <w:szCs w:val="30"/>
        </w:rPr>
        <w:t>中国银河证券股份有限公司</w:t>
      </w:r>
      <w:r w:rsidRPr="00A719B3">
        <w:rPr>
          <w:rFonts w:ascii="Times New Roman" w:eastAsia="楷体_GB2312" w:hAnsi="Times New Roman" w:cs="Times New Roman" w:hint="eastAsia"/>
          <w:b/>
          <w:bCs/>
          <w:kern w:val="0"/>
          <w:sz w:val="30"/>
          <w:szCs w:val="30"/>
        </w:rPr>
        <w:t>为流动性服务商的公告</w:t>
      </w:r>
    </w:p>
    <w:p w:rsidR="00BB7EBD" w:rsidRDefault="00BB7EBD" w:rsidP="00B532B4">
      <w:pPr>
        <w:spacing w:line="480" w:lineRule="auto"/>
        <w:ind w:firstLineChars="200" w:firstLine="480"/>
        <w:rPr>
          <w:rFonts w:ascii="Times New Roman" w:eastAsia="楷体_GB2312" w:hAnsi="Times New Roman" w:cs="Times New Roman"/>
          <w:bCs/>
          <w:kern w:val="0"/>
          <w:sz w:val="24"/>
          <w:szCs w:val="32"/>
        </w:rPr>
      </w:pPr>
    </w:p>
    <w:p w:rsidR="00B532B4" w:rsidRPr="00151B9D" w:rsidRDefault="00B532B4" w:rsidP="00EE3BB5">
      <w:pPr>
        <w:spacing w:line="480" w:lineRule="auto"/>
        <w:ind w:firstLineChars="200" w:firstLine="480"/>
        <w:rPr>
          <w:rFonts w:ascii="Times New Roman" w:eastAsia="楷体_GB2312" w:hAnsi="Times New Roman" w:cs="Times New Roman"/>
          <w:bCs/>
          <w:kern w:val="0"/>
          <w:sz w:val="24"/>
          <w:szCs w:val="32"/>
        </w:rPr>
      </w:pPr>
      <w:r w:rsidRPr="00151B9D">
        <w:rPr>
          <w:rFonts w:ascii="Times New Roman" w:eastAsia="楷体_GB2312" w:hAnsi="Times New Roman" w:cs="Times New Roman" w:hint="eastAsia"/>
          <w:bCs/>
          <w:kern w:val="0"/>
          <w:sz w:val="24"/>
          <w:szCs w:val="32"/>
        </w:rPr>
        <w:t>为促进</w:t>
      </w:r>
      <w:r w:rsidR="00EE3BB5" w:rsidRPr="00EE3BB5">
        <w:rPr>
          <w:rFonts w:ascii="Times New Roman" w:eastAsia="楷体_GB2312" w:hAnsi="Times New Roman" w:cs="Times New Roman" w:hint="eastAsia"/>
          <w:bCs/>
          <w:kern w:val="0"/>
          <w:sz w:val="24"/>
          <w:szCs w:val="32"/>
        </w:rPr>
        <w:t>嘉实标普石油天然气勘探及生产精选行业交易型开放式指数证券投资基金（</w:t>
      </w:r>
      <w:r w:rsidR="00EE3BB5" w:rsidRPr="00EE3BB5">
        <w:rPr>
          <w:rFonts w:ascii="Times New Roman" w:eastAsia="楷体_GB2312" w:hAnsi="Times New Roman" w:cs="Times New Roman"/>
          <w:bCs/>
          <w:kern w:val="0"/>
          <w:sz w:val="24"/>
          <w:szCs w:val="32"/>
        </w:rPr>
        <w:t>QDII</w:t>
      </w:r>
      <w:r w:rsidR="00EE3BB5" w:rsidRPr="00EE3BB5">
        <w:rPr>
          <w:rFonts w:ascii="Times New Roman" w:eastAsia="楷体_GB2312" w:hAnsi="Times New Roman" w:cs="Times New Roman"/>
          <w:bCs/>
          <w:kern w:val="0"/>
          <w:sz w:val="24"/>
          <w:szCs w:val="32"/>
        </w:rPr>
        <w:t>）</w:t>
      </w:r>
      <w:r w:rsidR="00E94085" w:rsidRPr="00E94085">
        <w:rPr>
          <w:rFonts w:ascii="Times New Roman" w:eastAsia="楷体_GB2312" w:hAnsi="Times New Roman" w:cs="Times New Roman" w:hint="eastAsia"/>
          <w:bCs/>
          <w:kern w:val="0"/>
          <w:sz w:val="24"/>
          <w:szCs w:val="32"/>
        </w:rPr>
        <w:t>（场内简称：</w:t>
      </w:r>
      <w:r w:rsidR="00EE3BB5" w:rsidRPr="00EE3BB5">
        <w:rPr>
          <w:rFonts w:ascii="Times New Roman" w:eastAsia="楷体_GB2312" w:hAnsi="Times New Roman" w:cs="Times New Roman" w:hint="eastAsia"/>
          <w:bCs/>
          <w:kern w:val="0"/>
          <w:sz w:val="24"/>
          <w:szCs w:val="32"/>
        </w:rPr>
        <w:t>标普油气</w:t>
      </w:r>
      <w:r w:rsidR="00EE3BB5" w:rsidRPr="00EE3BB5">
        <w:rPr>
          <w:rFonts w:ascii="Times New Roman" w:eastAsia="楷体_GB2312" w:hAnsi="Times New Roman" w:cs="Times New Roman"/>
          <w:bCs/>
          <w:kern w:val="0"/>
          <w:sz w:val="24"/>
          <w:szCs w:val="32"/>
        </w:rPr>
        <w:t>ETF</w:t>
      </w:r>
      <w:r w:rsidR="00E94085" w:rsidRPr="00E94085">
        <w:rPr>
          <w:rFonts w:ascii="Times New Roman" w:eastAsia="楷体_GB2312" w:hAnsi="Times New Roman" w:cs="Times New Roman"/>
          <w:bCs/>
          <w:kern w:val="0"/>
          <w:sz w:val="24"/>
          <w:szCs w:val="32"/>
        </w:rPr>
        <w:t>，基</w:t>
      </w:r>
      <w:r w:rsidR="00E94085" w:rsidRPr="00E94085">
        <w:rPr>
          <w:rFonts w:ascii="Times New Roman" w:eastAsia="楷体_GB2312" w:hAnsi="Times New Roman" w:cs="Times New Roman" w:hint="eastAsia"/>
          <w:bCs/>
          <w:kern w:val="0"/>
          <w:sz w:val="24"/>
          <w:szCs w:val="32"/>
        </w:rPr>
        <w:t>金代码：</w:t>
      </w:r>
      <w:r w:rsidR="00EE3BB5" w:rsidRPr="00EE3BB5">
        <w:rPr>
          <w:rFonts w:ascii="Times New Roman" w:eastAsia="楷体_GB2312" w:hAnsi="Times New Roman" w:cs="Times New Roman"/>
          <w:bCs/>
          <w:kern w:val="0"/>
          <w:sz w:val="24"/>
          <w:szCs w:val="32"/>
        </w:rPr>
        <w:t>159518</w:t>
      </w:r>
      <w:r w:rsidR="00E94085" w:rsidRPr="00E94085">
        <w:rPr>
          <w:rFonts w:ascii="Times New Roman" w:eastAsia="楷体_GB2312" w:hAnsi="Times New Roman" w:cs="Times New Roman"/>
          <w:bCs/>
          <w:kern w:val="0"/>
          <w:sz w:val="24"/>
          <w:szCs w:val="32"/>
        </w:rPr>
        <w:t>）、</w:t>
      </w:r>
      <w:r w:rsidR="008B62FE" w:rsidRPr="008B62FE">
        <w:rPr>
          <w:rFonts w:ascii="Times New Roman" w:eastAsia="楷体_GB2312" w:hAnsi="Times New Roman" w:cs="Times New Roman" w:hint="eastAsia"/>
          <w:bCs/>
          <w:kern w:val="0"/>
          <w:sz w:val="24"/>
          <w:szCs w:val="32"/>
        </w:rPr>
        <w:t>嘉实标普生物科技精选行业交易型开放式指数证券投资基金（</w:t>
      </w:r>
      <w:r w:rsidR="008B62FE" w:rsidRPr="008B62FE">
        <w:rPr>
          <w:rFonts w:ascii="Times New Roman" w:eastAsia="楷体_GB2312" w:hAnsi="Times New Roman" w:cs="Times New Roman"/>
          <w:bCs/>
          <w:kern w:val="0"/>
          <w:sz w:val="24"/>
          <w:szCs w:val="32"/>
        </w:rPr>
        <w:t>QDII</w:t>
      </w:r>
      <w:r w:rsidR="008B62FE" w:rsidRPr="008B62FE">
        <w:rPr>
          <w:rFonts w:ascii="Times New Roman" w:eastAsia="楷体_GB2312" w:hAnsi="Times New Roman" w:cs="Times New Roman"/>
          <w:bCs/>
          <w:kern w:val="0"/>
          <w:sz w:val="24"/>
          <w:szCs w:val="32"/>
        </w:rPr>
        <w:t>）</w:t>
      </w:r>
      <w:r w:rsidR="00E94085" w:rsidRPr="008B62FE">
        <w:rPr>
          <w:rFonts w:ascii="Times New Roman" w:eastAsia="楷体_GB2312" w:hAnsi="Times New Roman" w:cs="Times New Roman" w:hint="eastAsia"/>
          <w:bCs/>
          <w:kern w:val="0"/>
          <w:sz w:val="24"/>
          <w:szCs w:val="32"/>
        </w:rPr>
        <w:t>（场内简称：</w:t>
      </w:r>
      <w:r w:rsidR="00EE3BB5" w:rsidRPr="008B62FE">
        <w:rPr>
          <w:rFonts w:ascii="Times New Roman" w:eastAsia="楷体_GB2312" w:hAnsi="Times New Roman" w:cs="Times New Roman" w:hint="eastAsia"/>
          <w:bCs/>
          <w:kern w:val="0"/>
          <w:sz w:val="24"/>
          <w:szCs w:val="32"/>
        </w:rPr>
        <w:t>标普生物科技</w:t>
      </w:r>
      <w:r w:rsidR="00EE3BB5" w:rsidRPr="008B62FE">
        <w:rPr>
          <w:rFonts w:ascii="Times New Roman" w:eastAsia="楷体_GB2312" w:hAnsi="Times New Roman" w:cs="Times New Roman"/>
          <w:bCs/>
          <w:kern w:val="0"/>
          <w:sz w:val="24"/>
          <w:szCs w:val="32"/>
        </w:rPr>
        <w:t>ETF</w:t>
      </w:r>
      <w:r w:rsidR="00E94085" w:rsidRPr="008B62FE">
        <w:rPr>
          <w:rFonts w:ascii="Times New Roman" w:eastAsia="楷体_GB2312" w:hAnsi="Times New Roman" w:cs="Times New Roman"/>
          <w:bCs/>
          <w:kern w:val="0"/>
          <w:sz w:val="24"/>
          <w:szCs w:val="32"/>
        </w:rPr>
        <w:t>，基金代码：</w:t>
      </w:r>
      <w:r w:rsidR="00EE3BB5" w:rsidRPr="008B62FE">
        <w:rPr>
          <w:rFonts w:ascii="Times New Roman" w:eastAsia="楷体_GB2312" w:hAnsi="Times New Roman" w:cs="Times New Roman"/>
          <w:bCs/>
          <w:kern w:val="0"/>
          <w:sz w:val="24"/>
          <w:szCs w:val="32"/>
        </w:rPr>
        <w:t>159502</w:t>
      </w:r>
      <w:r w:rsidR="00E94085" w:rsidRPr="008B62FE">
        <w:rPr>
          <w:rFonts w:ascii="Times New Roman" w:eastAsia="楷体_GB2312" w:hAnsi="Times New Roman" w:cs="Times New Roman"/>
          <w:bCs/>
          <w:kern w:val="0"/>
          <w:sz w:val="24"/>
          <w:szCs w:val="32"/>
        </w:rPr>
        <w:t>）</w:t>
      </w:r>
      <w:r w:rsidR="00E94085" w:rsidRPr="008B62FE">
        <w:rPr>
          <w:rFonts w:ascii="Times New Roman" w:eastAsia="楷体_GB2312" w:hAnsi="Times New Roman" w:cs="Times New Roman" w:hint="eastAsia"/>
          <w:bCs/>
          <w:kern w:val="0"/>
          <w:sz w:val="24"/>
          <w:szCs w:val="32"/>
        </w:rPr>
        <w:t>、</w:t>
      </w:r>
      <w:r w:rsidR="008B62FE" w:rsidRPr="008B62FE">
        <w:rPr>
          <w:rFonts w:ascii="Times New Roman" w:eastAsia="楷体_GB2312" w:hAnsi="Times New Roman" w:cs="Times New Roman" w:hint="eastAsia"/>
          <w:bCs/>
          <w:kern w:val="0"/>
          <w:sz w:val="24"/>
          <w:szCs w:val="32"/>
        </w:rPr>
        <w:t>嘉实中证海外中国互联网</w:t>
      </w:r>
      <w:r w:rsidR="008B62FE" w:rsidRPr="008B62FE">
        <w:rPr>
          <w:rFonts w:ascii="Times New Roman" w:eastAsia="楷体_GB2312" w:hAnsi="Times New Roman" w:cs="Times New Roman"/>
          <w:bCs/>
          <w:kern w:val="0"/>
          <w:sz w:val="24"/>
          <w:szCs w:val="32"/>
        </w:rPr>
        <w:t>30</w:t>
      </w:r>
      <w:r w:rsidR="008B62FE" w:rsidRPr="008B62FE">
        <w:rPr>
          <w:rFonts w:ascii="Times New Roman" w:eastAsia="楷体_GB2312" w:hAnsi="Times New Roman" w:cs="Times New Roman"/>
          <w:bCs/>
          <w:kern w:val="0"/>
          <w:sz w:val="24"/>
          <w:szCs w:val="32"/>
        </w:rPr>
        <w:t>交易型开放式指数证券投资基金（</w:t>
      </w:r>
      <w:r w:rsidR="008B62FE" w:rsidRPr="008B62FE">
        <w:rPr>
          <w:rFonts w:ascii="Times New Roman" w:eastAsia="楷体_GB2312" w:hAnsi="Times New Roman" w:cs="Times New Roman"/>
          <w:bCs/>
          <w:kern w:val="0"/>
          <w:sz w:val="24"/>
          <w:szCs w:val="32"/>
        </w:rPr>
        <w:t>QDII</w:t>
      </w:r>
      <w:r w:rsidR="008B62FE" w:rsidRPr="008B62FE">
        <w:rPr>
          <w:rFonts w:ascii="Times New Roman" w:eastAsia="楷体_GB2312" w:hAnsi="Times New Roman" w:cs="Times New Roman"/>
          <w:bCs/>
          <w:kern w:val="0"/>
          <w:sz w:val="24"/>
          <w:szCs w:val="32"/>
        </w:rPr>
        <w:t>）</w:t>
      </w:r>
      <w:r w:rsidR="00E94085" w:rsidRPr="008B62FE">
        <w:rPr>
          <w:rFonts w:ascii="Times New Roman" w:eastAsia="楷体_GB2312" w:hAnsi="Times New Roman" w:cs="Times New Roman" w:hint="eastAsia"/>
          <w:bCs/>
          <w:kern w:val="0"/>
          <w:sz w:val="24"/>
          <w:szCs w:val="32"/>
        </w:rPr>
        <w:t>（场内简称：</w:t>
      </w:r>
      <w:r w:rsidR="008B62FE" w:rsidRPr="008B62FE">
        <w:rPr>
          <w:rFonts w:ascii="Times New Roman" w:eastAsia="楷体_GB2312" w:hAnsi="Times New Roman" w:cs="Times New Roman" w:hint="eastAsia"/>
          <w:bCs/>
          <w:kern w:val="0"/>
          <w:sz w:val="24"/>
          <w:szCs w:val="32"/>
        </w:rPr>
        <w:t>中概互联网</w:t>
      </w:r>
      <w:r w:rsidR="008B62FE" w:rsidRPr="008B62FE">
        <w:rPr>
          <w:rFonts w:ascii="Times New Roman" w:eastAsia="楷体_GB2312" w:hAnsi="Times New Roman" w:cs="Times New Roman"/>
          <w:bCs/>
          <w:kern w:val="0"/>
          <w:sz w:val="24"/>
          <w:szCs w:val="32"/>
        </w:rPr>
        <w:t>ETF</w:t>
      </w:r>
      <w:r w:rsidR="00E94085" w:rsidRPr="008B62FE">
        <w:rPr>
          <w:rFonts w:ascii="Times New Roman" w:eastAsia="楷体_GB2312" w:hAnsi="Times New Roman" w:cs="Times New Roman"/>
          <w:bCs/>
          <w:kern w:val="0"/>
          <w:sz w:val="24"/>
          <w:szCs w:val="32"/>
        </w:rPr>
        <w:t>，基金代码：</w:t>
      </w:r>
      <w:r w:rsidR="008B62FE" w:rsidRPr="008B62FE">
        <w:rPr>
          <w:rFonts w:ascii="Times New Roman" w:eastAsia="楷体_GB2312" w:hAnsi="Times New Roman" w:cs="Times New Roman"/>
          <w:bCs/>
          <w:kern w:val="0"/>
          <w:sz w:val="24"/>
          <w:szCs w:val="32"/>
        </w:rPr>
        <w:t>159607</w:t>
      </w:r>
      <w:r w:rsidR="00E94085" w:rsidRPr="008B62FE">
        <w:rPr>
          <w:rFonts w:ascii="Times New Roman" w:eastAsia="楷体_GB2312" w:hAnsi="Times New Roman" w:cs="Times New Roman"/>
          <w:bCs/>
          <w:kern w:val="0"/>
          <w:sz w:val="24"/>
          <w:szCs w:val="32"/>
        </w:rPr>
        <w:t>）</w:t>
      </w:r>
      <w:r w:rsidR="00147164" w:rsidRPr="008B62FE">
        <w:rPr>
          <w:rFonts w:ascii="Times New Roman" w:eastAsia="楷体_GB2312" w:hAnsi="Times New Roman" w:cs="Times New Roman" w:hint="eastAsia"/>
          <w:bCs/>
          <w:kern w:val="0"/>
          <w:sz w:val="24"/>
          <w:szCs w:val="32"/>
        </w:rPr>
        <w:t>、</w:t>
      </w:r>
      <w:r w:rsidR="00E94085" w:rsidRPr="008B62FE">
        <w:rPr>
          <w:rFonts w:ascii="Times New Roman" w:eastAsia="楷体_GB2312" w:hAnsi="Times New Roman" w:cs="Times New Roman" w:hint="eastAsia"/>
          <w:bCs/>
          <w:kern w:val="0"/>
          <w:sz w:val="24"/>
          <w:szCs w:val="32"/>
        </w:rPr>
        <w:t>嘉实中证新能源交易型开放式指数证券投资基金（场内简称：新能源</w:t>
      </w:r>
      <w:r w:rsidR="00E94085" w:rsidRPr="008B62FE">
        <w:rPr>
          <w:rFonts w:ascii="Times New Roman" w:eastAsia="楷体_GB2312" w:hAnsi="Times New Roman" w:cs="Times New Roman"/>
          <w:bCs/>
          <w:kern w:val="0"/>
          <w:sz w:val="24"/>
          <w:szCs w:val="32"/>
        </w:rPr>
        <w:t>ETF</w:t>
      </w:r>
      <w:r w:rsidR="00E94085" w:rsidRPr="008B62FE">
        <w:rPr>
          <w:rFonts w:ascii="Times New Roman" w:eastAsia="楷体_GB2312" w:hAnsi="Times New Roman" w:cs="Times New Roman"/>
          <w:bCs/>
          <w:kern w:val="0"/>
          <w:sz w:val="24"/>
          <w:szCs w:val="32"/>
        </w:rPr>
        <w:t>，基金代码：</w:t>
      </w:r>
      <w:r w:rsidR="00E94085" w:rsidRPr="008B62FE">
        <w:rPr>
          <w:rFonts w:ascii="Times New Roman" w:eastAsia="楷体_GB2312" w:hAnsi="Times New Roman" w:cs="Times New Roman"/>
          <w:bCs/>
          <w:kern w:val="0"/>
          <w:sz w:val="24"/>
          <w:szCs w:val="32"/>
        </w:rPr>
        <w:t>159875</w:t>
      </w:r>
      <w:r w:rsidR="00E94085" w:rsidRPr="008B62FE">
        <w:rPr>
          <w:rFonts w:ascii="Times New Roman" w:eastAsia="楷体_GB2312" w:hAnsi="Times New Roman" w:cs="Times New Roman"/>
          <w:bCs/>
          <w:kern w:val="0"/>
          <w:sz w:val="24"/>
          <w:szCs w:val="32"/>
        </w:rPr>
        <w:t>）</w:t>
      </w:r>
      <w:bookmarkStart w:id="0" w:name="_GoBack"/>
      <w:bookmarkEnd w:id="0"/>
      <w:r w:rsidR="00147164" w:rsidRPr="008B62FE">
        <w:rPr>
          <w:rFonts w:ascii="Times New Roman" w:eastAsia="楷体_GB2312" w:hAnsi="Times New Roman" w:cs="Times New Roman" w:hint="eastAsia"/>
          <w:bCs/>
          <w:kern w:val="0"/>
          <w:sz w:val="24"/>
          <w:szCs w:val="32"/>
        </w:rPr>
        <w:t>和</w:t>
      </w:r>
      <w:r w:rsidR="008B62FE" w:rsidRPr="008B62FE">
        <w:rPr>
          <w:rFonts w:ascii="Times New Roman" w:eastAsia="楷体_GB2312" w:hAnsi="Times New Roman" w:cs="Times New Roman" w:hint="eastAsia"/>
          <w:bCs/>
          <w:kern w:val="0"/>
          <w:sz w:val="24"/>
          <w:szCs w:val="32"/>
        </w:rPr>
        <w:t>嘉实恒生科技交易型开放式指数证券投资基金（</w:t>
      </w:r>
      <w:r w:rsidR="008B62FE" w:rsidRPr="008B62FE">
        <w:rPr>
          <w:rFonts w:ascii="Times New Roman" w:eastAsia="楷体_GB2312" w:hAnsi="Times New Roman" w:cs="Times New Roman"/>
          <w:bCs/>
          <w:kern w:val="0"/>
          <w:sz w:val="24"/>
          <w:szCs w:val="32"/>
        </w:rPr>
        <w:t>QDII</w:t>
      </w:r>
      <w:r w:rsidR="008B62FE" w:rsidRPr="008B62FE">
        <w:rPr>
          <w:rFonts w:ascii="Times New Roman" w:eastAsia="楷体_GB2312" w:hAnsi="Times New Roman" w:cs="Times New Roman"/>
          <w:bCs/>
          <w:kern w:val="0"/>
          <w:sz w:val="24"/>
          <w:szCs w:val="32"/>
        </w:rPr>
        <w:t>）</w:t>
      </w:r>
      <w:r w:rsidR="00147164" w:rsidRPr="008B62FE">
        <w:rPr>
          <w:rFonts w:ascii="Times New Roman" w:eastAsia="楷体_GB2312" w:hAnsi="Times New Roman" w:cs="Times New Roman" w:hint="eastAsia"/>
          <w:bCs/>
          <w:kern w:val="0"/>
          <w:sz w:val="24"/>
          <w:szCs w:val="32"/>
        </w:rPr>
        <w:t>（场内简称：</w:t>
      </w:r>
      <w:r w:rsidR="008B62FE" w:rsidRPr="008B62FE">
        <w:rPr>
          <w:rFonts w:ascii="Times New Roman" w:eastAsia="楷体_GB2312" w:hAnsi="Times New Roman" w:cs="Times New Roman" w:hint="eastAsia"/>
          <w:bCs/>
          <w:kern w:val="0"/>
          <w:sz w:val="24"/>
          <w:szCs w:val="32"/>
        </w:rPr>
        <w:t>恒生科技</w:t>
      </w:r>
      <w:r w:rsidR="008B62FE" w:rsidRPr="008B62FE">
        <w:rPr>
          <w:rFonts w:ascii="Times New Roman" w:eastAsia="楷体_GB2312" w:hAnsi="Times New Roman" w:cs="Times New Roman"/>
          <w:bCs/>
          <w:kern w:val="0"/>
          <w:sz w:val="24"/>
          <w:szCs w:val="32"/>
        </w:rPr>
        <w:t>ETF</w:t>
      </w:r>
      <w:r w:rsidR="008B62FE" w:rsidRPr="008B62FE">
        <w:rPr>
          <w:rFonts w:ascii="Times New Roman" w:eastAsia="楷体_GB2312" w:hAnsi="Times New Roman" w:cs="Times New Roman"/>
          <w:bCs/>
          <w:kern w:val="0"/>
          <w:sz w:val="24"/>
          <w:szCs w:val="32"/>
        </w:rPr>
        <w:t>嘉实</w:t>
      </w:r>
      <w:r w:rsidR="00147164" w:rsidRPr="008B62FE">
        <w:rPr>
          <w:rFonts w:ascii="Times New Roman" w:eastAsia="楷体_GB2312" w:hAnsi="Times New Roman" w:cs="Times New Roman"/>
          <w:bCs/>
          <w:kern w:val="0"/>
          <w:sz w:val="24"/>
          <w:szCs w:val="32"/>
        </w:rPr>
        <w:t>，基金代码：</w:t>
      </w:r>
      <w:r w:rsidR="008B62FE" w:rsidRPr="008B62FE">
        <w:rPr>
          <w:rFonts w:ascii="Times New Roman" w:eastAsia="楷体_GB2312" w:hAnsi="Times New Roman" w:cs="Times New Roman"/>
          <w:bCs/>
          <w:kern w:val="0"/>
          <w:sz w:val="24"/>
          <w:szCs w:val="32"/>
        </w:rPr>
        <w:t>159741</w:t>
      </w:r>
      <w:r w:rsidR="00147164" w:rsidRPr="008B62FE">
        <w:rPr>
          <w:rFonts w:ascii="Times New Roman" w:eastAsia="楷体_GB2312" w:hAnsi="Times New Roman" w:cs="Times New Roman"/>
          <w:bCs/>
          <w:kern w:val="0"/>
          <w:sz w:val="24"/>
          <w:szCs w:val="32"/>
        </w:rPr>
        <w:t>）</w:t>
      </w:r>
      <w:r w:rsidR="00BB7EBD" w:rsidRPr="008B62FE">
        <w:rPr>
          <w:rFonts w:ascii="Times New Roman" w:eastAsia="楷体_GB2312" w:hAnsi="Times New Roman" w:cs="Times New Roman" w:hint="eastAsia"/>
          <w:bCs/>
          <w:kern w:val="0"/>
          <w:sz w:val="24"/>
          <w:szCs w:val="32"/>
        </w:rPr>
        <w:t>的市场流动性和平稳运行，根</w:t>
      </w:r>
      <w:r w:rsidR="00BB7EBD" w:rsidRPr="00BB7EBD">
        <w:rPr>
          <w:rFonts w:ascii="Times New Roman" w:eastAsia="楷体_GB2312" w:hAnsi="Times New Roman" w:cs="Times New Roman" w:hint="eastAsia"/>
          <w:bCs/>
          <w:kern w:val="0"/>
          <w:sz w:val="24"/>
          <w:szCs w:val="32"/>
        </w:rPr>
        <w:t>据《深圳证券交易所证券投资基金业务指引第</w:t>
      </w:r>
      <w:r w:rsidR="00BB7EBD" w:rsidRPr="00BB7EBD">
        <w:rPr>
          <w:rFonts w:ascii="Times New Roman" w:eastAsia="楷体_GB2312" w:hAnsi="Times New Roman" w:cs="Times New Roman"/>
          <w:bCs/>
          <w:kern w:val="0"/>
          <w:sz w:val="24"/>
          <w:szCs w:val="32"/>
        </w:rPr>
        <w:t>2</w:t>
      </w:r>
      <w:r w:rsidR="00BB7EBD" w:rsidRPr="00BB7EBD">
        <w:rPr>
          <w:rFonts w:ascii="Times New Roman" w:eastAsia="楷体_GB2312" w:hAnsi="Times New Roman" w:cs="Times New Roman"/>
          <w:bCs/>
          <w:kern w:val="0"/>
          <w:sz w:val="24"/>
          <w:szCs w:val="32"/>
        </w:rPr>
        <w:t>号</w:t>
      </w:r>
      <w:r w:rsidR="00BB7EBD" w:rsidRPr="00BB7EBD">
        <w:rPr>
          <w:rFonts w:ascii="Times New Roman" w:eastAsia="楷体_GB2312" w:hAnsi="Times New Roman" w:cs="Times New Roman"/>
          <w:bCs/>
          <w:kern w:val="0"/>
          <w:sz w:val="24"/>
          <w:szCs w:val="32"/>
        </w:rPr>
        <w:t>——</w:t>
      </w:r>
      <w:r w:rsidR="00BB7EBD">
        <w:rPr>
          <w:rFonts w:ascii="Times New Roman" w:eastAsia="楷体_GB2312" w:hAnsi="Times New Roman" w:cs="Times New Roman"/>
          <w:bCs/>
          <w:kern w:val="0"/>
          <w:sz w:val="24"/>
          <w:szCs w:val="32"/>
        </w:rPr>
        <w:t>流动性服务》等有关规定</w:t>
      </w:r>
      <w:r w:rsidRPr="00B532B4">
        <w:rPr>
          <w:rFonts w:ascii="Times New Roman" w:eastAsia="楷体_GB2312" w:hAnsi="Times New Roman" w:cs="Times New Roman" w:hint="eastAsia"/>
          <w:bCs/>
          <w:kern w:val="0"/>
          <w:sz w:val="24"/>
          <w:szCs w:val="32"/>
        </w:rPr>
        <w:t>，自</w:t>
      </w:r>
      <w:r w:rsidR="00805C23" w:rsidRPr="00806E26">
        <w:rPr>
          <w:rFonts w:ascii="Times New Roman" w:eastAsia="楷体_GB2312" w:hAnsi="Times New Roman" w:cs="Times New Roman"/>
          <w:bCs/>
          <w:kern w:val="0"/>
          <w:sz w:val="24"/>
          <w:szCs w:val="32"/>
        </w:rPr>
        <w:t>202</w:t>
      </w:r>
      <w:r w:rsidR="004D72C2">
        <w:rPr>
          <w:rFonts w:ascii="Times New Roman" w:eastAsia="楷体_GB2312" w:hAnsi="Times New Roman" w:cs="Times New Roman"/>
          <w:bCs/>
          <w:kern w:val="0"/>
          <w:sz w:val="24"/>
          <w:szCs w:val="32"/>
        </w:rPr>
        <w:t>5</w:t>
      </w:r>
      <w:r w:rsidR="00805C23" w:rsidRPr="00806E26">
        <w:rPr>
          <w:rFonts w:ascii="Times New Roman" w:eastAsia="楷体_GB2312" w:hAnsi="Times New Roman" w:cs="Times New Roman" w:hint="eastAsia"/>
          <w:bCs/>
          <w:kern w:val="0"/>
          <w:sz w:val="24"/>
          <w:szCs w:val="32"/>
        </w:rPr>
        <w:t>年</w:t>
      </w:r>
      <w:r w:rsidR="00E94085">
        <w:rPr>
          <w:rFonts w:ascii="Times New Roman" w:eastAsia="楷体_GB2312" w:hAnsi="Times New Roman" w:cs="Times New Roman"/>
          <w:bCs/>
          <w:kern w:val="0"/>
          <w:sz w:val="24"/>
          <w:szCs w:val="32"/>
        </w:rPr>
        <w:t>11</w:t>
      </w:r>
      <w:r w:rsidR="00805C23" w:rsidRPr="00806E26">
        <w:rPr>
          <w:rFonts w:ascii="Times New Roman" w:eastAsia="楷体_GB2312" w:hAnsi="Times New Roman" w:cs="Times New Roman" w:hint="eastAsia"/>
          <w:bCs/>
          <w:kern w:val="0"/>
          <w:sz w:val="24"/>
          <w:szCs w:val="32"/>
        </w:rPr>
        <w:t>月</w:t>
      </w:r>
      <w:r w:rsidR="00E94085">
        <w:rPr>
          <w:rFonts w:ascii="Times New Roman" w:eastAsia="楷体_GB2312" w:hAnsi="Times New Roman" w:cs="Times New Roman"/>
          <w:bCs/>
          <w:kern w:val="0"/>
          <w:sz w:val="24"/>
          <w:szCs w:val="32"/>
        </w:rPr>
        <w:t>2</w:t>
      </w:r>
      <w:r w:rsidR="00EE3BB5">
        <w:rPr>
          <w:rFonts w:ascii="Times New Roman" w:eastAsia="楷体_GB2312" w:hAnsi="Times New Roman" w:cs="Times New Roman"/>
          <w:bCs/>
          <w:kern w:val="0"/>
          <w:sz w:val="24"/>
          <w:szCs w:val="32"/>
        </w:rPr>
        <w:t>8</w:t>
      </w:r>
      <w:r w:rsidRPr="00806E26">
        <w:rPr>
          <w:rFonts w:ascii="Times New Roman" w:eastAsia="楷体_GB2312" w:hAnsi="Times New Roman" w:cs="Times New Roman" w:hint="eastAsia"/>
          <w:bCs/>
          <w:kern w:val="0"/>
          <w:sz w:val="24"/>
          <w:szCs w:val="32"/>
        </w:rPr>
        <w:t>日起</w:t>
      </w:r>
      <w:r w:rsidRPr="00B532B4">
        <w:rPr>
          <w:rFonts w:ascii="Times New Roman" w:eastAsia="楷体_GB2312" w:hAnsi="Times New Roman" w:cs="Times New Roman" w:hint="eastAsia"/>
          <w:bCs/>
          <w:kern w:val="0"/>
          <w:sz w:val="24"/>
          <w:szCs w:val="32"/>
        </w:rPr>
        <w:t>，</w:t>
      </w:r>
      <w:r w:rsidR="00E94085" w:rsidRPr="00E94085">
        <w:rPr>
          <w:rFonts w:ascii="Times New Roman" w:eastAsia="楷体_GB2312" w:hAnsi="Times New Roman" w:cs="Times New Roman" w:hint="eastAsia"/>
          <w:bCs/>
          <w:kern w:val="0"/>
          <w:sz w:val="24"/>
          <w:szCs w:val="32"/>
        </w:rPr>
        <w:t>嘉实基金管理有限公司新增</w:t>
      </w:r>
      <w:r w:rsidR="00EE3BB5">
        <w:rPr>
          <w:rFonts w:ascii="Times New Roman" w:eastAsia="楷体_GB2312" w:hAnsi="Times New Roman" w:cs="Times New Roman" w:hint="eastAsia"/>
          <w:bCs/>
          <w:kern w:val="0"/>
          <w:sz w:val="24"/>
          <w:szCs w:val="32"/>
        </w:rPr>
        <w:t>中国银河证券股份有限公司</w:t>
      </w:r>
      <w:r w:rsidR="00E94085" w:rsidRPr="00E94085">
        <w:rPr>
          <w:rFonts w:ascii="Times New Roman" w:eastAsia="楷体_GB2312" w:hAnsi="Times New Roman" w:cs="Times New Roman" w:hint="eastAsia"/>
          <w:bCs/>
          <w:kern w:val="0"/>
          <w:sz w:val="24"/>
          <w:szCs w:val="32"/>
        </w:rPr>
        <w:t>为上述基金的流动性服务商。</w:t>
      </w:r>
    </w:p>
    <w:p w:rsidR="00B532B4" w:rsidRPr="00674444" w:rsidRDefault="00B532B4" w:rsidP="00B532B4">
      <w:pPr>
        <w:spacing w:line="480" w:lineRule="auto"/>
        <w:ind w:firstLineChars="200" w:firstLine="480"/>
        <w:rPr>
          <w:rFonts w:ascii="Times New Roman" w:eastAsia="楷体_GB2312" w:hAnsi="Times New Roman" w:cs="Times New Roman"/>
          <w:bCs/>
          <w:kern w:val="0"/>
          <w:sz w:val="24"/>
          <w:szCs w:val="32"/>
        </w:rPr>
      </w:pPr>
    </w:p>
    <w:p w:rsidR="00FC2A28" w:rsidRPr="00B532B4" w:rsidRDefault="00FC2A28" w:rsidP="00B532B4">
      <w:pPr>
        <w:spacing w:line="480" w:lineRule="auto"/>
        <w:ind w:firstLineChars="200" w:firstLine="480"/>
        <w:rPr>
          <w:rFonts w:ascii="Times New Roman" w:eastAsia="楷体_GB2312" w:hAnsi="Times New Roman" w:cs="Times New Roman"/>
          <w:bCs/>
          <w:kern w:val="0"/>
          <w:sz w:val="24"/>
          <w:szCs w:val="32"/>
        </w:rPr>
      </w:pPr>
      <w:r w:rsidRPr="00B532B4">
        <w:rPr>
          <w:rFonts w:ascii="Times New Roman" w:eastAsia="楷体_GB2312" w:hAnsi="Times New Roman" w:cs="Times New Roman" w:hint="eastAsia"/>
          <w:bCs/>
          <w:kern w:val="0"/>
          <w:sz w:val="24"/>
          <w:szCs w:val="32"/>
        </w:rPr>
        <w:t>特此公告。</w:t>
      </w:r>
    </w:p>
    <w:p w:rsidR="00FC2A28" w:rsidRPr="00151B9D" w:rsidRDefault="00FC2A28" w:rsidP="00FC2A28">
      <w:pPr>
        <w:jc w:val="right"/>
        <w:rPr>
          <w:rFonts w:ascii="Times New Roman" w:eastAsia="楷体_GB2312" w:hAnsi="Times New Roman" w:cs="Times New Roman"/>
          <w:bCs/>
          <w:kern w:val="0"/>
          <w:sz w:val="24"/>
          <w:szCs w:val="32"/>
        </w:rPr>
      </w:pPr>
    </w:p>
    <w:p w:rsidR="00FC2A28" w:rsidRPr="00B532B4" w:rsidRDefault="00B532B4" w:rsidP="00B532B4">
      <w:pPr>
        <w:spacing w:line="480" w:lineRule="auto"/>
        <w:ind w:firstLineChars="200" w:firstLine="480"/>
        <w:jc w:val="right"/>
        <w:rPr>
          <w:rFonts w:ascii="Times New Roman" w:eastAsia="楷体_GB2312" w:hAnsi="Times New Roman" w:cs="Times New Roman"/>
          <w:bCs/>
          <w:kern w:val="0"/>
          <w:sz w:val="24"/>
          <w:szCs w:val="32"/>
        </w:rPr>
      </w:pPr>
      <w:r w:rsidRPr="00B532B4">
        <w:rPr>
          <w:rFonts w:ascii="Times New Roman" w:eastAsia="楷体_GB2312" w:hAnsi="Times New Roman" w:cs="Times New Roman" w:hint="eastAsia"/>
          <w:bCs/>
          <w:kern w:val="0"/>
          <w:sz w:val="24"/>
          <w:szCs w:val="32"/>
        </w:rPr>
        <w:t>嘉实基金管理有限</w:t>
      </w:r>
      <w:r w:rsidR="00FC2A28" w:rsidRPr="00B532B4">
        <w:rPr>
          <w:rFonts w:ascii="Times New Roman" w:eastAsia="楷体_GB2312" w:hAnsi="Times New Roman" w:cs="Times New Roman" w:hint="eastAsia"/>
          <w:bCs/>
          <w:kern w:val="0"/>
          <w:sz w:val="24"/>
          <w:szCs w:val="32"/>
        </w:rPr>
        <w:t>公司</w:t>
      </w:r>
    </w:p>
    <w:p w:rsidR="00FC2A28" w:rsidRPr="00B532B4" w:rsidRDefault="00805C23" w:rsidP="00B532B4">
      <w:pPr>
        <w:spacing w:line="480" w:lineRule="auto"/>
        <w:ind w:right="240" w:firstLineChars="200" w:firstLine="480"/>
        <w:jc w:val="right"/>
        <w:rPr>
          <w:rFonts w:ascii="Times New Roman" w:eastAsia="楷体_GB2312" w:hAnsi="Times New Roman" w:cs="Times New Roman"/>
          <w:bCs/>
          <w:kern w:val="0"/>
          <w:sz w:val="24"/>
          <w:szCs w:val="32"/>
        </w:rPr>
      </w:pPr>
      <w:r w:rsidRPr="00806E26">
        <w:rPr>
          <w:rFonts w:ascii="Times New Roman" w:eastAsia="楷体_GB2312" w:hAnsi="Times New Roman" w:cs="Times New Roman"/>
          <w:bCs/>
          <w:kern w:val="0"/>
          <w:sz w:val="24"/>
          <w:szCs w:val="32"/>
        </w:rPr>
        <w:t>202</w:t>
      </w:r>
      <w:r w:rsidR="004D72C2">
        <w:rPr>
          <w:rFonts w:ascii="Times New Roman" w:eastAsia="楷体_GB2312" w:hAnsi="Times New Roman" w:cs="Times New Roman"/>
          <w:bCs/>
          <w:kern w:val="0"/>
          <w:sz w:val="24"/>
          <w:szCs w:val="32"/>
        </w:rPr>
        <w:t>5</w:t>
      </w:r>
      <w:r w:rsidRPr="00806E26">
        <w:rPr>
          <w:rFonts w:ascii="Times New Roman" w:eastAsia="楷体_GB2312" w:hAnsi="Times New Roman" w:cs="Times New Roman" w:hint="eastAsia"/>
          <w:bCs/>
          <w:kern w:val="0"/>
          <w:sz w:val="24"/>
          <w:szCs w:val="32"/>
        </w:rPr>
        <w:t>年</w:t>
      </w:r>
      <w:r w:rsidR="00E94085">
        <w:rPr>
          <w:rFonts w:ascii="Times New Roman" w:eastAsia="楷体_GB2312" w:hAnsi="Times New Roman" w:cs="Times New Roman"/>
          <w:bCs/>
          <w:kern w:val="0"/>
          <w:sz w:val="24"/>
          <w:szCs w:val="32"/>
        </w:rPr>
        <w:t>11</w:t>
      </w:r>
      <w:r w:rsidRPr="00806E26">
        <w:rPr>
          <w:rFonts w:ascii="Times New Roman" w:eastAsia="楷体_GB2312" w:hAnsi="Times New Roman" w:cs="Times New Roman" w:hint="eastAsia"/>
          <w:bCs/>
          <w:kern w:val="0"/>
          <w:sz w:val="24"/>
          <w:szCs w:val="32"/>
        </w:rPr>
        <w:t>月</w:t>
      </w:r>
      <w:r w:rsidR="00EE3BB5">
        <w:rPr>
          <w:rFonts w:ascii="Times New Roman" w:eastAsia="楷体_GB2312" w:hAnsi="Times New Roman" w:cs="Times New Roman"/>
          <w:bCs/>
          <w:kern w:val="0"/>
          <w:sz w:val="24"/>
          <w:szCs w:val="32"/>
        </w:rPr>
        <w:t>27</w:t>
      </w:r>
      <w:r w:rsidR="00B11F36" w:rsidRPr="00806E26">
        <w:rPr>
          <w:rFonts w:ascii="Times New Roman" w:eastAsia="楷体_GB2312" w:hAnsi="Times New Roman" w:cs="Times New Roman" w:hint="eastAsia"/>
          <w:bCs/>
          <w:kern w:val="0"/>
          <w:sz w:val="24"/>
          <w:szCs w:val="32"/>
        </w:rPr>
        <w:t>日</w:t>
      </w:r>
    </w:p>
    <w:sectPr w:rsidR="00FC2A28" w:rsidRPr="00B532B4" w:rsidSect="00E846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1FE" w:rsidRDefault="008E61FE" w:rsidP="00092C75">
      <w:r>
        <w:separator/>
      </w:r>
    </w:p>
  </w:endnote>
  <w:endnote w:type="continuationSeparator" w:id="0">
    <w:p w:rsidR="008E61FE" w:rsidRDefault="008E61FE" w:rsidP="00092C75">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1FE" w:rsidRDefault="008E61FE" w:rsidP="00092C75">
      <w:r>
        <w:separator/>
      </w:r>
    </w:p>
  </w:footnote>
  <w:footnote w:type="continuationSeparator" w:id="0">
    <w:p w:rsidR="008E61FE" w:rsidRDefault="008E61FE" w:rsidP="00092C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5261"/>
    <w:rsid w:val="00003F79"/>
    <w:rsid w:val="00016315"/>
    <w:rsid w:val="000341A8"/>
    <w:rsid w:val="000465E0"/>
    <w:rsid w:val="00092C75"/>
    <w:rsid w:val="0013071E"/>
    <w:rsid w:val="00147164"/>
    <w:rsid w:val="00151B9D"/>
    <w:rsid w:val="001755ED"/>
    <w:rsid w:val="00186B81"/>
    <w:rsid w:val="001909FC"/>
    <w:rsid w:val="001E68A7"/>
    <w:rsid w:val="00214E7A"/>
    <w:rsid w:val="002178A2"/>
    <w:rsid w:val="00252418"/>
    <w:rsid w:val="002646BC"/>
    <w:rsid w:val="002D3F78"/>
    <w:rsid w:val="00320141"/>
    <w:rsid w:val="003800D0"/>
    <w:rsid w:val="003904A3"/>
    <w:rsid w:val="003C11DC"/>
    <w:rsid w:val="003F333F"/>
    <w:rsid w:val="004578E9"/>
    <w:rsid w:val="00487491"/>
    <w:rsid w:val="004D72C2"/>
    <w:rsid w:val="004F0CDB"/>
    <w:rsid w:val="00532CD5"/>
    <w:rsid w:val="00552401"/>
    <w:rsid w:val="00557C9B"/>
    <w:rsid w:val="00572456"/>
    <w:rsid w:val="00595D75"/>
    <w:rsid w:val="005C6C5C"/>
    <w:rsid w:val="006033B6"/>
    <w:rsid w:val="00674444"/>
    <w:rsid w:val="00702B4A"/>
    <w:rsid w:val="00744021"/>
    <w:rsid w:val="00792A96"/>
    <w:rsid w:val="007B2188"/>
    <w:rsid w:val="007B441D"/>
    <w:rsid w:val="007E116A"/>
    <w:rsid w:val="007F509D"/>
    <w:rsid w:val="00805C23"/>
    <w:rsid w:val="00805D90"/>
    <w:rsid w:val="00806E26"/>
    <w:rsid w:val="00877B1E"/>
    <w:rsid w:val="008812F0"/>
    <w:rsid w:val="00891791"/>
    <w:rsid w:val="008B10C5"/>
    <w:rsid w:val="008B62FE"/>
    <w:rsid w:val="008D0F9B"/>
    <w:rsid w:val="008E61FE"/>
    <w:rsid w:val="00940419"/>
    <w:rsid w:val="009A55C1"/>
    <w:rsid w:val="009D1DE7"/>
    <w:rsid w:val="00A058EB"/>
    <w:rsid w:val="00A064C8"/>
    <w:rsid w:val="00A3356F"/>
    <w:rsid w:val="00A45C87"/>
    <w:rsid w:val="00A46100"/>
    <w:rsid w:val="00A719B3"/>
    <w:rsid w:val="00AC2BCE"/>
    <w:rsid w:val="00AE46F0"/>
    <w:rsid w:val="00B0546A"/>
    <w:rsid w:val="00B11F36"/>
    <w:rsid w:val="00B162E8"/>
    <w:rsid w:val="00B50B2B"/>
    <w:rsid w:val="00B532B4"/>
    <w:rsid w:val="00BB7EBD"/>
    <w:rsid w:val="00BC0843"/>
    <w:rsid w:val="00BC4178"/>
    <w:rsid w:val="00BC51CD"/>
    <w:rsid w:val="00BD27AB"/>
    <w:rsid w:val="00C0329C"/>
    <w:rsid w:val="00C242E1"/>
    <w:rsid w:val="00C302BD"/>
    <w:rsid w:val="00C71C61"/>
    <w:rsid w:val="00CC0D39"/>
    <w:rsid w:val="00D05443"/>
    <w:rsid w:val="00D15295"/>
    <w:rsid w:val="00D42FD8"/>
    <w:rsid w:val="00D90A7A"/>
    <w:rsid w:val="00DC260B"/>
    <w:rsid w:val="00DD05BA"/>
    <w:rsid w:val="00DD67DC"/>
    <w:rsid w:val="00DF5525"/>
    <w:rsid w:val="00E13483"/>
    <w:rsid w:val="00E17A73"/>
    <w:rsid w:val="00E258FC"/>
    <w:rsid w:val="00E61A93"/>
    <w:rsid w:val="00E65C2E"/>
    <w:rsid w:val="00E84640"/>
    <w:rsid w:val="00E94085"/>
    <w:rsid w:val="00EE3BB5"/>
    <w:rsid w:val="00F5506A"/>
    <w:rsid w:val="00F84257"/>
    <w:rsid w:val="00F8460C"/>
    <w:rsid w:val="00FB06A4"/>
    <w:rsid w:val="00FC2A28"/>
    <w:rsid w:val="00FD5B7C"/>
    <w:rsid w:val="00FE0443"/>
    <w:rsid w:val="00FE075C"/>
    <w:rsid w:val="00FE5005"/>
    <w:rsid w:val="00FE52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2C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2C75"/>
    <w:rPr>
      <w:sz w:val="18"/>
      <w:szCs w:val="18"/>
    </w:rPr>
  </w:style>
  <w:style w:type="paragraph" w:styleId="a4">
    <w:name w:val="footer"/>
    <w:basedOn w:val="a"/>
    <w:link w:val="Char0"/>
    <w:uiPriority w:val="99"/>
    <w:unhideWhenUsed/>
    <w:rsid w:val="00092C75"/>
    <w:pPr>
      <w:tabs>
        <w:tab w:val="center" w:pos="4153"/>
        <w:tab w:val="right" w:pos="8306"/>
      </w:tabs>
      <w:snapToGrid w:val="0"/>
      <w:jc w:val="left"/>
    </w:pPr>
    <w:rPr>
      <w:sz w:val="18"/>
      <w:szCs w:val="18"/>
    </w:rPr>
  </w:style>
  <w:style w:type="character" w:customStyle="1" w:styleId="Char0">
    <w:name w:val="页脚 Char"/>
    <w:basedOn w:val="a0"/>
    <w:link w:val="a4"/>
    <w:uiPriority w:val="99"/>
    <w:rsid w:val="00092C75"/>
    <w:rPr>
      <w:sz w:val="18"/>
      <w:szCs w:val="18"/>
    </w:rPr>
  </w:style>
  <w:style w:type="paragraph" w:styleId="a5">
    <w:name w:val="Balloon Text"/>
    <w:basedOn w:val="a"/>
    <w:link w:val="Char1"/>
    <w:uiPriority w:val="99"/>
    <w:semiHidden/>
    <w:unhideWhenUsed/>
    <w:rsid w:val="00B532B4"/>
    <w:rPr>
      <w:sz w:val="18"/>
      <w:szCs w:val="18"/>
    </w:rPr>
  </w:style>
  <w:style w:type="character" w:customStyle="1" w:styleId="Char1">
    <w:name w:val="批注框文本 Char"/>
    <w:basedOn w:val="a0"/>
    <w:link w:val="a5"/>
    <w:uiPriority w:val="99"/>
    <w:semiHidden/>
    <w:rsid w:val="00B532B4"/>
    <w:rPr>
      <w:sz w:val="18"/>
      <w:szCs w:val="18"/>
    </w:rPr>
  </w:style>
  <w:style w:type="character" w:styleId="a6">
    <w:name w:val="annotation reference"/>
    <w:basedOn w:val="a0"/>
    <w:uiPriority w:val="99"/>
    <w:semiHidden/>
    <w:unhideWhenUsed/>
    <w:rsid w:val="00F84257"/>
    <w:rPr>
      <w:sz w:val="21"/>
      <w:szCs w:val="21"/>
    </w:rPr>
  </w:style>
  <w:style w:type="paragraph" w:styleId="a7">
    <w:name w:val="annotation text"/>
    <w:basedOn w:val="a"/>
    <w:link w:val="Char2"/>
    <w:uiPriority w:val="99"/>
    <w:semiHidden/>
    <w:unhideWhenUsed/>
    <w:rsid w:val="00F84257"/>
    <w:pPr>
      <w:jc w:val="left"/>
    </w:pPr>
  </w:style>
  <w:style w:type="character" w:customStyle="1" w:styleId="Char2">
    <w:name w:val="批注文字 Char"/>
    <w:basedOn w:val="a0"/>
    <w:link w:val="a7"/>
    <w:uiPriority w:val="99"/>
    <w:semiHidden/>
    <w:rsid w:val="00F84257"/>
  </w:style>
  <w:style w:type="paragraph" w:styleId="a8">
    <w:name w:val="annotation subject"/>
    <w:basedOn w:val="a7"/>
    <w:next w:val="a7"/>
    <w:link w:val="Char3"/>
    <w:uiPriority w:val="99"/>
    <w:semiHidden/>
    <w:unhideWhenUsed/>
    <w:rsid w:val="00F84257"/>
    <w:rPr>
      <w:b/>
      <w:bCs/>
    </w:rPr>
  </w:style>
  <w:style w:type="character" w:customStyle="1" w:styleId="Char3">
    <w:name w:val="批注主题 Char"/>
    <w:basedOn w:val="Char2"/>
    <w:link w:val="a8"/>
    <w:uiPriority w:val="99"/>
    <w:semiHidden/>
    <w:rsid w:val="00F8425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4</DocSecurity>
  <Lines>3</Lines>
  <Paragraphs>1</Paragraphs>
  <ScaleCrop>false</ScaleCrop>
  <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ZHONGM</cp:lastModifiedBy>
  <cp:revision>2</cp:revision>
  <dcterms:created xsi:type="dcterms:W3CDTF">2025-11-26T16:03:00Z</dcterms:created>
  <dcterms:modified xsi:type="dcterms:W3CDTF">2025-11-26T16:03:00Z</dcterms:modified>
</cp:coreProperties>
</file>