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51BF" w:rsidRDefault="00956869">
      <w:pPr>
        <w:spacing w:line="360" w:lineRule="auto"/>
        <w:jc w:val="center"/>
        <w:rPr>
          <w:rFonts w:ascii="Times New Roman" w:eastAsiaTheme="minorEastAsia" w:hAnsi="Times New Roman"/>
          <w:b/>
          <w:bCs/>
          <w:kern w:val="0"/>
          <w:sz w:val="28"/>
          <w:szCs w:val="28"/>
        </w:rPr>
      </w:pPr>
      <w:r>
        <w:rPr>
          <w:rFonts w:ascii="Times New Roman" w:eastAsiaTheme="minorEastAsia" w:hAnsi="Times New Roman"/>
          <w:b/>
          <w:bCs/>
          <w:kern w:val="0"/>
          <w:sz w:val="28"/>
          <w:szCs w:val="28"/>
        </w:rPr>
        <w:t>海富通基金管理有限公司关于旗下部分基金新增中国邮政储蓄银行股份有限公司邮你同赢同业合作平台为销售平台并参加其申购费率优惠活动的公告</w:t>
      </w:r>
    </w:p>
    <w:p w:rsidR="009951BF" w:rsidRDefault="009951BF">
      <w:pPr>
        <w:widowControl/>
        <w:spacing w:line="360" w:lineRule="auto"/>
        <w:jc w:val="center"/>
        <w:rPr>
          <w:rFonts w:ascii="Times New Roman" w:eastAsiaTheme="minorEastAsia" w:hAnsi="Times New Roman"/>
          <w:b/>
          <w:bCs/>
          <w:color w:val="014E9E"/>
          <w:kern w:val="0"/>
          <w:sz w:val="24"/>
          <w:szCs w:val="24"/>
        </w:rPr>
      </w:pPr>
    </w:p>
    <w:p w:rsidR="009951BF" w:rsidRDefault="00956869">
      <w:pPr>
        <w:spacing w:line="360" w:lineRule="auto"/>
        <w:rPr>
          <w:rFonts w:ascii="Times New Roman" w:eastAsiaTheme="minorEastAsia" w:hAnsi="Times New Roman"/>
          <w:kern w:val="0"/>
          <w:sz w:val="24"/>
          <w:szCs w:val="24"/>
        </w:rPr>
      </w:pPr>
      <w:r>
        <w:rPr>
          <w:rFonts w:ascii="Times New Roman" w:eastAsiaTheme="minorEastAsia" w:hAnsi="Times New Roman"/>
          <w:color w:val="333333"/>
          <w:kern w:val="0"/>
          <w:sz w:val="24"/>
          <w:szCs w:val="24"/>
        </w:rPr>
        <w:tab/>
      </w:r>
      <w:r>
        <w:rPr>
          <w:rFonts w:ascii="Times New Roman" w:hAnsi="Times New Roman"/>
          <w:sz w:val="24"/>
          <w:szCs w:val="24"/>
        </w:rPr>
        <w:t>根据海富通基金管理有限公司（以下简称</w:t>
      </w:r>
      <w:r>
        <w:rPr>
          <w:rFonts w:ascii="Times New Roman" w:hAnsi="Times New Roman"/>
          <w:sz w:val="24"/>
          <w:szCs w:val="24"/>
        </w:rPr>
        <w:t>“</w:t>
      </w:r>
      <w:r>
        <w:rPr>
          <w:rFonts w:ascii="Times New Roman" w:hAnsi="Times New Roman"/>
          <w:sz w:val="24"/>
          <w:szCs w:val="24"/>
        </w:rPr>
        <w:t>本公司</w:t>
      </w:r>
      <w:r>
        <w:rPr>
          <w:rFonts w:ascii="Times New Roman" w:hAnsi="Times New Roman"/>
          <w:sz w:val="24"/>
          <w:szCs w:val="24"/>
        </w:rPr>
        <w:t>”</w:t>
      </w:r>
      <w:r>
        <w:rPr>
          <w:rFonts w:ascii="Times New Roman" w:hAnsi="Times New Roman"/>
          <w:sz w:val="24"/>
          <w:szCs w:val="24"/>
        </w:rPr>
        <w:t>）与中国邮政储蓄银行股份有限公司签订的</w:t>
      </w:r>
      <w:r>
        <w:rPr>
          <w:rFonts w:ascii="Times New Roman" w:eastAsiaTheme="minorEastAsia" w:hAnsi="Times New Roman"/>
          <w:sz w:val="24"/>
          <w:szCs w:val="24"/>
        </w:rPr>
        <w:t>开放式证券投资基金</w:t>
      </w:r>
      <w:r>
        <w:rPr>
          <w:rFonts w:ascii="Times New Roman" w:hAnsi="Times New Roman"/>
          <w:sz w:val="24"/>
          <w:szCs w:val="24"/>
        </w:rPr>
        <w:t>销售协议，现增加中国邮政储蓄银行股份有限公司</w:t>
      </w:r>
      <w:r>
        <w:rPr>
          <w:rFonts w:ascii="Times New Roman" w:hAnsi="Times New Roman"/>
          <w:sz w:val="24"/>
          <w:szCs w:val="24"/>
        </w:rPr>
        <w:t>“</w:t>
      </w:r>
      <w:r>
        <w:rPr>
          <w:rFonts w:ascii="Times New Roman" w:hAnsi="Times New Roman"/>
          <w:sz w:val="24"/>
          <w:szCs w:val="24"/>
        </w:rPr>
        <w:t>邮你同赢</w:t>
      </w:r>
      <w:r>
        <w:rPr>
          <w:rFonts w:ascii="Times New Roman" w:hAnsi="Times New Roman"/>
          <w:sz w:val="24"/>
          <w:szCs w:val="24"/>
        </w:rPr>
        <w:t>”</w:t>
      </w:r>
      <w:r>
        <w:rPr>
          <w:rFonts w:ascii="Times New Roman" w:hAnsi="Times New Roman"/>
          <w:sz w:val="24"/>
          <w:szCs w:val="24"/>
        </w:rPr>
        <w:t>同业合作平台（以下简称</w:t>
      </w:r>
      <w:r>
        <w:rPr>
          <w:rFonts w:ascii="Times New Roman" w:hAnsi="Times New Roman"/>
          <w:sz w:val="24"/>
          <w:szCs w:val="24"/>
        </w:rPr>
        <w:t>“</w:t>
      </w:r>
      <w:r>
        <w:rPr>
          <w:rFonts w:ascii="Times New Roman" w:hAnsi="Times New Roman"/>
          <w:sz w:val="24"/>
          <w:szCs w:val="24"/>
        </w:rPr>
        <w:t>邮你同赢</w:t>
      </w:r>
      <w:r>
        <w:rPr>
          <w:rFonts w:ascii="Times New Roman" w:hAnsi="Times New Roman"/>
          <w:sz w:val="24"/>
          <w:szCs w:val="24"/>
        </w:rPr>
        <w:t>”</w:t>
      </w:r>
      <w:r>
        <w:rPr>
          <w:rFonts w:ascii="Times New Roman" w:hAnsi="Times New Roman"/>
          <w:sz w:val="24"/>
          <w:szCs w:val="24"/>
        </w:rPr>
        <w:t>同业合作平台）销售本公司旗下部分基金产品，并于</w:t>
      </w:r>
      <w:r>
        <w:rPr>
          <w:rFonts w:ascii="Times New Roman" w:hAnsi="Times New Roman"/>
          <w:sz w:val="24"/>
          <w:szCs w:val="24"/>
        </w:rPr>
        <w:t>2025</w:t>
      </w:r>
      <w:r>
        <w:rPr>
          <w:rFonts w:ascii="Times New Roman" w:hAnsi="Times New Roman"/>
          <w:sz w:val="24"/>
          <w:szCs w:val="24"/>
        </w:rPr>
        <w:t>年</w:t>
      </w:r>
      <w:r>
        <w:rPr>
          <w:rFonts w:ascii="Times New Roman" w:hAnsi="Times New Roman"/>
          <w:sz w:val="24"/>
          <w:szCs w:val="24"/>
        </w:rPr>
        <w:t>11</w:t>
      </w:r>
      <w:r>
        <w:rPr>
          <w:rFonts w:ascii="Times New Roman" w:hAnsi="Times New Roman"/>
          <w:sz w:val="24"/>
          <w:szCs w:val="24"/>
        </w:rPr>
        <w:t>月</w:t>
      </w:r>
      <w:r>
        <w:rPr>
          <w:rFonts w:ascii="Times New Roman" w:hAnsi="Times New Roman" w:hint="eastAsia"/>
          <w:sz w:val="24"/>
          <w:szCs w:val="24"/>
        </w:rPr>
        <w:t>28</w:t>
      </w:r>
      <w:r>
        <w:rPr>
          <w:rFonts w:ascii="Times New Roman" w:hAnsi="Times New Roman"/>
          <w:sz w:val="24"/>
          <w:szCs w:val="24"/>
        </w:rPr>
        <w:t>日起参加</w:t>
      </w:r>
      <w:r>
        <w:rPr>
          <w:rFonts w:ascii="Times New Roman" w:hAnsi="Times New Roman"/>
          <w:sz w:val="24"/>
          <w:szCs w:val="24"/>
        </w:rPr>
        <w:t>“</w:t>
      </w:r>
      <w:r>
        <w:rPr>
          <w:rFonts w:ascii="Times New Roman" w:hAnsi="Times New Roman"/>
          <w:sz w:val="24"/>
          <w:szCs w:val="24"/>
        </w:rPr>
        <w:t>邮你同赢</w:t>
      </w:r>
      <w:r>
        <w:rPr>
          <w:rFonts w:ascii="Times New Roman" w:hAnsi="Times New Roman"/>
          <w:sz w:val="24"/>
          <w:szCs w:val="24"/>
        </w:rPr>
        <w:t>”</w:t>
      </w:r>
      <w:r>
        <w:rPr>
          <w:rFonts w:ascii="Times New Roman" w:hAnsi="Times New Roman"/>
          <w:sz w:val="24"/>
          <w:szCs w:val="24"/>
        </w:rPr>
        <w:t>同业合作平台的申购费率优惠活动，</w:t>
      </w:r>
      <w:r>
        <w:rPr>
          <w:rFonts w:ascii="Times New Roman" w:eastAsiaTheme="minorEastAsia" w:hAnsi="Times New Roman"/>
          <w:kern w:val="0"/>
          <w:sz w:val="24"/>
          <w:szCs w:val="24"/>
        </w:rPr>
        <w:t>现将有关事项公告如下：</w:t>
      </w:r>
    </w:p>
    <w:p w:rsidR="009951BF" w:rsidRDefault="00956869">
      <w:pPr>
        <w:pStyle w:val="aa"/>
        <w:numPr>
          <w:ilvl w:val="0"/>
          <w:numId w:val="1"/>
        </w:numPr>
        <w:spacing w:line="360" w:lineRule="auto"/>
        <w:ind w:firstLineChars="0"/>
        <w:rPr>
          <w:rFonts w:ascii="Times New Roman" w:eastAsiaTheme="minorEastAsia" w:hAnsi="Times New Roman"/>
          <w:b/>
          <w:sz w:val="24"/>
          <w:szCs w:val="24"/>
        </w:rPr>
      </w:pPr>
      <w:r>
        <w:rPr>
          <w:rFonts w:ascii="Times New Roman" w:eastAsiaTheme="minorEastAsia" w:hAnsi="Times New Roman"/>
          <w:b/>
          <w:sz w:val="24"/>
          <w:szCs w:val="24"/>
        </w:rPr>
        <w:t>适用基金</w:t>
      </w:r>
    </w:p>
    <w:tbl>
      <w:tblPr>
        <w:tblW w:w="9209" w:type="dxa"/>
        <w:jc w:val="center"/>
        <w:tblLook w:val="04A0"/>
      </w:tblPr>
      <w:tblGrid>
        <w:gridCol w:w="1020"/>
        <w:gridCol w:w="2094"/>
        <w:gridCol w:w="6095"/>
      </w:tblGrid>
      <w:tr w:rsidR="009951BF">
        <w:trPr>
          <w:trHeight w:val="310"/>
          <w:jc w:val="center"/>
        </w:trPr>
        <w:tc>
          <w:tcPr>
            <w:tcW w:w="1020" w:type="dxa"/>
            <w:tcBorders>
              <w:top w:val="single" w:sz="4" w:space="0" w:color="auto"/>
              <w:left w:val="single" w:sz="4" w:space="0" w:color="auto"/>
              <w:bottom w:val="single" w:sz="4" w:space="0" w:color="auto"/>
              <w:right w:val="single" w:sz="4" w:space="0" w:color="auto"/>
            </w:tcBorders>
            <w:noWrap/>
            <w:vAlign w:val="center"/>
          </w:tcPr>
          <w:p w:rsidR="009951BF" w:rsidRDefault="00956869">
            <w:pPr>
              <w:widowControl/>
              <w:spacing w:line="360" w:lineRule="auto"/>
              <w:jc w:val="center"/>
              <w:rPr>
                <w:rFonts w:ascii="Times New Roman" w:eastAsiaTheme="minorEastAsia" w:hAnsi="Times New Roman"/>
                <w:b/>
                <w:bCs/>
                <w:kern w:val="0"/>
                <w:sz w:val="24"/>
                <w:szCs w:val="24"/>
              </w:rPr>
            </w:pPr>
            <w:r>
              <w:rPr>
                <w:rFonts w:ascii="Times New Roman" w:eastAsiaTheme="minorEastAsia" w:hAnsi="Times New Roman"/>
                <w:b/>
                <w:bCs/>
                <w:kern w:val="0"/>
                <w:sz w:val="24"/>
                <w:szCs w:val="24"/>
              </w:rPr>
              <w:t>序号</w:t>
            </w:r>
          </w:p>
        </w:tc>
        <w:tc>
          <w:tcPr>
            <w:tcW w:w="2094" w:type="dxa"/>
            <w:tcBorders>
              <w:top w:val="single" w:sz="4" w:space="0" w:color="auto"/>
              <w:left w:val="nil"/>
              <w:bottom w:val="single" w:sz="4" w:space="0" w:color="auto"/>
              <w:right w:val="single" w:sz="4" w:space="0" w:color="auto"/>
            </w:tcBorders>
            <w:noWrap/>
            <w:vAlign w:val="center"/>
          </w:tcPr>
          <w:p w:rsidR="009951BF" w:rsidRDefault="00956869">
            <w:pPr>
              <w:widowControl/>
              <w:spacing w:line="360" w:lineRule="auto"/>
              <w:jc w:val="center"/>
              <w:rPr>
                <w:rFonts w:ascii="Times New Roman" w:eastAsiaTheme="minorEastAsia" w:hAnsi="Times New Roman"/>
                <w:b/>
                <w:bCs/>
                <w:kern w:val="0"/>
                <w:sz w:val="24"/>
                <w:szCs w:val="24"/>
              </w:rPr>
            </w:pPr>
            <w:r>
              <w:rPr>
                <w:rFonts w:ascii="Times New Roman" w:eastAsiaTheme="minorEastAsia" w:hAnsi="Times New Roman"/>
                <w:b/>
                <w:bCs/>
                <w:kern w:val="0"/>
                <w:sz w:val="24"/>
                <w:szCs w:val="24"/>
              </w:rPr>
              <w:t>基金代码</w:t>
            </w:r>
          </w:p>
        </w:tc>
        <w:tc>
          <w:tcPr>
            <w:tcW w:w="6095" w:type="dxa"/>
            <w:tcBorders>
              <w:top w:val="single" w:sz="4" w:space="0" w:color="auto"/>
              <w:left w:val="nil"/>
              <w:bottom w:val="single" w:sz="4" w:space="0" w:color="auto"/>
              <w:right w:val="single" w:sz="4" w:space="0" w:color="auto"/>
            </w:tcBorders>
            <w:noWrap/>
            <w:vAlign w:val="center"/>
          </w:tcPr>
          <w:p w:rsidR="009951BF" w:rsidRDefault="00956869">
            <w:pPr>
              <w:widowControl/>
              <w:spacing w:line="360" w:lineRule="auto"/>
              <w:jc w:val="center"/>
              <w:rPr>
                <w:rFonts w:ascii="Times New Roman" w:eastAsiaTheme="minorEastAsia" w:hAnsi="Times New Roman"/>
                <w:b/>
                <w:bCs/>
                <w:kern w:val="0"/>
                <w:sz w:val="24"/>
                <w:szCs w:val="24"/>
              </w:rPr>
            </w:pPr>
            <w:r>
              <w:rPr>
                <w:rFonts w:ascii="Times New Roman" w:eastAsiaTheme="minorEastAsia" w:hAnsi="Times New Roman"/>
                <w:b/>
                <w:bCs/>
                <w:kern w:val="0"/>
                <w:sz w:val="24"/>
                <w:szCs w:val="24"/>
              </w:rPr>
              <w:t>基金名称</w:t>
            </w:r>
          </w:p>
        </w:tc>
      </w:tr>
      <w:tr w:rsidR="009951BF">
        <w:trPr>
          <w:trHeight w:val="310"/>
          <w:jc w:val="center"/>
        </w:trPr>
        <w:tc>
          <w:tcPr>
            <w:tcW w:w="1020" w:type="dxa"/>
            <w:vMerge w:val="restart"/>
            <w:tcBorders>
              <w:top w:val="nil"/>
              <w:left w:val="single" w:sz="4" w:space="0" w:color="auto"/>
              <w:bottom w:val="single" w:sz="4" w:space="0" w:color="auto"/>
              <w:right w:val="single" w:sz="4" w:space="0" w:color="auto"/>
            </w:tcBorders>
            <w:noWrap/>
            <w:vAlign w:val="center"/>
          </w:tcPr>
          <w:p w:rsidR="009951BF" w:rsidRDefault="00956869">
            <w:pPr>
              <w:widowControl/>
              <w:spacing w:line="360" w:lineRule="auto"/>
              <w:jc w:val="center"/>
              <w:rPr>
                <w:rFonts w:ascii="Times New Roman" w:eastAsiaTheme="minorEastAsia" w:hAnsi="Times New Roman"/>
                <w:kern w:val="0"/>
                <w:sz w:val="24"/>
                <w:szCs w:val="24"/>
              </w:rPr>
            </w:pPr>
            <w:r>
              <w:rPr>
                <w:rFonts w:ascii="Times New Roman" w:eastAsiaTheme="minorEastAsia" w:hAnsi="Times New Roman"/>
                <w:kern w:val="0"/>
                <w:sz w:val="24"/>
                <w:szCs w:val="24"/>
              </w:rPr>
              <w:t>1</w:t>
            </w:r>
          </w:p>
        </w:tc>
        <w:tc>
          <w:tcPr>
            <w:tcW w:w="2094" w:type="dxa"/>
            <w:tcBorders>
              <w:top w:val="nil"/>
              <w:left w:val="nil"/>
              <w:bottom w:val="single" w:sz="4" w:space="0" w:color="auto"/>
              <w:right w:val="single" w:sz="4" w:space="0" w:color="auto"/>
            </w:tcBorders>
            <w:noWrap/>
            <w:vAlign w:val="center"/>
          </w:tcPr>
          <w:p w:rsidR="009951BF" w:rsidRDefault="00956869">
            <w:pPr>
              <w:widowControl/>
              <w:spacing w:line="360" w:lineRule="auto"/>
              <w:jc w:val="center"/>
              <w:rPr>
                <w:rFonts w:ascii="Times New Roman" w:eastAsiaTheme="minorEastAsia" w:hAnsi="Times New Roman"/>
                <w:kern w:val="0"/>
                <w:sz w:val="24"/>
                <w:szCs w:val="24"/>
              </w:rPr>
            </w:pPr>
            <w:r>
              <w:rPr>
                <w:rFonts w:ascii="Times New Roman" w:eastAsiaTheme="minorEastAsia" w:hAnsi="Times New Roman"/>
                <w:kern w:val="0"/>
                <w:sz w:val="24"/>
                <w:szCs w:val="24"/>
              </w:rPr>
              <w:t>A</w:t>
            </w:r>
            <w:r>
              <w:rPr>
                <w:rFonts w:ascii="Times New Roman" w:eastAsiaTheme="minorEastAsia" w:hAnsi="Times New Roman"/>
                <w:kern w:val="0"/>
                <w:sz w:val="24"/>
                <w:szCs w:val="24"/>
              </w:rPr>
              <w:t>类：</w:t>
            </w:r>
            <w:r>
              <w:rPr>
                <w:rFonts w:ascii="Times New Roman" w:eastAsiaTheme="minorEastAsia" w:hAnsi="Times New Roman" w:hint="eastAsia"/>
                <w:kern w:val="0"/>
                <w:sz w:val="24"/>
                <w:szCs w:val="24"/>
              </w:rPr>
              <w:t>012410</w:t>
            </w:r>
          </w:p>
        </w:tc>
        <w:tc>
          <w:tcPr>
            <w:tcW w:w="6095" w:type="dxa"/>
            <w:vMerge w:val="restart"/>
            <w:tcBorders>
              <w:top w:val="nil"/>
              <w:left w:val="single" w:sz="4" w:space="0" w:color="auto"/>
              <w:bottom w:val="single" w:sz="4" w:space="0" w:color="auto"/>
              <w:right w:val="single" w:sz="4" w:space="0" w:color="auto"/>
            </w:tcBorders>
            <w:noWrap/>
            <w:vAlign w:val="center"/>
          </w:tcPr>
          <w:p w:rsidR="009951BF" w:rsidRDefault="00956869">
            <w:pPr>
              <w:spacing w:line="360" w:lineRule="auto"/>
              <w:jc w:val="left"/>
              <w:rPr>
                <w:rFonts w:ascii="Times New Roman" w:eastAsiaTheme="minorEastAsia" w:hAnsi="Times New Roman"/>
                <w:kern w:val="0"/>
                <w:sz w:val="24"/>
                <w:szCs w:val="24"/>
              </w:rPr>
            </w:pPr>
            <w:r>
              <w:rPr>
                <w:rFonts w:ascii="Times New Roman" w:eastAsiaTheme="minorEastAsia" w:hAnsi="Times New Roman" w:hint="eastAsia"/>
                <w:kern w:val="0"/>
                <w:sz w:val="24"/>
                <w:szCs w:val="24"/>
              </w:rPr>
              <w:t>海富通成长领航混合型证券投资基金</w:t>
            </w:r>
          </w:p>
        </w:tc>
      </w:tr>
      <w:tr w:rsidR="009951BF">
        <w:trPr>
          <w:trHeight w:val="310"/>
          <w:jc w:val="center"/>
        </w:trPr>
        <w:tc>
          <w:tcPr>
            <w:tcW w:w="1020" w:type="dxa"/>
            <w:vMerge/>
            <w:tcBorders>
              <w:top w:val="nil"/>
              <w:left w:val="single" w:sz="4" w:space="0" w:color="auto"/>
              <w:bottom w:val="single" w:sz="4" w:space="0" w:color="auto"/>
              <w:right w:val="single" w:sz="4" w:space="0" w:color="auto"/>
            </w:tcBorders>
            <w:vAlign w:val="center"/>
          </w:tcPr>
          <w:p w:rsidR="009951BF" w:rsidRDefault="009951BF">
            <w:pPr>
              <w:widowControl/>
              <w:spacing w:line="360" w:lineRule="auto"/>
              <w:jc w:val="left"/>
              <w:rPr>
                <w:rFonts w:ascii="Times New Roman" w:eastAsiaTheme="minorEastAsia" w:hAnsi="Times New Roman"/>
                <w:kern w:val="0"/>
                <w:sz w:val="24"/>
                <w:szCs w:val="24"/>
              </w:rPr>
            </w:pPr>
          </w:p>
        </w:tc>
        <w:tc>
          <w:tcPr>
            <w:tcW w:w="2094" w:type="dxa"/>
            <w:tcBorders>
              <w:top w:val="nil"/>
              <w:left w:val="nil"/>
              <w:bottom w:val="single" w:sz="4" w:space="0" w:color="auto"/>
              <w:right w:val="single" w:sz="4" w:space="0" w:color="auto"/>
            </w:tcBorders>
            <w:noWrap/>
            <w:vAlign w:val="center"/>
          </w:tcPr>
          <w:p w:rsidR="009951BF" w:rsidRDefault="00956869">
            <w:pPr>
              <w:widowControl/>
              <w:spacing w:line="360" w:lineRule="auto"/>
              <w:jc w:val="center"/>
              <w:rPr>
                <w:rFonts w:ascii="Times New Roman" w:eastAsiaTheme="minorEastAsia" w:hAnsi="Times New Roman"/>
                <w:kern w:val="0"/>
                <w:sz w:val="24"/>
                <w:szCs w:val="24"/>
              </w:rPr>
            </w:pPr>
            <w:r>
              <w:rPr>
                <w:rFonts w:ascii="Times New Roman" w:eastAsiaTheme="minorEastAsia" w:hAnsi="Times New Roman"/>
                <w:kern w:val="0"/>
                <w:sz w:val="24"/>
                <w:szCs w:val="24"/>
              </w:rPr>
              <w:t>C</w:t>
            </w:r>
            <w:r>
              <w:rPr>
                <w:rFonts w:ascii="Times New Roman" w:eastAsiaTheme="minorEastAsia" w:hAnsi="Times New Roman"/>
                <w:kern w:val="0"/>
                <w:sz w:val="24"/>
                <w:szCs w:val="24"/>
              </w:rPr>
              <w:t>类：</w:t>
            </w:r>
            <w:r>
              <w:rPr>
                <w:rFonts w:ascii="Times New Roman" w:eastAsiaTheme="minorEastAsia" w:hAnsi="Times New Roman" w:hint="eastAsia"/>
                <w:kern w:val="0"/>
                <w:sz w:val="24"/>
                <w:szCs w:val="24"/>
              </w:rPr>
              <w:t>012411</w:t>
            </w:r>
          </w:p>
        </w:tc>
        <w:tc>
          <w:tcPr>
            <w:tcW w:w="6095" w:type="dxa"/>
            <w:vMerge/>
            <w:tcBorders>
              <w:top w:val="nil"/>
              <w:left w:val="single" w:sz="4" w:space="0" w:color="auto"/>
              <w:bottom w:val="single" w:sz="4" w:space="0" w:color="auto"/>
              <w:right w:val="single" w:sz="4" w:space="0" w:color="auto"/>
            </w:tcBorders>
            <w:vAlign w:val="center"/>
          </w:tcPr>
          <w:p w:rsidR="009951BF" w:rsidRDefault="009951BF">
            <w:pPr>
              <w:widowControl/>
              <w:spacing w:line="360" w:lineRule="auto"/>
              <w:jc w:val="left"/>
              <w:rPr>
                <w:rFonts w:ascii="Times New Roman" w:eastAsiaTheme="minorEastAsia" w:hAnsi="Times New Roman"/>
                <w:kern w:val="0"/>
                <w:sz w:val="24"/>
                <w:szCs w:val="24"/>
              </w:rPr>
            </w:pPr>
          </w:p>
        </w:tc>
      </w:tr>
      <w:tr w:rsidR="009951BF">
        <w:trPr>
          <w:trHeight w:val="310"/>
          <w:jc w:val="center"/>
        </w:trPr>
        <w:tc>
          <w:tcPr>
            <w:tcW w:w="1020" w:type="dxa"/>
            <w:vMerge w:val="restart"/>
            <w:tcBorders>
              <w:top w:val="nil"/>
              <w:left w:val="single" w:sz="4" w:space="0" w:color="auto"/>
              <w:bottom w:val="single" w:sz="4" w:space="0" w:color="auto"/>
              <w:right w:val="single" w:sz="4" w:space="0" w:color="auto"/>
            </w:tcBorders>
            <w:noWrap/>
            <w:vAlign w:val="center"/>
          </w:tcPr>
          <w:p w:rsidR="009951BF" w:rsidRDefault="00956869">
            <w:pPr>
              <w:widowControl/>
              <w:spacing w:line="360" w:lineRule="auto"/>
              <w:jc w:val="center"/>
              <w:rPr>
                <w:rFonts w:ascii="Times New Roman" w:eastAsiaTheme="minorEastAsia" w:hAnsi="Times New Roman"/>
                <w:kern w:val="0"/>
                <w:sz w:val="24"/>
                <w:szCs w:val="24"/>
              </w:rPr>
            </w:pPr>
            <w:r>
              <w:rPr>
                <w:rFonts w:ascii="Times New Roman" w:eastAsiaTheme="minorEastAsia" w:hAnsi="Times New Roman"/>
                <w:kern w:val="0"/>
                <w:sz w:val="24"/>
                <w:szCs w:val="24"/>
              </w:rPr>
              <w:t>2</w:t>
            </w:r>
          </w:p>
        </w:tc>
        <w:tc>
          <w:tcPr>
            <w:tcW w:w="2094" w:type="dxa"/>
            <w:tcBorders>
              <w:top w:val="nil"/>
              <w:left w:val="nil"/>
              <w:bottom w:val="single" w:sz="4" w:space="0" w:color="auto"/>
              <w:right w:val="single" w:sz="4" w:space="0" w:color="auto"/>
            </w:tcBorders>
            <w:noWrap/>
            <w:vAlign w:val="center"/>
          </w:tcPr>
          <w:p w:rsidR="009951BF" w:rsidRDefault="00956869">
            <w:pPr>
              <w:widowControl/>
              <w:spacing w:line="360" w:lineRule="auto"/>
              <w:jc w:val="center"/>
              <w:rPr>
                <w:rFonts w:ascii="Times New Roman" w:eastAsiaTheme="minorEastAsia" w:hAnsi="Times New Roman"/>
                <w:kern w:val="0"/>
                <w:sz w:val="24"/>
                <w:szCs w:val="24"/>
              </w:rPr>
            </w:pPr>
            <w:r>
              <w:rPr>
                <w:rFonts w:ascii="Times New Roman" w:eastAsiaTheme="minorEastAsia" w:hAnsi="Times New Roman"/>
                <w:kern w:val="0"/>
                <w:sz w:val="24"/>
                <w:szCs w:val="24"/>
              </w:rPr>
              <w:t>A</w:t>
            </w:r>
            <w:r>
              <w:rPr>
                <w:rFonts w:ascii="Times New Roman" w:eastAsiaTheme="minorEastAsia" w:hAnsi="Times New Roman"/>
                <w:kern w:val="0"/>
                <w:sz w:val="24"/>
                <w:szCs w:val="24"/>
              </w:rPr>
              <w:t>类：</w:t>
            </w:r>
            <w:r>
              <w:rPr>
                <w:rFonts w:ascii="Times New Roman" w:eastAsiaTheme="minorEastAsia" w:hAnsi="Times New Roman" w:hint="eastAsia"/>
                <w:kern w:val="0"/>
                <w:sz w:val="24"/>
                <w:szCs w:val="24"/>
              </w:rPr>
              <w:t>010421</w:t>
            </w:r>
          </w:p>
        </w:tc>
        <w:tc>
          <w:tcPr>
            <w:tcW w:w="6095" w:type="dxa"/>
            <w:vMerge w:val="restart"/>
            <w:tcBorders>
              <w:top w:val="nil"/>
              <w:left w:val="single" w:sz="4" w:space="0" w:color="auto"/>
              <w:bottom w:val="single" w:sz="4" w:space="0" w:color="auto"/>
              <w:right w:val="single" w:sz="4" w:space="0" w:color="auto"/>
            </w:tcBorders>
            <w:noWrap/>
            <w:vAlign w:val="center"/>
          </w:tcPr>
          <w:p w:rsidR="009951BF" w:rsidRDefault="00956869">
            <w:pPr>
              <w:spacing w:line="360" w:lineRule="auto"/>
              <w:jc w:val="left"/>
              <w:rPr>
                <w:rFonts w:ascii="Times New Roman" w:eastAsiaTheme="minorEastAsia" w:hAnsi="Times New Roman"/>
                <w:kern w:val="0"/>
                <w:sz w:val="24"/>
                <w:szCs w:val="24"/>
              </w:rPr>
            </w:pPr>
            <w:r>
              <w:rPr>
                <w:rFonts w:ascii="Times New Roman" w:eastAsiaTheme="minorEastAsia" w:hAnsi="Times New Roman" w:hint="eastAsia"/>
                <w:kern w:val="0"/>
                <w:sz w:val="24"/>
                <w:szCs w:val="24"/>
              </w:rPr>
              <w:t>海富通消费优选混合型证券投资基金</w:t>
            </w:r>
          </w:p>
        </w:tc>
      </w:tr>
      <w:tr w:rsidR="009951BF">
        <w:trPr>
          <w:trHeight w:val="426"/>
          <w:jc w:val="center"/>
        </w:trPr>
        <w:tc>
          <w:tcPr>
            <w:tcW w:w="1020" w:type="dxa"/>
            <w:vMerge/>
            <w:tcBorders>
              <w:top w:val="nil"/>
              <w:left w:val="single" w:sz="4" w:space="0" w:color="auto"/>
              <w:bottom w:val="single" w:sz="4" w:space="0" w:color="auto"/>
              <w:right w:val="single" w:sz="4" w:space="0" w:color="auto"/>
            </w:tcBorders>
            <w:vAlign w:val="center"/>
          </w:tcPr>
          <w:p w:rsidR="009951BF" w:rsidRDefault="009951BF">
            <w:pPr>
              <w:widowControl/>
              <w:spacing w:line="360" w:lineRule="auto"/>
              <w:jc w:val="left"/>
              <w:rPr>
                <w:rFonts w:ascii="Times New Roman" w:eastAsiaTheme="minorEastAsia" w:hAnsi="Times New Roman"/>
                <w:kern w:val="0"/>
                <w:sz w:val="24"/>
                <w:szCs w:val="24"/>
              </w:rPr>
            </w:pPr>
          </w:p>
        </w:tc>
        <w:tc>
          <w:tcPr>
            <w:tcW w:w="2094" w:type="dxa"/>
            <w:tcBorders>
              <w:top w:val="nil"/>
              <w:left w:val="nil"/>
              <w:bottom w:val="single" w:sz="4" w:space="0" w:color="auto"/>
              <w:right w:val="single" w:sz="4" w:space="0" w:color="auto"/>
            </w:tcBorders>
            <w:noWrap/>
            <w:vAlign w:val="center"/>
          </w:tcPr>
          <w:p w:rsidR="009951BF" w:rsidRDefault="00956869">
            <w:pPr>
              <w:widowControl/>
              <w:spacing w:line="360" w:lineRule="auto"/>
              <w:jc w:val="center"/>
              <w:rPr>
                <w:rFonts w:ascii="Times New Roman" w:eastAsiaTheme="minorEastAsia" w:hAnsi="Times New Roman"/>
                <w:kern w:val="0"/>
                <w:sz w:val="24"/>
                <w:szCs w:val="24"/>
              </w:rPr>
            </w:pPr>
            <w:r>
              <w:rPr>
                <w:rFonts w:ascii="Times New Roman" w:eastAsiaTheme="minorEastAsia" w:hAnsi="Times New Roman"/>
                <w:kern w:val="0"/>
                <w:sz w:val="24"/>
                <w:szCs w:val="24"/>
              </w:rPr>
              <w:t>C</w:t>
            </w:r>
            <w:r>
              <w:rPr>
                <w:rFonts w:ascii="Times New Roman" w:eastAsiaTheme="minorEastAsia" w:hAnsi="Times New Roman"/>
                <w:kern w:val="0"/>
                <w:sz w:val="24"/>
                <w:szCs w:val="24"/>
              </w:rPr>
              <w:t>类：</w:t>
            </w:r>
            <w:r>
              <w:rPr>
                <w:rFonts w:ascii="Times New Roman" w:eastAsiaTheme="minorEastAsia" w:hAnsi="Times New Roman"/>
                <w:kern w:val="0"/>
                <w:sz w:val="24"/>
                <w:szCs w:val="24"/>
              </w:rPr>
              <w:t>01</w:t>
            </w:r>
            <w:r>
              <w:rPr>
                <w:rFonts w:ascii="Times New Roman" w:eastAsiaTheme="minorEastAsia" w:hAnsi="Times New Roman" w:hint="eastAsia"/>
                <w:kern w:val="0"/>
                <w:sz w:val="24"/>
                <w:szCs w:val="24"/>
              </w:rPr>
              <w:t>0422</w:t>
            </w:r>
          </w:p>
        </w:tc>
        <w:tc>
          <w:tcPr>
            <w:tcW w:w="6095" w:type="dxa"/>
            <w:vMerge/>
            <w:tcBorders>
              <w:top w:val="nil"/>
              <w:left w:val="single" w:sz="4" w:space="0" w:color="auto"/>
              <w:bottom w:val="single" w:sz="4" w:space="0" w:color="auto"/>
              <w:right w:val="single" w:sz="4" w:space="0" w:color="auto"/>
            </w:tcBorders>
            <w:vAlign w:val="center"/>
          </w:tcPr>
          <w:p w:rsidR="009951BF" w:rsidRDefault="009951BF">
            <w:pPr>
              <w:widowControl/>
              <w:spacing w:line="360" w:lineRule="auto"/>
              <w:jc w:val="left"/>
              <w:rPr>
                <w:rFonts w:ascii="Times New Roman" w:eastAsiaTheme="minorEastAsia" w:hAnsi="Times New Roman"/>
                <w:kern w:val="0"/>
                <w:sz w:val="24"/>
                <w:szCs w:val="24"/>
              </w:rPr>
            </w:pPr>
          </w:p>
        </w:tc>
      </w:tr>
      <w:tr w:rsidR="009951BF">
        <w:trPr>
          <w:trHeight w:val="310"/>
          <w:jc w:val="center"/>
        </w:trPr>
        <w:tc>
          <w:tcPr>
            <w:tcW w:w="1020" w:type="dxa"/>
            <w:vMerge w:val="restart"/>
            <w:tcBorders>
              <w:top w:val="single" w:sz="4" w:space="0" w:color="auto"/>
              <w:left w:val="single" w:sz="4" w:space="0" w:color="auto"/>
              <w:right w:val="single" w:sz="4" w:space="0" w:color="auto"/>
            </w:tcBorders>
            <w:vAlign w:val="center"/>
          </w:tcPr>
          <w:p w:rsidR="009951BF" w:rsidRDefault="00956869">
            <w:pPr>
              <w:widowControl/>
              <w:spacing w:line="360" w:lineRule="auto"/>
              <w:jc w:val="center"/>
              <w:rPr>
                <w:rFonts w:ascii="Times New Roman" w:eastAsiaTheme="minorEastAsia" w:hAnsi="Times New Roman"/>
                <w:kern w:val="0"/>
                <w:sz w:val="24"/>
                <w:szCs w:val="24"/>
              </w:rPr>
            </w:pPr>
            <w:r>
              <w:rPr>
                <w:rFonts w:ascii="Times New Roman" w:eastAsiaTheme="minorEastAsia" w:hAnsi="Times New Roman"/>
                <w:kern w:val="0"/>
                <w:sz w:val="24"/>
                <w:szCs w:val="24"/>
              </w:rPr>
              <w:t>3</w:t>
            </w:r>
          </w:p>
        </w:tc>
        <w:tc>
          <w:tcPr>
            <w:tcW w:w="2094" w:type="dxa"/>
            <w:tcBorders>
              <w:top w:val="single" w:sz="4" w:space="0" w:color="auto"/>
              <w:left w:val="nil"/>
              <w:bottom w:val="single" w:sz="4" w:space="0" w:color="auto"/>
              <w:right w:val="single" w:sz="4" w:space="0" w:color="auto"/>
            </w:tcBorders>
            <w:noWrap/>
            <w:vAlign w:val="center"/>
          </w:tcPr>
          <w:p w:rsidR="009951BF" w:rsidRDefault="00956869">
            <w:pPr>
              <w:widowControl/>
              <w:spacing w:line="360" w:lineRule="auto"/>
              <w:jc w:val="center"/>
              <w:rPr>
                <w:rFonts w:ascii="Times New Roman" w:eastAsiaTheme="minorEastAsia" w:hAnsi="Times New Roman"/>
                <w:kern w:val="0"/>
                <w:sz w:val="24"/>
                <w:szCs w:val="24"/>
              </w:rPr>
            </w:pPr>
            <w:r>
              <w:rPr>
                <w:rFonts w:ascii="Times New Roman" w:eastAsiaTheme="minorEastAsia" w:hAnsi="Times New Roman"/>
                <w:kern w:val="0"/>
                <w:sz w:val="24"/>
                <w:szCs w:val="24"/>
              </w:rPr>
              <w:t>A</w:t>
            </w:r>
            <w:r>
              <w:rPr>
                <w:rFonts w:ascii="Times New Roman" w:eastAsiaTheme="minorEastAsia" w:hAnsi="Times New Roman"/>
                <w:kern w:val="0"/>
                <w:sz w:val="24"/>
                <w:szCs w:val="24"/>
              </w:rPr>
              <w:t>类：</w:t>
            </w:r>
            <w:r>
              <w:rPr>
                <w:rFonts w:ascii="Times New Roman" w:eastAsiaTheme="minorEastAsia" w:hAnsi="Times New Roman"/>
                <w:kern w:val="0"/>
                <w:sz w:val="24"/>
                <w:szCs w:val="24"/>
              </w:rPr>
              <w:t>0</w:t>
            </w:r>
            <w:r>
              <w:rPr>
                <w:rFonts w:ascii="Times New Roman" w:eastAsiaTheme="minorEastAsia" w:hAnsi="Times New Roman" w:hint="eastAsia"/>
                <w:kern w:val="0"/>
                <w:sz w:val="24"/>
                <w:szCs w:val="24"/>
              </w:rPr>
              <w:t>06081</w:t>
            </w:r>
          </w:p>
        </w:tc>
        <w:tc>
          <w:tcPr>
            <w:tcW w:w="6095" w:type="dxa"/>
            <w:vMerge w:val="restart"/>
            <w:tcBorders>
              <w:top w:val="single" w:sz="4" w:space="0" w:color="auto"/>
              <w:left w:val="single" w:sz="4" w:space="0" w:color="auto"/>
              <w:right w:val="single" w:sz="4" w:space="0" w:color="auto"/>
            </w:tcBorders>
            <w:vAlign w:val="center"/>
          </w:tcPr>
          <w:p w:rsidR="009951BF" w:rsidRDefault="00956869">
            <w:pPr>
              <w:spacing w:line="360" w:lineRule="auto"/>
              <w:jc w:val="left"/>
              <w:rPr>
                <w:rFonts w:ascii="Times New Roman" w:eastAsiaTheme="minorEastAsia" w:hAnsi="Times New Roman"/>
                <w:kern w:val="0"/>
                <w:sz w:val="24"/>
                <w:szCs w:val="24"/>
              </w:rPr>
            </w:pPr>
            <w:r>
              <w:rPr>
                <w:rFonts w:ascii="Times New Roman" w:eastAsiaTheme="minorEastAsia" w:hAnsi="Times New Roman" w:hint="eastAsia"/>
                <w:kern w:val="0"/>
                <w:sz w:val="24"/>
                <w:szCs w:val="24"/>
              </w:rPr>
              <w:t>海富通电子信息传媒产业股票型证券投资基金</w:t>
            </w:r>
          </w:p>
        </w:tc>
      </w:tr>
      <w:tr w:rsidR="009951BF">
        <w:trPr>
          <w:trHeight w:val="310"/>
          <w:jc w:val="center"/>
        </w:trPr>
        <w:tc>
          <w:tcPr>
            <w:tcW w:w="1020" w:type="dxa"/>
            <w:vMerge/>
            <w:tcBorders>
              <w:left w:val="single" w:sz="4" w:space="0" w:color="auto"/>
              <w:bottom w:val="single" w:sz="4" w:space="0" w:color="auto"/>
              <w:right w:val="single" w:sz="4" w:space="0" w:color="auto"/>
            </w:tcBorders>
            <w:vAlign w:val="center"/>
          </w:tcPr>
          <w:p w:rsidR="009951BF" w:rsidRDefault="009951BF">
            <w:pPr>
              <w:widowControl/>
              <w:spacing w:line="360" w:lineRule="auto"/>
              <w:jc w:val="center"/>
              <w:rPr>
                <w:rFonts w:ascii="Times New Roman" w:eastAsiaTheme="minorEastAsia" w:hAnsi="Times New Roman"/>
                <w:kern w:val="0"/>
                <w:sz w:val="24"/>
                <w:szCs w:val="24"/>
              </w:rPr>
            </w:pPr>
          </w:p>
        </w:tc>
        <w:tc>
          <w:tcPr>
            <w:tcW w:w="2094" w:type="dxa"/>
            <w:tcBorders>
              <w:top w:val="single" w:sz="4" w:space="0" w:color="auto"/>
              <w:left w:val="nil"/>
              <w:bottom w:val="single" w:sz="4" w:space="0" w:color="auto"/>
              <w:right w:val="single" w:sz="4" w:space="0" w:color="auto"/>
            </w:tcBorders>
            <w:noWrap/>
            <w:vAlign w:val="center"/>
          </w:tcPr>
          <w:p w:rsidR="009951BF" w:rsidRDefault="00956869">
            <w:pPr>
              <w:widowControl/>
              <w:spacing w:line="360" w:lineRule="auto"/>
              <w:jc w:val="center"/>
              <w:rPr>
                <w:rFonts w:ascii="Times New Roman" w:eastAsiaTheme="minorEastAsia" w:hAnsi="Times New Roman"/>
                <w:kern w:val="0"/>
                <w:sz w:val="24"/>
                <w:szCs w:val="24"/>
              </w:rPr>
            </w:pPr>
            <w:r>
              <w:rPr>
                <w:rFonts w:ascii="Times New Roman" w:eastAsiaTheme="minorEastAsia" w:hAnsi="Times New Roman"/>
                <w:kern w:val="0"/>
                <w:sz w:val="24"/>
                <w:szCs w:val="24"/>
              </w:rPr>
              <w:t>C</w:t>
            </w:r>
            <w:r>
              <w:rPr>
                <w:rFonts w:ascii="Times New Roman" w:eastAsiaTheme="minorEastAsia" w:hAnsi="Times New Roman"/>
                <w:kern w:val="0"/>
                <w:sz w:val="24"/>
                <w:szCs w:val="24"/>
              </w:rPr>
              <w:t>类：</w:t>
            </w:r>
            <w:r>
              <w:rPr>
                <w:rFonts w:ascii="Times New Roman" w:eastAsiaTheme="minorEastAsia" w:hAnsi="Times New Roman"/>
                <w:kern w:val="0"/>
                <w:sz w:val="24"/>
                <w:szCs w:val="24"/>
              </w:rPr>
              <w:t>0</w:t>
            </w:r>
            <w:r>
              <w:rPr>
                <w:rFonts w:ascii="Times New Roman" w:eastAsiaTheme="minorEastAsia" w:hAnsi="Times New Roman" w:hint="eastAsia"/>
                <w:kern w:val="0"/>
                <w:sz w:val="24"/>
                <w:szCs w:val="24"/>
              </w:rPr>
              <w:t>0</w:t>
            </w:r>
            <w:r>
              <w:rPr>
                <w:rFonts w:ascii="Times New Roman" w:eastAsiaTheme="minorEastAsia" w:hAnsi="Times New Roman" w:hint="eastAsia"/>
                <w:kern w:val="0"/>
                <w:sz w:val="24"/>
                <w:szCs w:val="24"/>
              </w:rPr>
              <w:t>6080</w:t>
            </w:r>
          </w:p>
        </w:tc>
        <w:tc>
          <w:tcPr>
            <w:tcW w:w="6095" w:type="dxa"/>
            <w:vMerge/>
            <w:tcBorders>
              <w:left w:val="single" w:sz="4" w:space="0" w:color="auto"/>
              <w:bottom w:val="single" w:sz="4" w:space="0" w:color="auto"/>
              <w:right w:val="single" w:sz="4" w:space="0" w:color="auto"/>
            </w:tcBorders>
            <w:vAlign w:val="center"/>
          </w:tcPr>
          <w:p w:rsidR="009951BF" w:rsidRDefault="009951BF">
            <w:pPr>
              <w:widowControl/>
              <w:spacing w:line="360" w:lineRule="auto"/>
              <w:jc w:val="left"/>
              <w:rPr>
                <w:rFonts w:ascii="Times New Roman" w:eastAsiaTheme="minorEastAsia" w:hAnsi="Times New Roman"/>
                <w:kern w:val="0"/>
                <w:sz w:val="24"/>
                <w:szCs w:val="24"/>
              </w:rPr>
            </w:pPr>
          </w:p>
        </w:tc>
      </w:tr>
      <w:tr w:rsidR="009951BF">
        <w:trPr>
          <w:trHeight w:val="312"/>
          <w:jc w:val="center"/>
        </w:trPr>
        <w:tc>
          <w:tcPr>
            <w:tcW w:w="1020" w:type="dxa"/>
            <w:vMerge w:val="restart"/>
            <w:tcBorders>
              <w:top w:val="single" w:sz="4" w:space="0" w:color="auto"/>
              <w:left w:val="single" w:sz="4" w:space="0" w:color="auto"/>
              <w:right w:val="single" w:sz="4" w:space="0" w:color="auto"/>
            </w:tcBorders>
            <w:vAlign w:val="center"/>
          </w:tcPr>
          <w:p w:rsidR="009951BF" w:rsidRDefault="00956869">
            <w:pPr>
              <w:widowControl/>
              <w:spacing w:line="360" w:lineRule="auto"/>
              <w:jc w:val="center"/>
              <w:rPr>
                <w:rFonts w:ascii="Times New Roman" w:eastAsiaTheme="minorEastAsia" w:hAnsi="Times New Roman"/>
                <w:kern w:val="0"/>
                <w:sz w:val="24"/>
                <w:szCs w:val="24"/>
              </w:rPr>
            </w:pPr>
            <w:r>
              <w:rPr>
                <w:rFonts w:ascii="Times New Roman" w:eastAsiaTheme="minorEastAsia" w:hAnsi="Times New Roman"/>
                <w:kern w:val="0"/>
                <w:sz w:val="24"/>
                <w:szCs w:val="24"/>
              </w:rPr>
              <w:t>4</w:t>
            </w:r>
          </w:p>
        </w:tc>
        <w:tc>
          <w:tcPr>
            <w:tcW w:w="2094" w:type="dxa"/>
            <w:tcBorders>
              <w:top w:val="single" w:sz="4" w:space="0" w:color="auto"/>
              <w:left w:val="nil"/>
              <w:bottom w:val="single" w:sz="4" w:space="0" w:color="auto"/>
              <w:right w:val="single" w:sz="4" w:space="0" w:color="auto"/>
            </w:tcBorders>
            <w:noWrap/>
            <w:vAlign w:val="center"/>
          </w:tcPr>
          <w:p w:rsidR="009951BF" w:rsidRDefault="00956869">
            <w:pPr>
              <w:widowControl/>
              <w:spacing w:line="360" w:lineRule="auto"/>
              <w:jc w:val="center"/>
              <w:rPr>
                <w:rFonts w:ascii="Times New Roman" w:eastAsiaTheme="minorEastAsia" w:hAnsi="Times New Roman"/>
                <w:kern w:val="0"/>
                <w:sz w:val="24"/>
                <w:szCs w:val="24"/>
              </w:rPr>
            </w:pPr>
            <w:r>
              <w:rPr>
                <w:rFonts w:ascii="Times New Roman" w:eastAsiaTheme="minorEastAsia" w:hAnsi="Times New Roman" w:hint="eastAsia"/>
                <w:kern w:val="0"/>
                <w:sz w:val="24"/>
                <w:szCs w:val="24"/>
              </w:rPr>
              <w:t>A</w:t>
            </w:r>
            <w:r>
              <w:rPr>
                <w:rFonts w:ascii="Times New Roman" w:eastAsiaTheme="minorEastAsia" w:hAnsi="Times New Roman" w:hint="eastAsia"/>
                <w:kern w:val="0"/>
                <w:sz w:val="24"/>
                <w:szCs w:val="24"/>
              </w:rPr>
              <w:t>类：</w:t>
            </w:r>
            <w:r>
              <w:rPr>
                <w:rFonts w:ascii="Times New Roman" w:eastAsiaTheme="minorEastAsia" w:hAnsi="Times New Roman"/>
                <w:kern w:val="0"/>
                <w:sz w:val="24"/>
                <w:szCs w:val="24"/>
              </w:rPr>
              <w:t>0</w:t>
            </w:r>
            <w:r>
              <w:rPr>
                <w:rFonts w:ascii="Times New Roman" w:eastAsiaTheme="minorEastAsia" w:hAnsi="Times New Roman" w:hint="eastAsia"/>
                <w:kern w:val="0"/>
                <w:sz w:val="24"/>
                <w:szCs w:val="24"/>
              </w:rPr>
              <w:t>08085</w:t>
            </w:r>
          </w:p>
        </w:tc>
        <w:tc>
          <w:tcPr>
            <w:tcW w:w="6095" w:type="dxa"/>
            <w:vMerge w:val="restart"/>
            <w:tcBorders>
              <w:top w:val="single" w:sz="4" w:space="0" w:color="auto"/>
              <w:left w:val="single" w:sz="4" w:space="0" w:color="auto"/>
              <w:right w:val="single" w:sz="4" w:space="0" w:color="auto"/>
            </w:tcBorders>
            <w:vAlign w:val="center"/>
          </w:tcPr>
          <w:p w:rsidR="009951BF" w:rsidRDefault="00956869">
            <w:pPr>
              <w:spacing w:line="360" w:lineRule="auto"/>
              <w:jc w:val="left"/>
              <w:rPr>
                <w:rFonts w:ascii="Times New Roman" w:eastAsiaTheme="minorEastAsia" w:hAnsi="Times New Roman"/>
                <w:kern w:val="0"/>
                <w:sz w:val="24"/>
                <w:szCs w:val="24"/>
              </w:rPr>
            </w:pPr>
            <w:r>
              <w:rPr>
                <w:rFonts w:ascii="Times New Roman" w:eastAsiaTheme="minorEastAsia" w:hAnsi="Times New Roman" w:hint="eastAsia"/>
                <w:kern w:val="0"/>
                <w:sz w:val="24"/>
                <w:szCs w:val="24"/>
              </w:rPr>
              <w:t>海富通先进制造股票型证券投资基金</w:t>
            </w:r>
          </w:p>
        </w:tc>
      </w:tr>
      <w:tr w:rsidR="009951BF">
        <w:trPr>
          <w:trHeight w:val="312"/>
          <w:jc w:val="center"/>
        </w:trPr>
        <w:tc>
          <w:tcPr>
            <w:tcW w:w="1020" w:type="dxa"/>
            <w:vMerge/>
            <w:tcBorders>
              <w:left w:val="single" w:sz="4" w:space="0" w:color="auto"/>
              <w:bottom w:val="single" w:sz="4" w:space="0" w:color="auto"/>
              <w:right w:val="single" w:sz="4" w:space="0" w:color="auto"/>
            </w:tcBorders>
            <w:vAlign w:val="center"/>
          </w:tcPr>
          <w:p w:rsidR="009951BF" w:rsidRDefault="009951BF">
            <w:pPr>
              <w:widowControl/>
              <w:spacing w:line="360" w:lineRule="auto"/>
              <w:jc w:val="center"/>
              <w:rPr>
                <w:rFonts w:ascii="Times New Roman" w:eastAsiaTheme="minorEastAsia" w:hAnsi="Times New Roman"/>
                <w:kern w:val="0"/>
                <w:sz w:val="24"/>
                <w:szCs w:val="24"/>
              </w:rPr>
            </w:pPr>
          </w:p>
        </w:tc>
        <w:tc>
          <w:tcPr>
            <w:tcW w:w="2094" w:type="dxa"/>
            <w:tcBorders>
              <w:top w:val="single" w:sz="4" w:space="0" w:color="auto"/>
              <w:left w:val="nil"/>
              <w:bottom w:val="single" w:sz="4" w:space="0" w:color="auto"/>
              <w:right w:val="single" w:sz="4" w:space="0" w:color="auto"/>
            </w:tcBorders>
            <w:noWrap/>
            <w:vAlign w:val="center"/>
          </w:tcPr>
          <w:p w:rsidR="009951BF" w:rsidRDefault="00956869">
            <w:pPr>
              <w:widowControl/>
              <w:spacing w:line="360" w:lineRule="auto"/>
              <w:jc w:val="center"/>
              <w:rPr>
                <w:rFonts w:ascii="Times New Roman" w:eastAsiaTheme="minorEastAsia" w:hAnsi="Times New Roman"/>
                <w:kern w:val="0"/>
                <w:sz w:val="24"/>
                <w:szCs w:val="24"/>
              </w:rPr>
            </w:pPr>
            <w:r>
              <w:rPr>
                <w:rFonts w:ascii="Times New Roman" w:eastAsiaTheme="minorEastAsia" w:hAnsi="Times New Roman" w:hint="eastAsia"/>
                <w:kern w:val="0"/>
                <w:sz w:val="24"/>
                <w:szCs w:val="24"/>
              </w:rPr>
              <w:t>C</w:t>
            </w:r>
            <w:r>
              <w:rPr>
                <w:rFonts w:ascii="Times New Roman" w:eastAsiaTheme="minorEastAsia" w:hAnsi="Times New Roman" w:hint="eastAsia"/>
                <w:kern w:val="0"/>
                <w:sz w:val="24"/>
                <w:szCs w:val="24"/>
              </w:rPr>
              <w:t>类：</w:t>
            </w:r>
            <w:r>
              <w:rPr>
                <w:rFonts w:ascii="Times New Roman" w:eastAsiaTheme="minorEastAsia" w:hAnsi="Times New Roman"/>
                <w:kern w:val="0"/>
                <w:sz w:val="24"/>
                <w:szCs w:val="24"/>
              </w:rPr>
              <w:t>0</w:t>
            </w:r>
            <w:r>
              <w:rPr>
                <w:rFonts w:ascii="Times New Roman" w:eastAsiaTheme="minorEastAsia" w:hAnsi="Times New Roman" w:hint="eastAsia"/>
                <w:kern w:val="0"/>
                <w:sz w:val="24"/>
                <w:szCs w:val="24"/>
              </w:rPr>
              <w:t>08084</w:t>
            </w:r>
          </w:p>
        </w:tc>
        <w:tc>
          <w:tcPr>
            <w:tcW w:w="6095" w:type="dxa"/>
            <w:vMerge/>
            <w:tcBorders>
              <w:left w:val="single" w:sz="4" w:space="0" w:color="auto"/>
              <w:bottom w:val="single" w:sz="4" w:space="0" w:color="auto"/>
              <w:right w:val="single" w:sz="4" w:space="0" w:color="auto"/>
            </w:tcBorders>
            <w:vAlign w:val="center"/>
          </w:tcPr>
          <w:p w:rsidR="009951BF" w:rsidRDefault="009951BF">
            <w:pPr>
              <w:spacing w:line="360" w:lineRule="auto"/>
              <w:jc w:val="left"/>
              <w:rPr>
                <w:rFonts w:ascii="Times New Roman" w:eastAsiaTheme="minorEastAsia" w:hAnsi="Times New Roman"/>
                <w:kern w:val="0"/>
                <w:sz w:val="24"/>
                <w:szCs w:val="24"/>
              </w:rPr>
            </w:pPr>
          </w:p>
        </w:tc>
      </w:tr>
    </w:tbl>
    <w:p w:rsidR="009951BF" w:rsidRDefault="009951BF">
      <w:pPr>
        <w:spacing w:line="360" w:lineRule="auto"/>
        <w:ind w:firstLine="420"/>
        <w:rPr>
          <w:rFonts w:ascii="Times New Roman" w:eastAsiaTheme="minorEastAsia" w:hAnsi="Times New Roman"/>
          <w:b/>
          <w:sz w:val="24"/>
          <w:szCs w:val="24"/>
        </w:rPr>
      </w:pPr>
      <w:bookmarkStart w:id="0" w:name="_GoBack"/>
      <w:bookmarkEnd w:id="0"/>
    </w:p>
    <w:p w:rsidR="009951BF" w:rsidRDefault="00956869">
      <w:pPr>
        <w:spacing w:line="360" w:lineRule="auto"/>
        <w:ind w:firstLine="420"/>
        <w:rPr>
          <w:rFonts w:ascii="Times New Roman" w:eastAsiaTheme="minorEastAsia" w:hAnsi="Times New Roman"/>
          <w:b/>
          <w:sz w:val="24"/>
          <w:szCs w:val="24"/>
        </w:rPr>
      </w:pPr>
      <w:r>
        <w:rPr>
          <w:rFonts w:ascii="Times New Roman" w:eastAsiaTheme="minorEastAsia" w:hAnsi="Times New Roman"/>
          <w:b/>
          <w:sz w:val="24"/>
          <w:szCs w:val="24"/>
        </w:rPr>
        <w:t>二、业务开通时间</w:t>
      </w:r>
    </w:p>
    <w:p w:rsidR="009951BF" w:rsidRDefault="00956869">
      <w:pPr>
        <w:spacing w:line="360" w:lineRule="auto"/>
        <w:ind w:firstLine="420"/>
        <w:rPr>
          <w:rFonts w:ascii="Times New Roman" w:eastAsiaTheme="minorEastAsia" w:hAnsi="Times New Roman"/>
          <w:b/>
          <w:sz w:val="24"/>
          <w:szCs w:val="24"/>
        </w:rPr>
      </w:pPr>
      <w:r>
        <w:rPr>
          <w:rFonts w:ascii="Times New Roman" w:eastAsiaTheme="minorEastAsia" w:hAnsi="Times New Roman"/>
          <w:sz w:val="24"/>
          <w:szCs w:val="24"/>
        </w:rPr>
        <w:t>自</w:t>
      </w:r>
      <w:r>
        <w:rPr>
          <w:rFonts w:ascii="Times New Roman" w:eastAsiaTheme="minorEastAsia" w:hAnsi="Times New Roman"/>
          <w:sz w:val="24"/>
          <w:szCs w:val="24"/>
        </w:rPr>
        <w:t>2025</w:t>
      </w:r>
      <w:r>
        <w:rPr>
          <w:rFonts w:ascii="Times New Roman" w:eastAsiaTheme="minorEastAsia" w:hAnsi="Times New Roman"/>
          <w:sz w:val="24"/>
          <w:szCs w:val="24"/>
        </w:rPr>
        <w:t>年</w:t>
      </w:r>
      <w:r>
        <w:rPr>
          <w:rFonts w:ascii="Times New Roman" w:eastAsiaTheme="minorEastAsia" w:hAnsi="Times New Roman"/>
          <w:sz w:val="24"/>
          <w:szCs w:val="24"/>
        </w:rPr>
        <w:t>11</w:t>
      </w:r>
      <w:r>
        <w:rPr>
          <w:rFonts w:ascii="Times New Roman" w:eastAsiaTheme="minorEastAsia" w:hAnsi="Times New Roman"/>
          <w:sz w:val="24"/>
          <w:szCs w:val="24"/>
        </w:rPr>
        <w:t>月</w:t>
      </w:r>
      <w:r>
        <w:rPr>
          <w:rFonts w:ascii="Times New Roman" w:eastAsiaTheme="minorEastAsia" w:hAnsi="Times New Roman" w:hint="eastAsia"/>
          <w:sz w:val="24"/>
          <w:szCs w:val="24"/>
        </w:rPr>
        <w:t>28</w:t>
      </w:r>
      <w:r>
        <w:rPr>
          <w:rFonts w:ascii="Times New Roman" w:eastAsiaTheme="minorEastAsia" w:hAnsi="Times New Roman"/>
          <w:sz w:val="24"/>
          <w:szCs w:val="24"/>
        </w:rPr>
        <w:t>日起，投资者可在</w:t>
      </w:r>
      <w:r>
        <w:rPr>
          <w:rFonts w:ascii="Times New Roman" w:eastAsiaTheme="minorEastAsia" w:hAnsi="Times New Roman"/>
          <w:sz w:val="24"/>
          <w:szCs w:val="24"/>
        </w:rPr>
        <w:t>“</w:t>
      </w:r>
      <w:r>
        <w:rPr>
          <w:rFonts w:ascii="Times New Roman" w:eastAsiaTheme="minorEastAsia" w:hAnsi="Times New Roman"/>
          <w:sz w:val="24"/>
          <w:szCs w:val="24"/>
        </w:rPr>
        <w:t>邮你同赢</w:t>
      </w:r>
      <w:r>
        <w:rPr>
          <w:rFonts w:ascii="Times New Roman" w:eastAsiaTheme="minorEastAsia" w:hAnsi="Times New Roman"/>
          <w:sz w:val="24"/>
          <w:szCs w:val="24"/>
        </w:rPr>
        <w:t>”</w:t>
      </w:r>
      <w:r>
        <w:rPr>
          <w:rFonts w:ascii="Times New Roman" w:eastAsiaTheme="minorEastAsia" w:hAnsi="Times New Roman"/>
          <w:sz w:val="24"/>
          <w:szCs w:val="24"/>
        </w:rPr>
        <w:t>同业合作平台办理上述开放式基金的开户、申购、赎回等业务。具体的业务流程、办理方式和办理时间等以</w:t>
      </w:r>
      <w:r>
        <w:rPr>
          <w:rFonts w:ascii="Times New Roman" w:eastAsiaTheme="minorEastAsia" w:hAnsi="Times New Roman"/>
          <w:sz w:val="24"/>
          <w:szCs w:val="24"/>
        </w:rPr>
        <w:t>“</w:t>
      </w:r>
      <w:r>
        <w:rPr>
          <w:rFonts w:ascii="Times New Roman" w:eastAsiaTheme="minorEastAsia" w:hAnsi="Times New Roman"/>
          <w:sz w:val="24"/>
          <w:szCs w:val="24"/>
        </w:rPr>
        <w:t>邮你同赢</w:t>
      </w:r>
      <w:r>
        <w:rPr>
          <w:rFonts w:ascii="Times New Roman" w:eastAsiaTheme="minorEastAsia" w:hAnsi="Times New Roman"/>
          <w:sz w:val="24"/>
          <w:szCs w:val="24"/>
        </w:rPr>
        <w:t>”</w:t>
      </w:r>
      <w:r>
        <w:rPr>
          <w:rFonts w:ascii="Times New Roman" w:eastAsiaTheme="minorEastAsia" w:hAnsi="Times New Roman"/>
          <w:sz w:val="24"/>
          <w:szCs w:val="24"/>
        </w:rPr>
        <w:t>同业合作平台的规定为准。</w:t>
      </w:r>
    </w:p>
    <w:p w:rsidR="009951BF" w:rsidRDefault="00956869">
      <w:pPr>
        <w:spacing w:line="360" w:lineRule="auto"/>
        <w:ind w:firstLine="420"/>
        <w:rPr>
          <w:rFonts w:ascii="Times New Roman" w:eastAsiaTheme="minorEastAsia" w:hAnsi="Times New Roman"/>
          <w:b/>
          <w:sz w:val="24"/>
          <w:szCs w:val="24"/>
        </w:rPr>
      </w:pPr>
      <w:r>
        <w:rPr>
          <w:rFonts w:ascii="Times New Roman" w:eastAsiaTheme="minorEastAsia" w:hAnsi="Times New Roman"/>
          <w:b/>
          <w:sz w:val="24"/>
          <w:szCs w:val="24"/>
        </w:rPr>
        <w:t>三、适用投资者范围</w:t>
      </w:r>
    </w:p>
    <w:p w:rsidR="009951BF" w:rsidRDefault="00956869">
      <w:pPr>
        <w:spacing w:line="360" w:lineRule="auto"/>
        <w:ind w:firstLine="420"/>
        <w:rPr>
          <w:rFonts w:ascii="Times New Roman" w:eastAsiaTheme="minorEastAsia" w:hAnsi="Times New Roman"/>
          <w:sz w:val="24"/>
          <w:szCs w:val="24"/>
        </w:rPr>
      </w:pPr>
      <w:r>
        <w:rPr>
          <w:rFonts w:ascii="Times New Roman" w:eastAsiaTheme="minorEastAsia" w:hAnsi="Times New Roman"/>
          <w:sz w:val="24"/>
          <w:szCs w:val="24"/>
        </w:rPr>
        <w:t>符合法律法规及基金合同规定的投资者。</w:t>
      </w:r>
    </w:p>
    <w:p w:rsidR="009951BF" w:rsidRDefault="00956869">
      <w:pPr>
        <w:spacing w:line="360" w:lineRule="auto"/>
        <w:ind w:firstLine="420"/>
        <w:rPr>
          <w:rFonts w:ascii="Times New Roman" w:eastAsiaTheme="minorEastAsia" w:hAnsi="Times New Roman"/>
          <w:b/>
          <w:sz w:val="24"/>
          <w:szCs w:val="24"/>
        </w:rPr>
      </w:pPr>
      <w:r>
        <w:rPr>
          <w:rFonts w:ascii="Times New Roman" w:eastAsiaTheme="minorEastAsia" w:hAnsi="Times New Roman"/>
          <w:b/>
          <w:sz w:val="24"/>
          <w:szCs w:val="24"/>
        </w:rPr>
        <w:t>四、费率优惠活动</w:t>
      </w:r>
    </w:p>
    <w:p w:rsidR="009951BF" w:rsidRDefault="00956869">
      <w:pPr>
        <w:spacing w:line="360" w:lineRule="auto"/>
        <w:ind w:firstLine="420"/>
        <w:rPr>
          <w:rFonts w:ascii="Times New Roman" w:eastAsiaTheme="minorEastAsia" w:hAnsi="Times New Roman"/>
          <w:sz w:val="24"/>
          <w:szCs w:val="24"/>
        </w:rPr>
      </w:pPr>
      <w:r>
        <w:rPr>
          <w:rFonts w:ascii="Times New Roman" w:eastAsiaTheme="minorEastAsia" w:hAnsi="Times New Roman"/>
          <w:sz w:val="24"/>
          <w:szCs w:val="24"/>
        </w:rPr>
        <w:t>1</w:t>
      </w:r>
      <w:r>
        <w:rPr>
          <w:rFonts w:ascii="Times New Roman" w:eastAsiaTheme="minorEastAsia" w:hAnsi="Times New Roman"/>
          <w:sz w:val="24"/>
          <w:szCs w:val="24"/>
        </w:rPr>
        <w:t>、费率优惠内容</w:t>
      </w:r>
    </w:p>
    <w:p w:rsidR="009951BF" w:rsidRDefault="00956869">
      <w:pPr>
        <w:spacing w:line="360" w:lineRule="auto"/>
        <w:ind w:firstLine="420"/>
        <w:rPr>
          <w:rFonts w:ascii="Times New Roman" w:eastAsiaTheme="minorEastAsia" w:hAnsi="Times New Roman"/>
          <w:sz w:val="24"/>
          <w:szCs w:val="24"/>
        </w:rPr>
      </w:pPr>
      <w:r>
        <w:rPr>
          <w:rFonts w:ascii="Times New Roman" w:eastAsiaTheme="minorEastAsia" w:hAnsi="Times New Roman"/>
          <w:sz w:val="24"/>
          <w:szCs w:val="24"/>
        </w:rPr>
        <w:lastRenderedPageBreak/>
        <w:t>自</w:t>
      </w:r>
      <w:r>
        <w:rPr>
          <w:rFonts w:ascii="Times New Roman" w:eastAsiaTheme="minorEastAsia" w:hAnsi="Times New Roman"/>
          <w:sz w:val="24"/>
          <w:szCs w:val="24"/>
        </w:rPr>
        <w:t>2025</w:t>
      </w:r>
      <w:r>
        <w:rPr>
          <w:rFonts w:ascii="Times New Roman" w:eastAsiaTheme="minorEastAsia" w:hAnsi="Times New Roman"/>
          <w:sz w:val="24"/>
          <w:szCs w:val="24"/>
        </w:rPr>
        <w:t>年</w:t>
      </w:r>
      <w:r>
        <w:rPr>
          <w:rFonts w:ascii="Times New Roman" w:eastAsiaTheme="minorEastAsia" w:hAnsi="Times New Roman"/>
          <w:sz w:val="24"/>
          <w:szCs w:val="24"/>
        </w:rPr>
        <w:t>11</w:t>
      </w:r>
      <w:r>
        <w:rPr>
          <w:rFonts w:ascii="Times New Roman" w:eastAsiaTheme="minorEastAsia" w:hAnsi="Times New Roman"/>
          <w:sz w:val="24"/>
          <w:szCs w:val="24"/>
        </w:rPr>
        <w:t>月</w:t>
      </w:r>
      <w:r>
        <w:rPr>
          <w:rFonts w:ascii="Times New Roman" w:eastAsiaTheme="minorEastAsia" w:hAnsi="Times New Roman" w:hint="eastAsia"/>
          <w:sz w:val="24"/>
          <w:szCs w:val="24"/>
        </w:rPr>
        <w:t>28</w:t>
      </w:r>
      <w:r>
        <w:rPr>
          <w:rFonts w:ascii="Times New Roman" w:eastAsiaTheme="minorEastAsia" w:hAnsi="Times New Roman"/>
          <w:sz w:val="24"/>
          <w:szCs w:val="24"/>
        </w:rPr>
        <w:t>日起，投资者通过</w:t>
      </w:r>
      <w:r>
        <w:rPr>
          <w:rFonts w:ascii="Times New Roman" w:hAnsi="Times New Roman"/>
          <w:sz w:val="24"/>
          <w:szCs w:val="24"/>
        </w:rPr>
        <w:t>“</w:t>
      </w:r>
      <w:r>
        <w:rPr>
          <w:rFonts w:ascii="Times New Roman" w:hAnsi="Times New Roman"/>
          <w:sz w:val="24"/>
          <w:szCs w:val="24"/>
        </w:rPr>
        <w:t>邮你同赢</w:t>
      </w:r>
      <w:r>
        <w:rPr>
          <w:rFonts w:ascii="Times New Roman" w:hAnsi="Times New Roman"/>
          <w:sz w:val="24"/>
          <w:szCs w:val="24"/>
        </w:rPr>
        <w:t>”</w:t>
      </w:r>
      <w:r>
        <w:rPr>
          <w:rFonts w:ascii="Times New Roman" w:hAnsi="Times New Roman"/>
          <w:sz w:val="24"/>
          <w:szCs w:val="24"/>
        </w:rPr>
        <w:t>同业合作平台</w:t>
      </w:r>
      <w:r>
        <w:rPr>
          <w:rFonts w:ascii="Times New Roman" w:eastAsiaTheme="minorEastAsia" w:hAnsi="Times New Roman"/>
          <w:sz w:val="24"/>
          <w:szCs w:val="24"/>
        </w:rPr>
        <w:t>申购本公司上述开放式基金，在不违反法律法规和基金合同的相关要求下，申购（含定期定额申购业务）费率不设折扣限制</w:t>
      </w:r>
      <w:r>
        <w:rPr>
          <w:rFonts w:ascii="Times New Roman" w:eastAsiaTheme="minorEastAsia" w:hAnsi="Times New Roman"/>
          <w:sz w:val="24"/>
          <w:szCs w:val="24"/>
        </w:rPr>
        <w:t>(</w:t>
      </w:r>
      <w:r>
        <w:rPr>
          <w:rFonts w:ascii="Times New Roman" w:eastAsiaTheme="minorEastAsia" w:hAnsi="Times New Roman"/>
          <w:sz w:val="24"/>
          <w:szCs w:val="24"/>
        </w:rPr>
        <w:t>执行固定申购费用的除外</w:t>
      </w:r>
      <w:r>
        <w:rPr>
          <w:rFonts w:ascii="Times New Roman" w:eastAsiaTheme="minorEastAsia" w:hAnsi="Times New Roman"/>
          <w:sz w:val="24"/>
          <w:szCs w:val="24"/>
        </w:rPr>
        <w:t>)</w:t>
      </w:r>
      <w:r>
        <w:rPr>
          <w:rFonts w:ascii="Times New Roman" w:eastAsiaTheme="minorEastAsia" w:hAnsi="Times New Roman"/>
          <w:sz w:val="24"/>
          <w:szCs w:val="24"/>
        </w:rPr>
        <w:t>，具体折扣费率以</w:t>
      </w:r>
      <w:r>
        <w:rPr>
          <w:rFonts w:ascii="Times New Roman" w:hAnsi="Times New Roman"/>
          <w:sz w:val="24"/>
          <w:szCs w:val="24"/>
        </w:rPr>
        <w:t>销售平台</w:t>
      </w:r>
      <w:r>
        <w:rPr>
          <w:rFonts w:ascii="Times New Roman" w:eastAsiaTheme="minorEastAsia" w:hAnsi="Times New Roman"/>
          <w:kern w:val="0"/>
          <w:sz w:val="24"/>
          <w:szCs w:val="24"/>
        </w:rPr>
        <w:t>的</w:t>
      </w:r>
      <w:r>
        <w:rPr>
          <w:rFonts w:ascii="Times New Roman" w:eastAsiaTheme="minorEastAsia" w:hAnsi="Times New Roman"/>
          <w:sz w:val="24"/>
          <w:szCs w:val="24"/>
        </w:rPr>
        <w:t>活动为准。基金原费率请详见基金合同、</w:t>
      </w:r>
      <w:r>
        <w:rPr>
          <w:rFonts w:ascii="Times New Roman" w:eastAsiaTheme="minorEastAsia" w:hAnsi="Times New Roman"/>
          <w:sz w:val="24"/>
          <w:szCs w:val="24"/>
        </w:rPr>
        <w:t>招募说明书（更新）等法律文件，以及本公司发布的最新业务公告。</w:t>
      </w:r>
    </w:p>
    <w:p w:rsidR="009951BF" w:rsidRDefault="00956869">
      <w:pPr>
        <w:spacing w:line="360" w:lineRule="auto"/>
        <w:ind w:firstLine="420"/>
        <w:rPr>
          <w:rFonts w:ascii="Times New Roman" w:eastAsiaTheme="minorEastAsia" w:hAnsi="Times New Roman"/>
          <w:sz w:val="24"/>
          <w:szCs w:val="24"/>
        </w:rPr>
      </w:pPr>
      <w:r>
        <w:rPr>
          <w:rFonts w:ascii="Times New Roman" w:eastAsiaTheme="minorEastAsia" w:hAnsi="Times New Roman"/>
          <w:sz w:val="24"/>
          <w:szCs w:val="24"/>
        </w:rPr>
        <w:t>费率优惠期限内，如本公司新增通过</w:t>
      </w:r>
      <w:r>
        <w:rPr>
          <w:rFonts w:ascii="Times New Roman" w:eastAsiaTheme="minorEastAsia" w:hAnsi="Times New Roman"/>
          <w:sz w:val="24"/>
          <w:szCs w:val="24"/>
        </w:rPr>
        <w:t>“</w:t>
      </w:r>
      <w:r>
        <w:rPr>
          <w:rFonts w:ascii="Times New Roman" w:eastAsiaTheme="minorEastAsia" w:hAnsi="Times New Roman"/>
          <w:sz w:val="24"/>
          <w:szCs w:val="24"/>
        </w:rPr>
        <w:t>邮你同赢</w:t>
      </w:r>
      <w:r>
        <w:rPr>
          <w:rFonts w:ascii="Times New Roman" w:eastAsiaTheme="minorEastAsia" w:hAnsi="Times New Roman"/>
          <w:sz w:val="24"/>
          <w:szCs w:val="24"/>
        </w:rPr>
        <w:t>”</w:t>
      </w:r>
      <w:r>
        <w:rPr>
          <w:rFonts w:ascii="Times New Roman" w:eastAsiaTheme="minorEastAsia" w:hAnsi="Times New Roman"/>
          <w:sz w:val="24"/>
          <w:szCs w:val="24"/>
        </w:rPr>
        <w:t>同业合作平台销售的基金产品，其申购业务将同时享有上述费率优惠。</w:t>
      </w:r>
    </w:p>
    <w:p w:rsidR="009951BF" w:rsidRDefault="00956869">
      <w:pPr>
        <w:spacing w:line="360" w:lineRule="auto"/>
        <w:ind w:firstLine="420"/>
        <w:rPr>
          <w:rFonts w:ascii="Times New Roman" w:eastAsiaTheme="minorEastAsia" w:hAnsi="Times New Roman"/>
          <w:sz w:val="24"/>
          <w:szCs w:val="24"/>
        </w:rPr>
      </w:pPr>
      <w:r>
        <w:rPr>
          <w:rFonts w:ascii="Times New Roman" w:eastAsiaTheme="minorEastAsia" w:hAnsi="Times New Roman"/>
          <w:sz w:val="24"/>
          <w:szCs w:val="24"/>
        </w:rPr>
        <w:t>2</w:t>
      </w:r>
      <w:r>
        <w:rPr>
          <w:rFonts w:ascii="Times New Roman" w:eastAsiaTheme="minorEastAsia" w:hAnsi="Times New Roman"/>
          <w:sz w:val="24"/>
          <w:szCs w:val="24"/>
        </w:rPr>
        <w:t>、费率优惠期限</w:t>
      </w:r>
      <w:r>
        <w:rPr>
          <w:rFonts w:ascii="Times New Roman" w:eastAsiaTheme="minorEastAsia" w:hAnsi="Times New Roman"/>
          <w:sz w:val="24"/>
          <w:szCs w:val="24"/>
        </w:rPr>
        <w:t xml:space="preserve"> </w:t>
      </w:r>
    </w:p>
    <w:p w:rsidR="009951BF" w:rsidRDefault="00956869">
      <w:pPr>
        <w:spacing w:line="360" w:lineRule="auto"/>
        <w:ind w:firstLine="420"/>
        <w:rPr>
          <w:rFonts w:ascii="Times New Roman" w:eastAsiaTheme="minorEastAsia" w:hAnsi="Times New Roman"/>
          <w:sz w:val="24"/>
          <w:szCs w:val="24"/>
        </w:rPr>
      </w:pPr>
      <w:r>
        <w:rPr>
          <w:rFonts w:ascii="Times New Roman" w:eastAsiaTheme="minorEastAsia" w:hAnsi="Times New Roman"/>
          <w:sz w:val="24"/>
          <w:szCs w:val="24"/>
        </w:rPr>
        <w:t>以</w:t>
      </w:r>
      <w:r>
        <w:rPr>
          <w:rFonts w:ascii="Times New Roman" w:eastAsiaTheme="minorEastAsia" w:hAnsi="Times New Roman"/>
          <w:sz w:val="24"/>
          <w:szCs w:val="24"/>
        </w:rPr>
        <w:t>“</w:t>
      </w:r>
      <w:r>
        <w:rPr>
          <w:rFonts w:ascii="Times New Roman" w:eastAsiaTheme="minorEastAsia" w:hAnsi="Times New Roman"/>
          <w:sz w:val="24"/>
          <w:szCs w:val="24"/>
        </w:rPr>
        <w:t>邮你同赢</w:t>
      </w:r>
      <w:r>
        <w:rPr>
          <w:rFonts w:ascii="Times New Roman" w:eastAsiaTheme="minorEastAsia" w:hAnsi="Times New Roman"/>
          <w:sz w:val="24"/>
          <w:szCs w:val="24"/>
        </w:rPr>
        <w:t>”</w:t>
      </w:r>
      <w:r>
        <w:rPr>
          <w:rFonts w:ascii="Times New Roman" w:eastAsiaTheme="minorEastAsia" w:hAnsi="Times New Roman"/>
          <w:sz w:val="24"/>
          <w:szCs w:val="24"/>
        </w:rPr>
        <w:t>同业合作平台所示公告为准。</w:t>
      </w:r>
    </w:p>
    <w:p w:rsidR="009951BF" w:rsidRDefault="00956869">
      <w:pPr>
        <w:spacing w:line="360" w:lineRule="auto"/>
        <w:ind w:firstLine="420"/>
        <w:rPr>
          <w:rFonts w:ascii="Times New Roman" w:eastAsiaTheme="minorEastAsia" w:hAnsi="Times New Roman"/>
          <w:b/>
          <w:sz w:val="24"/>
          <w:szCs w:val="24"/>
        </w:rPr>
      </w:pPr>
      <w:r>
        <w:rPr>
          <w:rFonts w:ascii="Times New Roman" w:eastAsiaTheme="minorEastAsia" w:hAnsi="Times New Roman"/>
          <w:b/>
          <w:sz w:val="24"/>
          <w:szCs w:val="24"/>
        </w:rPr>
        <w:t>五、重要提示</w:t>
      </w:r>
    </w:p>
    <w:p w:rsidR="009951BF" w:rsidRDefault="00956869">
      <w:pPr>
        <w:spacing w:line="360" w:lineRule="auto"/>
        <w:ind w:firstLine="420"/>
        <w:rPr>
          <w:rFonts w:ascii="Times New Roman" w:eastAsiaTheme="minorEastAsia" w:hAnsi="Times New Roman"/>
          <w:sz w:val="24"/>
          <w:szCs w:val="24"/>
        </w:rPr>
      </w:pPr>
      <w:r>
        <w:rPr>
          <w:rFonts w:ascii="Times New Roman" w:eastAsiaTheme="minorEastAsia" w:hAnsi="Times New Roman"/>
          <w:sz w:val="24"/>
          <w:szCs w:val="24"/>
        </w:rPr>
        <w:t>1</w:t>
      </w:r>
      <w:r>
        <w:rPr>
          <w:rFonts w:ascii="Times New Roman" w:eastAsiaTheme="minorEastAsia" w:hAnsi="Times New Roman"/>
          <w:sz w:val="24"/>
          <w:szCs w:val="24"/>
        </w:rPr>
        <w:t>、投资者欲了解基金的详细信息，请仔细阅读上述开放式基金的基金合同、招募说明书、基金产品资料概要及相关法律文件。</w:t>
      </w:r>
    </w:p>
    <w:p w:rsidR="009951BF" w:rsidRDefault="00956869">
      <w:pPr>
        <w:spacing w:line="360" w:lineRule="auto"/>
        <w:ind w:firstLine="420"/>
        <w:rPr>
          <w:rFonts w:ascii="Times New Roman" w:eastAsiaTheme="minorEastAsia" w:hAnsi="Times New Roman"/>
          <w:sz w:val="24"/>
          <w:szCs w:val="24"/>
        </w:rPr>
      </w:pPr>
      <w:r>
        <w:rPr>
          <w:rFonts w:ascii="Times New Roman" w:eastAsiaTheme="minorEastAsia" w:hAnsi="Times New Roman"/>
          <w:sz w:val="24"/>
          <w:szCs w:val="24"/>
        </w:rPr>
        <w:t>2</w:t>
      </w:r>
      <w:r>
        <w:rPr>
          <w:rFonts w:ascii="Times New Roman" w:eastAsiaTheme="minorEastAsia" w:hAnsi="Times New Roman"/>
          <w:sz w:val="24"/>
          <w:szCs w:val="24"/>
        </w:rPr>
        <w:t>、本次费率优惠活动仅适用于本公司在</w:t>
      </w:r>
      <w:r>
        <w:rPr>
          <w:rFonts w:ascii="Times New Roman" w:eastAsiaTheme="minorEastAsia" w:hAnsi="Times New Roman"/>
          <w:sz w:val="24"/>
          <w:szCs w:val="24"/>
        </w:rPr>
        <w:t>“</w:t>
      </w:r>
      <w:r>
        <w:rPr>
          <w:rFonts w:ascii="Times New Roman" w:eastAsiaTheme="minorEastAsia" w:hAnsi="Times New Roman"/>
          <w:sz w:val="24"/>
          <w:szCs w:val="24"/>
        </w:rPr>
        <w:t>邮你同赢</w:t>
      </w:r>
      <w:r>
        <w:rPr>
          <w:rFonts w:ascii="Times New Roman" w:eastAsiaTheme="minorEastAsia" w:hAnsi="Times New Roman"/>
          <w:sz w:val="24"/>
          <w:szCs w:val="24"/>
        </w:rPr>
        <w:t>”</w:t>
      </w:r>
      <w:r>
        <w:rPr>
          <w:rFonts w:ascii="Times New Roman" w:eastAsiaTheme="minorEastAsia" w:hAnsi="Times New Roman"/>
          <w:sz w:val="24"/>
          <w:szCs w:val="24"/>
        </w:rPr>
        <w:t>同业合作平台处于正常申购期的基金产品的前端收费模式。</w:t>
      </w:r>
    </w:p>
    <w:p w:rsidR="009951BF" w:rsidRDefault="00956869">
      <w:pPr>
        <w:spacing w:line="360" w:lineRule="auto"/>
        <w:ind w:firstLine="420"/>
        <w:rPr>
          <w:rFonts w:ascii="Times New Roman" w:eastAsiaTheme="minorEastAsia" w:hAnsi="Times New Roman"/>
          <w:sz w:val="24"/>
          <w:szCs w:val="24"/>
        </w:rPr>
      </w:pPr>
      <w:r>
        <w:rPr>
          <w:rFonts w:ascii="Times New Roman" w:eastAsiaTheme="minorEastAsia" w:hAnsi="Times New Roman"/>
          <w:sz w:val="24"/>
          <w:szCs w:val="24"/>
        </w:rPr>
        <w:t>3</w:t>
      </w:r>
      <w:r>
        <w:rPr>
          <w:rFonts w:ascii="Times New Roman" w:eastAsiaTheme="minorEastAsia" w:hAnsi="Times New Roman"/>
          <w:sz w:val="24"/>
          <w:szCs w:val="24"/>
        </w:rPr>
        <w:t>、本优惠活动仅适用于本公司产品在</w:t>
      </w:r>
      <w:r>
        <w:rPr>
          <w:rFonts w:ascii="Times New Roman" w:eastAsiaTheme="minorEastAsia" w:hAnsi="Times New Roman"/>
          <w:sz w:val="24"/>
          <w:szCs w:val="24"/>
        </w:rPr>
        <w:t>“</w:t>
      </w:r>
      <w:r>
        <w:rPr>
          <w:rFonts w:ascii="Times New Roman" w:eastAsiaTheme="minorEastAsia" w:hAnsi="Times New Roman"/>
          <w:sz w:val="24"/>
          <w:szCs w:val="24"/>
        </w:rPr>
        <w:t>邮你同赢</w:t>
      </w:r>
      <w:r>
        <w:rPr>
          <w:rFonts w:ascii="Times New Roman" w:eastAsiaTheme="minorEastAsia" w:hAnsi="Times New Roman"/>
          <w:sz w:val="24"/>
          <w:szCs w:val="24"/>
        </w:rPr>
        <w:t>”</w:t>
      </w:r>
      <w:r>
        <w:rPr>
          <w:rFonts w:ascii="Times New Roman" w:eastAsiaTheme="minorEastAsia" w:hAnsi="Times New Roman"/>
          <w:sz w:val="24"/>
          <w:szCs w:val="24"/>
        </w:rPr>
        <w:t>同业合作平台申购业务的手续费（含定期定额申购业务手续费），不包括基金赎回等其他业务的手续费。</w:t>
      </w:r>
    </w:p>
    <w:p w:rsidR="009951BF" w:rsidRDefault="00956869">
      <w:pPr>
        <w:spacing w:line="360" w:lineRule="auto"/>
        <w:ind w:firstLine="420"/>
        <w:rPr>
          <w:rFonts w:ascii="Times New Roman" w:eastAsiaTheme="minorEastAsia" w:hAnsi="Times New Roman"/>
          <w:sz w:val="24"/>
          <w:szCs w:val="24"/>
        </w:rPr>
      </w:pPr>
      <w:r>
        <w:rPr>
          <w:rFonts w:ascii="Times New Roman" w:eastAsiaTheme="minorEastAsia" w:hAnsi="Times New Roman"/>
          <w:sz w:val="24"/>
          <w:szCs w:val="24"/>
        </w:rPr>
        <w:t>4</w:t>
      </w:r>
      <w:r>
        <w:rPr>
          <w:rFonts w:ascii="Times New Roman" w:eastAsiaTheme="minorEastAsia" w:hAnsi="Times New Roman"/>
          <w:sz w:val="24"/>
          <w:szCs w:val="24"/>
        </w:rPr>
        <w:t>、基金定投费率优惠活动参与基金产品需已在</w:t>
      </w:r>
      <w:r>
        <w:rPr>
          <w:rFonts w:ascii="Times New Roman" w:eastAsiaTheme="minorEastAsia" w:hAnsi="Times New Roman"/>
          <w:sz w:val="24"/>
          <w:szCs w:val="24"/>
        </w:rPr>
        <w:t>“</w:t>
      </w:r>
      <w:r>
        <w:rPr>
          <w:rFonts w:ascii="Times New Roman" w:eastAsiaTheme="minorEastAsia" w:hAnsi="Times New Roman"/>
          <w:sz w:val="24"/>
          <w:szCs w:val="24"/>
        </w:rPr>
        <w:t>邮你同赢</w:t>
      </w:r>
      <w:r>
        <w:rPr>
          <w:rFonts w:ascii="Times New Roman" w:eastAsiaTheme="minorEastAsia" w:hAnsi="Times New Roman"/>
          <w:sz w:val="24"/>
          <w:szCs w:val="24"/>
        </w:rPr>
        <w:t>”</w:t>
      </w:r>
      <w:r>
        <w:rPr>
          <w:rFonts w:ascii="Times New Roman" w:eastAsiaTheme="minorEastAsia" w:hAnsi="Times New Roman"/>
          <w:sz w:val="24"/>
          <w:szCs w:val="24"/>
        </w:rPr>
        <w:t>同业合作平台开通了基金定投业务。</w:t>
      </w:r>
    </w:p>
    <w:p w:rsidR="009951BF" w:rsidRDefault="00956869">
      <w:pPr>
        <w:spacing w:line="360" w:lineRule="auto"/>
        <w:ind w:firstLine="420"/>
        <w:rPr>
          <w:rFonts w:ascii="Times New Roman" w:eastAsiaTheme="minorEastAsia" w:hAnsi="Times New Roman"/>
          <w:sz w:val="24"/>
          <w:szCs w:val="24"/>
        </w:rPr>
      </w:pPr>
      <w:r>
        <w:rPr>
          <w:rFonts w:ascii="Times New Roman" w:eastAsiaTheme="minorEastAsia" w:hAnsi="Times New Roman"/>
          <w:sz w:val="24"/>
          <w:szCs w:val="24"/>
        </w:rPr>
        <w:t>5</w:t>
      </w:r>
      <w:r>
        <w:rPr>
          <w:rFonts w:ascii="Times New Roman" w:eastAsiaTheme="minorEastAsia" w:hAnsi="Times New Roman"/>
          <w:sz w:val="24"/>
          <w:szCs w:val="24"/>
        </w:rPr>
        <w:t>、费率优惠活动解释权归</w:t>
      </w:r>
      <w:r>
        <w:rPr>
          <w:rFonts w:ascii="Times New Roman" w:eastAsiaTheme="minorEastAsia" w:hAnsi="Times New Roman"/>
          <w:sz w:val="24"/>
          <w:szCs w:val="24"/>
        </w:rPr>
        <w:t>“</w:t>
      </w:r>
      <w:r>
        <w:rPr>
          <w:rFonts w:ascii="Times New Roman" w:eastAsiaTheme="minorEastAsia" w:hAnsi="Times New Roman"/>
          <w:sz w:val="24"/>
          <w:szCs w:val="24"/>
        </w:rPr>
        <w:t>邮你同赢</w:t>
      </w:r>
      <w:r>
        <w:rPr>
          <w:rFonts w:ascii="Times New Roman" w:eastAsiaTheme="minorEastAsia" w:hAnsi="Times New Roman"/>
          <w:sz w:val="24"/>
          <w:szCs w:val="24"/>
        </w:rPr>
        <w:t>”</w:t>
      </w:r>
      <w:r>
        <w:rPr>
          <w:rFonts w:ascii="Times New Roman" w:eastAsiaTheme="minorEastAsia" w:hAnsi="Times New Roman"/>
          <w:sz w:val="24"/>
          <w:szCs w:val="24"/>
        </w:rPr>
        <w:t>同业合作平台所有，有关优惠活动的具体规定如有变化，敬请投资者留意前述销售机构的有关公告。</w:t>
      </w:r>
    </w:p>
    <w:p w:rsidR="009951BF" w:rsidRDefault="00956869">
      <w:pPr>
        <w:spacing w:line="360" w:lineRule="auto"/>
        <w:ind w:firstLine="420"/>
        <w:rPr>
          <w:rFonts w:ascii="Times New Roman" w:eastAsiaTheme="minorEastAsia" w:hAnsi="Times New Roman"/>
          <w:sz w:val="24"/>
          <w:szCs w:val="24"/>
        </w:rPr>
      </w:pPr>
      <w:r>
        <w:rPr>
          <w:rFonts w:ascii="Times New Roman" w:eastAsiaTheme="minorEastAsia" w:hAnsi="Times New Roman" w:hint="eastAsia"/>
          <w:sz w:val="24"/>
          <w:szCs w:val="24"/>
        </w:rPr>
        <w:t>6</w:t>
      </w:r>
      <w:r>
        <w:rPr>
          <w:rFonts w:ascii="Times New Roman" w:eastAsiaTheme="minorEastAsia" w:hAnsi="Times New Roman"/>
          <w:sz w:val="24"/>
          <w:szCs w:val="24"/>
        </w:rPr>
        <w:t>、特别提示投资人关注上述基金产品的基金合同、招募说明书等法律文件及基金管理人的风险提示。</w:t>
      </w:r>
    </w:p>
    <w:p w:rsidR="009951BF" w:rsidRDefault="00956869">
      <w:pPr>
        <w:spacing w:line="360" w:lineRule="auto"/>
        <w:ind w:firstLine="420"/>
        <w:rPr>
          <w:rFonts w:ascii="Times New Roman" w:eastAsiaTheme="minorEastAsia" w:hAnsi="Times New Roman"/>
          <w:b/>
          <w:sz w:val="24"/>
          <w:szCs w:val="24"/>
        </w:rPr>
      </w:pPr>
      <w:r>
        <w:rPr>
          <w:rFonts w:ascii="Times New Roman" w:eastAsiaTheme="minorEastAsia" w:hAnsi="Times New Roman"/>
          <w:b/>
          <w:sz w:val="24"/>
          <w:szCs w:val="24"/>
        </w:rPr>
        <w:t>六、投资者可通过以下途径咨询有关详情：</w:t>
      </w:r>
    </w:p>
    <w:p w:rsidR="009951BF" w:rsidRDefault="00956869">
      <w:pPr>
        <w:spacing w:line="360" w:lineRule="auto"/>
        <w:ind w:firstLine="420"/>
        <w:rPr>
          <w:rFonts w:ascii="Times New Roman" w:eastAsiaTheme="minorEastAsia" w:hAnsi="Times New Roman"/>
          <w:sz w:val="24"/>
          <w:szCs w:val="24"/>
        </w:rPr>
      </w:pPr>
      <w:r>
        <w:rPr>
          <w:rFonts w:ascii="Times New Roman" w:eastAsiaTheme="minorEastAsia" w:hAnsi="Times New Roman"/>
          <w:sz w:val="24"/>
          <w:szCs w:val="24"/>
        </w:rPr>
        <w:t>1</w:t>
      </w:r>
      <w:r>
        <w:rPr>
          <w:rFonts w:ascii="Times New Roman" w:eastAsiaTheme="minorEastAsia" w:hAnsi="Times New Roman"/>
          <w:sz w:val="24"/>
          <w:szCs w:val="24"/>
        </w:rPr>
        <w:t>、中国邮政储蓄银行股份有</w:t>
      </w:r>
      <w:r>
        <w:rPr>
          <w:rFonts w:ascii="Times New Roman" w:eastAsiaTheme="minorEastAsia" w:hAnsi="Times New Roman"/>
          <w:sz w:val="24"/>
          <w:szCs w:val="24"/>
        </w:rPr>
        <w:t>限公司</w:t>
      </w:r>
      <w:r>
        <w:rPr>
          <w:rFonts w:ascii="Times New Roman" w:eastAsiaTheme="minorEastAsia" w:hAnsi="Times New Roman"/>
          <w:sz w:val="24"/>
          <w:szCs w:val="24"/>
        </w:rPr>
        <w:t>“</w:t>
      </w:r>
      <w:r>
        <w:rPr>
          <w:rFonts w:ascii="Times New Roman" w:eastAsiaTheme="minorEastAsia" w:hAnsi="Times New Roman"/>
          <w:sz w:val="24"/>
          <w:szCs w:val="24"/>
        </w:rPr>
        <w:t>邮你同赢</w:t>
      </w:r>
      <w:r>
        <w:rPr>
          <w:rFonts w:ascii="Times New Roman" w:eastAsiaTheme="minorEastAsia" w:hAnsi="Times New Roman"/>
          <w:sz w:val="24"/>
          <w:szCs w:val="24"/>
        </w:rPr>
        <w:t>”</w:t>
      </w:r>
      <w:r>
        <w:rPr>
          <w:rFonts w:ascii="Times New Roman" w:eastAsiaTheme="minorEastAsia" w:hAnsi="Times New Roman"/>
          <w:sz w:val="24"/>
          <w:szCs w:val="24"/>
        </w:rPr>
        <w:t>同业合作平台</w:t>
      </w:r>
      <w:r>
        <w:rPr>
          <w:rFonts w:ascii="Times New Roman" w:eastAsiaTheme="minorEastAsia" w:hAnsi="Times New Roman"/>
          <w:sz w:val="24"/>
          <w:szCs w:val="24"/>
        </w:rPr>
        <w:t xml:space="preserve"> </w:t>
      </w:r>
    </w:p>
    <w:p w:rsidR="009951BF" w:rsidRDefault="00956869">
      <w:pPr>
        <w:spacing w:line="360" w:lineRule="auto"/>
        <w:ind w:firstLine="420"/>
        <w:rPr>
          <w:rFonts w:ascii="Times New Roman" w:eastAsiaTheme="minorEastAsia" w:hAnsi="Times New Roman"/>
          <w:sz w:val="24"/>
          <w:szCs w:val="24"/>
        </w:rPr>
      </w:pPr>
      <w:r>
        <w:rPr>
          <w:rFonts w:ascii="Times New Roman" w:eastAsiaTheme="minorEastAsia" w:hAnsi="Times New Roman"/>
          <w:sz w:val="24"/>
          <w:szCs w:val="24"/>
        </w:rPr>
        <w:t>网址：</w:t>
      </w:r>
      <w:r>
        <w:rPr>
          <w:rFonts w:ascii="Times New Roman" w:eastAsiaTheme="minorEastAsia" w:hAnsi="Times New Roman"/>
          <w:sz w:val="24"/>
          <w:szCs w:val="24"/>
        </w:rPr>
        <w:t>https://ynty.psbc.com</w:t>
      </w:r>
    </w:p>
    <w:p w:rsidR="009951BF" w:rsidRDefault="00956869">
      <w:pPr>
        <w:spacing w:line="360" w:lineRule="auto"/>
        <w:ind w:firstLine="420"/>
        <w:rPr>
          <w:rFonts w:ascii="Times New Roman" w:eastAsiaTheme="minorEastAsia" w:hAnsi="Times New Roman"/>
          <w:sz w:val="24"/>
          <w:szCs w:val="24"/>
        </w:rPr>
      </w:pPr>
      <w:r>
        <w:rPr>
          <w:rFonts w:ascii="Times New Roman" w:eastAsiaTheme="minorEastAsia" w:hAnsi="Times New Roman"/>
          <w:sz w:val="24"/>
          <w:szCs w:val="24"/>
        </w:rPr>
        <w:t>客户服务电话：</w:t>
      </w:r>
      <w:r>
        <w:rPr>
          <w:rFonts w:ascii="Times New Roman" w:eastAsiaTheme="minorEastAsia" w:hAnsi="Times New Roman"/>
          <w:sz w:val="24"/>
          <w:szCs w:val="24"/>
        </w:rPr>
        <w:t xml:space="preserve">95580 </w:t>
      </w:r>
    </w:p>
    <w:p w:rsidR="009951BF" w:rsidRDefault="00956869">
      <w:pPr>
        <w:spacing w:line="360" w:lineRule="auto"/>
        <w:ind w:firstLine="420"/>
        <w:rPr>
          <w:rFonts w:ascii="Times New Roman" w:eastAsiaTheme="minorEastAsia" w:hAnsi="Times New Roman"/>
          <w:sz w:val="24"/>
          <w:szCs w:val="24"/>
        </w:rPr>
      </w:pPr>
      <w:r>
        <w:rPr>
          <w:rFonts w:ascii="Times New Roman" w:eastAsiaTheme="minorEastAsia" w:hAnsi="Times New Roman"/>
          <w:sz w:val="24"/>
          <w:szCs w:val="24"/>
        </w:rPr>
        <w:t>2</w:t>
      </w:r>
      <w:r>
        <w:rPr>
          <w:rFonts w:ascii="Times New Roman" w:eastAsiaTheme="minorEastAsia" w:hAnsi="Times New Roman"/>
          <w:sz w:val="24"/>
          <w:szCs w:val="24"/>
        </w:rPr>
        <w:t>、海富通基金管理有限公司</w:t>
      </w:r>
    </w:p>
    <w:p w:rsidR="009951BF" w:rsidRDefault="00956869">
      <w:pPr>
        <w:spacing w:line="360" w:lineRule="auto"/>
        <w:ind w:firstLine="420"/>
        <w:rPr>
          <w:rFonts w:ascii="Times New Roman" w:eastAsiaTheme="minorEastAsia" w:hAnsi="Times New Roman"/>
          <w:sz w:val="24"/>
          <w:szCs w:val="24"/>
        </w:rPr>
      </w:pPr>
      <w:r>
        <w:rPr>
          <w:rFonts w:ascii="Times New Roman" w:eastAsiaTheme="minorEastAsia" w:hAnsi="Times New Roman"/>
          <w:sz w:val="24"/>
          <w:szCs w:val="24"/>
        </w:rPr>
        <w:t>网站：</w:t>
      </w:r>
      <w:r>
        <w:rPr>
          <w:rFonts w:ascii="Times New Roman" w:eastAsiaTheme="minorEastAsia" w:hAnsi="Times New Roman"/>
          <w:sz w:val="24"/>
          <w:szCs w:val="24"/>
        </w:rPr>
        <w:t>www.hftfund.com</w:t>
      </w:r>
    </w:p>
    <w:p w:rsidR="009951BF" w:rsidRDefault="00956869">
      <w:pPr>
        <w:spacing w:line="360" w:lineRule="auto"/>
        <w:ind w:firstLine="420"/>
        <w:rPr>
          <w:rFonts w:ascii="Times New Roman" w:eastAsiaTheme="minorEastAsia" w:hAnsi="Times New Roman"/>
          <w:sz w:val="24"/>
          <w:szCs w:val="24"/>
        </w:rPr>
      </w:pPr>
      <w:r>
        <w:rPr>
          <w:rFonts w:ascii="Times New Roman" w:eastAsiaTheme="minorEastAsia" w:hAnsi="Times New Roman"/>
          <w:sz w:val="24"/>
          <w:szCs w:val="24"/>
        </w:rPr>
        <w:t>客户服务电话：</w:t>
      </w:r>
      <w:r>
        <w:rPr>
          <w:rFonts w:ascii="Times New Roman" w:eastAsiaTheme="minorEastAsia" w:hAnsi="Times New Roman"/>
          <w:sz w:val="24"/>
          <w:szCs w:val="24"/>
        </w:rPr>
        <w:t>40088-40099</w:t>
      </w:r>
      <w:r>
        <w:rPr>
          <w:rFonts w:ascii="Times New Roman" w:eastAsiaTheme="minorEastAsia" w:hAnsi="Times New Roman"/>
          <w:sz w:val="24"/>
          <w:szCs w:val="24"/>
        </w:rPr>
        <w:t>（免长途话费）</w:t>
      </w:r>
    </w:p>
    <w:p w:rsidR="009951BF" w:rsidRDefault="00956869">
      <w:pPr>
        <w:spacing w:line="360" w:lineRule="auto"/>
        <w:ind w:firstLine="420"/>
        <w:rPr>
          <w:rFonts w:ascii="Times New Roman" w:eastAsiaTheme="minorEastAsia" w:hAnsi="Times New Roman"/>
          <w:sz w:val="24"/>
          <w:szCs w:val="24"/>
        </w:rPr>
      </w:pPr>
      <w:r>
        <w:rPr>
          <w:rFonts w:ascii="Times New Roman" w:eastAsiaTheme="minorEastAsia" w:hAnsi="Times New Roman"/>
          <w:sz w:val="24"/>
          <w:szCs w:val="24"/>
        </w:rPr>
        <w:lastRenderedPageBreak/>
        <w:t>官方微信服务号：</w:t>
      </w:r>
      <w:r>
        <w:rPr>
          <w:rFonts w:ascii="Times New Roman" w:eastAsiaTheme="minorEastAsia" w:hAnsi="Times New Roman"/>
          <w:sz w:val="24"/>
          <w:szCs w:val="24"/>
        </w:rPr>
        <w:t>fund_hft</w:t>
      </w:r>
    </w:p>
    <w:p w:rsidR="009951BF" w:rsidRDefault="009951BF">
      <w:pPr>
        <w:spacing w:line="360" w:lineRule="auto"/>
        <w:ind w:firstLine="420"/>
        <w:rPr>
          <w:rFonts w:ascii="Times New Roman" w:eastAsiaTheme="minorEastAsia" w:hAnsi="Times New Roman"/>
          <w:sz w:val="24"/>
          <w:szCs w:val="24"/>
        </w:rPr>
      </w:pPr>
    </w:p>
    <w:p w:rsidR="009951BF" w:rsidRDefault="00956869">
      <w:pPr>
        <w:spacing w:line="360" w:lineRule="auto"/>
        <w:ind w:firstLine="420"/>
        <w:rPr>
          <w:rFonts w:ascii="Times New Roman" w:eastAsiaTheme="minorEastAsia" w:hAnsi="Times New Roman"/>
          <w:sz w:val="24"/>
          <w:szCs w:val="24"/>
        </w:rPr>
      </w:pPr>
      <w:r>
        <w:rPr>
          <w:rFonts w:ascii="Times New Roman" w:eastAsiaTheme="minorEastAsia" w:hAnsi="Times New Roman"/>
          <w:sz w:val="24"/>
          <w:szCs w:val="24"/>
        </w:rPr>
        <w:t>本公告的解释权归海富通基金管理有限公司。</w:t>
      </w:r>
    </w:p>
    <w:p w:rsidR="009951BF" w:rsidRDefault="009951BF">
      <w:pPr>
        <w:spacing w:line="360" w:lineRule="auto"/>
        <w:ind w:firstLine="420"/>
        <w:rPr>
          <w:rFonts w:ascii="Times New Roman" w:eastAsiaTheme="minorEastAsia" w:hAnsi="Times New Roman"/>
          <w:sz w:val="24"/>
          <w:szCs w:val="24"/>
        </w:rPr>
      </w:pPr>
    </w:p>
    <w:p w:rsidR="009951BF" w:rsidRDefault="00956869">
      <w:pPr>
        <w:spacing w:line="360" w:lineRule="auto"/>
        <w:ind w:firstLine="420"/>
        <w:rPr>
          <w:rFonts w:ascii="Times New Roman" w:eastAsiaTheme="minorEastAsia" w:hAnsi="Times New Roman"/>
          <w:sz w:val="24"/>
          <w:szCs w:val="24"/>
        </w:rPr>
      </w:pPr>
      <w:r>
        <w:rPr>
          <w:rFonts w:ascii="Times New Roman" w:eastAsiaTheme="minorEastAsia" w:hAnsi="Times New Roman"/>
          <w:sz w:val="24"/>
          <w:szCs w:val="24"/>
        </w:rPr>
        <w:t>风险提示：基金管理人承诺以诚实信用、勤勉尽责的原则管理和运用基金资产，但不保证基金一定盈利，也不保证最低收益。基金的过往业绩及其净值高低并不预示其未来业绩表现。基金管理人提醒投资者基金投资的</w:t>
      </w:r>
      <w:r>
        <w:rPr>
          <w:rFonts w:ascii="Times New Roman" w:eastAsiaTheme="minorEastAsia" w:hAnsi="Times New Roman"/>
          <w:sz w:val="24"/>
          <w:szCs w:val="24"/>
        </w:rPr>
        <w:t>“</w:t>
      </w:r>
      <w:r>
        <w:rPr>
          <w:rFonts w:ascii="Times New Roman" w:eastAsiaTheme="minorEastAsia" w:hAnsi="Times New Roman"/>
          <w:sz w:val="24"/>
          <w:szCs w:val="24"/>
        </w:rPr>
        <w:t>买者自负</w:t>
      </w:r>
      <w:r>
        <w:rPr>
          <w:rFonts w:ascii="Times New Roman" w:eastAsiaTheme="minorEastAsia" w:hAnsi="Times New Roman"/>
          <w:sz w:val="24"/>
          <w:szCs w:val="24"/>
        </w:rPr>
        <w:t>”</w:t>
      </w:r>
      <w:r>
        <w:rPr>
          <w:rFonts w:ascii="Times New Roman" w:eastAsiaTheme="minorEastAsia" w:hAnsi="Times New Roman"/>
          <w:sz w:val="24"/>
          <w:szCs w:val="24"/>
        </w:rPr>
        <w:t>原则，在做出投资决策后，基金运营状况与基金净值变化引致的投资风险，由投资者自行负责。投资者在投资基金之前，请仔细阅读基金的基金合同、招募说明书、基金产品资料概要等法律文件，全面认识基金的风险收益特征和产品特性，充分考虑自身的风险承受能力，在了解产品情况、听取销售机构适当性匹配意见的基础上，理性判断市场，谨慎做出投资决策。</w:t>
      </w:r>
    </w:p>
    <w:p w:rsidR="009951BF" w:rsidRDefault="009951BF">
      <w:pPr>
        <w:spacing w:line="360" w:lineRule="auto"/>
        <w:ind w:firstLine="420"/>
        <w:rPr>
          <w:rFonts w:ascii="Times New Roman" w:eastAsiaTheme="minorEastAsia" w:hAnsi="Times New Roman"/>
          <w:sz w:val="24"/>
          <w:szCs w:val="24"/>
        </w:rPr>
      </w:pPr>
    </w:p>
    <w:p w:rsidR="009951BF" w:rsidRDefault="00956869">
      <w:pPr>
        <w:spacing w:line="360" w:lineRule="auto"/>
        <w:ind w:firstLine="420"/>
        <w:rPr>
          <w:rFonts w:ascii="Times New Roman" w:eastAsiaTheme="minorEastAsia" w:hAnsi="Times New Roman"/>
          <w:sz w:val="24"/>
          <w:szCs w:val="24"/>
        </w:rPr>
      </w:pPr>
      <w:r>
        <w:rPr>
          <w:rFonts w:ascii="Times New Roman" w:eastAsiaTheme="minorEastAsia" w:hAnsi="Times New Roman"/>
          <w:sz w:val="24"/>
          <w:szCs w:val="24"/>
        </w:rPr>
        <w:t>特此公告。</w:t>
      </w:r>
    </w:p>
    <w:p w:rsidR="009951BF" w:rsidRDefault="009951BF">
      <w:pPr>
        <w:widowControl/>
        <w:spacing w:line="360" w:lineRule="auto"/>
        <w:ind w:right="960"/>
        <w:rPr>
          <w:rFonts w:ascii="Times New Roman" w:eastAsiaTheme="minorEastAsia" w:hAnsi="Times New Roman"/>
          <w:color w:val="333333"/>
          <w:kern w:val="0"/>
          <w:sz w:val="24"/>
          <w:szCs w:val="24"/>
        </w:rPr>
      </w:pPr>
    </w:p>
    <w:p w:rsidR="009951BF" w:rsidRDefault="00956869">
      <w:pPr>
        <w:widowControl/>
        <w:spacing w:line="360" w:lineRule="auto"/>
        <w:jc w:val="right"/>
        <w:rPr>
          <w:rFonts w:ascii="Times New Roman" w:eastAsiaTheme="minorEastAsia" w:hAnsi="Times New Roman"/>
          <w:sz w:val="24"/>
          <w:szCs w:val="24"/>
        </w:rPr>
      </w:pPr>
      <w:r>
        <w:rPr>
          <w:rFonts w:ascii="Times New Roman" w:eastAsiaTheme="minorEastAsia" w:hAnsi="Times New Roman"/>
          <w:color w:val="333333"/>
          <w:kern w:val="0"/>
          <w:sz w:val="24"/>
          <w:szCs w:val="24"/>
        </w:rPr>
        <w:t>    </w:t>
      </w:r>
      <w:r>
        <w:rPr>
          <w:rFonts w:ascii="Times New Roman" w:eastAsiaTheme="minorEastAsia" w:hAnsi="Times New Roman"/>
          <w:kern w:val="0"/>
          <w:sz w:val="24"/>
          <w:szCs w:val="24"/>
        </w:rPr>
        <w:t>海</w:t>
      </w:r>
      <w:r>
        <w:rPr>
          <w:rFonts w:ascii="Times New Roman" w:eastAsiaTheme="minorEastAsia" w:hAnsi="Times New Roman"/>
          <w:sz w:val="24"/>
          <w:szCs w:val="24"/>
        </w:rPr>
        <w:t>富通基金管理有限公</w:t>
      </w:r>
      <w:r>
        <w:rPr>
          <w:rFonts w:ascii="Times New Roman" w:eastAsiaTheme="minorEastAsia" w:hAnsi="Times New Roman"/>
          <w:kern w:val="0"/>
          <w:sz w:val="24"/>
          <w:szCs w:val="24"/>
        </w:rPr>
        <w:t>司</w:t>
      </w:r>
      <w:r>
        <w:rPr>
          <w:rFonts w:ascii="Times New Roman" w:eastAsiaTheme="minorEastAsia" w:hAnsi="Times New Roman"/>
          <w:kern w:val="0"/>
          <w:sz w:val="24"/>
          <w:szCs w:val="24"/>
        </w:rPr>
        <w:t xml:space="preserve"> </w:t>
      </w:r>
      <w:r>
        <w:rPr>
          <w:rFonts w:ascii="Times New Roman" w:eastAsiaTheme="minorEastAsia" w:hAnsi="Times New Roman"/>
          <w:kern w:val="0"/>
          <w:sz w:val="24"/>
          <w:szCs w:val="24"/>
        </w:rPr>
        <w:br/>
        <w:t>    2025</w:t>
      </w:r>
      <w:r>
        <w:rPr>
          <w:rFonts w:ascii="Times New Roman" w:eastAsiaTheme="minorEastAsia" w:hAnsi="Times New Roman"/>
          <w:kern w:val="0"/>
          <w:sz w:val="24"/>
          <w:szCs w:val="24"/>
        </w:rPr>
        <w:t>年</w:t>
      </w:r>
      <w:r>
        <w:rPr>
          <w:rFonts w:ascii="Times New Roman" w:eastAsiaTheme="minorEastAsia" w:hAnsi="Times New Roman"/>
          <w:kern w:val="0"/>
          <w:sz w:val="24"/>
          <w:szCs w:val="24"/>
        </w:rPr>
        <w:t>11</w:t>
      </w:r>
      <w:r>
        <w:rPr>
          <w:rFonts w:ascii="Times New Roman" w:eastAsiaTheme="minorEastAsia" w:hAnsi="Times New Roman"/>
          <w:kern w:val="0"/>
          <w:sz w:val="24"/>
          <w:szCs w:val="24"/>
        </w:rPr>
        <w:t>月</w:t>
      </w:r>
      <w:r>
        <w:rPr>
          <w:rFonts w:ascii="Times New Roman" w:eastAsiaTheme="minorEastAsia" w:hAnsi="Times New Roman" w:hint="eastAsia"/>
          <w:kern w:val="0"/>
          <w:sz w:val="24"/>
          <w:szCs w:val="24"/>
        </w:rPr>
        <w:t>27</w:t>
      </w:r>
      <w:r>
        <w:rPr>
          <w:rFonts w:ascii="Times New Roman" w:eastAsiaTheme="minorEastAsia" w:hAnsi="Times New Roman"/>
          <w:kern w:val="0"/>
          <w:sz w:val="24"/>
          <w:szCs w:val="24"/>
        </w:rPr>
        <w:t>日</w:t>
      </w:r>
    </w:p>
    <w:p w:rsidR="009951BF" w:rsidRDefault="009951BF">
      <w:pPr>
        <w:spacing w:line="360" w:lineRule="auto"/>
        <w:rPr>
          <w:rFonts w:ascii="Times New Roman" w:eastAsiaTheme="minorEastAsia" w:hAnsi="Times New Roman"/>
          <w:sz w:val="24"/>
          <w:szCs w:val="24"/>
        </w:rPr>
      </w:pPr>
    </w:p>
    <w:sectPr w:rsidR="009951BF" w:rsidSect="009951BF">
      <w:pgSz w:w="11906" w:h="16838"/>
      <w:pgMar w:top="1440" w:right="1416"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Calibri Light">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2D430A"/>
    <w:multiLevelType w:val="multilevel"/>
    <w:tmpl w:val="222D430A"/>
    <w:lvl w:ilvl="0">
      <w:start w:val="1"/>
      <w:numFmt w:val="japaneseCounting"/>
      <w:lvlText w:val="%1、"/>
      <w:lvlJc w:val="left"/>
      <w:pPr>
        <w:ind w:left="800" w:hanging="38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
  <w:rsids>
    <w:rsidRoot w:val="00A86218"/>
    <w:rsid w:val="000532C6"/>
    <w:rsid w:val="00077E74"/>
    <w:rsid w:val="000A377F"/>
    <w:rsid w:val="000B40C3"/>
    <w:rsid w:val="000C2B6E"/>
    <w:rsid w:val="000F406E"/>
    <w:rsid w:val="000F40E2"/>
    <w:rsid w:val="00115369"/>
    <w:rsid w:val="00123A32"/>
    <w:rsid w:val="001901F0"/>
    <w:rsid w:val="001A2F6B"/>
    <w:rsid w:val="001D15E6"/>
    <w:rsid w:val="001D4F4E"/>
    <w:rsid w:val="002135FB"/>
    <w:rsid w:val="00243E9F"/>
    <w:rsid w:val="00253884"/>
    <w:rsid w:val="00255253"/>
    <w:rsid w:val="00274A7C"/>
    <w:rsid w:val="00280CB2"/>
    <w:rsid w:val="002846B4"/>
    <w:rsid w:val="002A6E57"/>
    <w:rsid w:val="002B4973"/>
    <w:rsid w:val="002C1797"/>
    <w:rsid w:val="002C1967"/>
    <w:rsid w:val="002D30D3"/>
    <w:rsid w:val="00327B91"/>
    <w:rsid w:val="00341F38"/>
    <w:rsid w:val="0035183E"/>
    <w:rsid w:val="003614B1"/>
    <w:rsid w:val="003618B0"/>
    <w:rsid w:val="00363267"/>
    <w:rsid w:val="0036777F"/>
    <w:rsid w:val="003A2A35"/>
    <w:rsid w:val="003B5994"/>
    <w:rsid w:val="003B5C3D"/>
    <w:rsid w:val="003B6029"/>
    <w:rsid w:val="003C4EB0"/>
    <w:rsid w:val="00404109"/>
    <w:rsid w:val="00415C25"/>
    <w:rsid w:val="00444C2A"/>
    <w:rsid w:val="00445C82"/>
    <w:rsid w:val="00451982"/>
    <w:rsid w:val="00456236"/>
    <w:rsid w:val="004761FC"/>
    <w:rsid w:val="00485A5C"/>
    <w:rsid w:val="00492E37"/>
    <w:rsid w:val="00496DAC"/>
    <w:rsid w:val="004B2D3D"/>
    <w:rsid w:val="004B7CCB"/>
    <w:rsid w:val="004D508D"/>
    <w:rsid w:val="004F1D28"/>
    <w:rsid w:val="004F2837"/>
    <w:rsid w:val="005566F6"/>
    <w:rsid w:val="005750D4"/>
    <w:rsid w:val="00582957"/>
    <w:rsid w:val="00597CE0"/>
    <w:rsid w:val="005B5149"/>
    <w:rsid w:val="005B5566"/>
    <w:rsid w:val="005B5AE3"/>
    <w:rsid w:val="005B6057"/>
    <w:rsid w:val="005F605C"/>
    <w:rsid w:val="0061763F"/>
    <w:rsid w:val="00632703"/>
    <w:rsid w:val="00640072"/>
    <w:rsid w:val="0064500F"/>
    <w:rsid w:val="00662B36"/>
    <w:rsid w:val="006931F1"/>
    <w:rsid w:val="006A3ADA"/>
    <w:rsid w:val="006E2EA3"/>
    <w:rsid w:val="00716E83"/>
    <w:rsid w:val="00717767"/>
    <w:rsid w:val="00725C22"/>
    <w:rsid w:val="00740F41"/>
    <w:rsid w:val="0075394A"/>
    <w:rsid w:val="00761893"/>
    <w:rsid w:val="007A65BB"/>
    <w:rsid w:val="007E7DB2"/>
    <w:rsid w:val="007F7D08"/>
    <w:rsid w:val="0080077A"/>
    <w:rsid w:val="0080344B"/>
    <w:rsid w:val="0080724A"/>
    <w:rsid w:val="00835526"/>
    <w:rsid w:val="008C123F"/>
    <w:rsid w:val="008D3889"/>
    <w:rsid w:val="008E04C7"/>
    <w:rsid w:val="008E4E15"/>
    <w:rsid w:val="00907F22"/>
    <w:rsid w:val="009144FB"/>
    <w:rsid w:val="0093288F"/>
    <w:rsid w:val="00953FBE"/>
    <w:rsid w:val="00956869"/>
    <w:rsid w:val="00975C6B"/>
    <w:rsid w:val="009856FA"/>
    <w:rsid w:val="009858DA"/>
    <w:rsid w:val="009951BF"/>
    <w:rsid w:val="009B4F38"/>
    <w:rsid w:val="00A152B5"/>
    <w:rsid w:val="00A33389"/>
    <w:rsid w:val="00A40F60"/>
    <w:rsid w:val="00A81078"/>
    <w:rsid w:val="00A86218"/>
    <w:rsid w:val="00AA6D92"/>
    <w:rsid w:val="00B01204"/>
    <w:rsid w:val="00B55743"/>
    <w:rsid w:val="00B66234"/>
    <w:rsid w:val="00BE65CE"/>
    <w:rsid w:val="00BF1D9B"/>
    <w:rsid w:val="00BF511A"/>
    <w:rsid w:val="00C0685A"/>
    <w:rsid w:val="00C42FC7"/>
    <w:rsid w:val="00C55191"/>
    <w:rsid w:val="00C84E2B"/>
    <w:rsid w:val="00CB421B"/>
    <w:rsid w:val="00D130BB"/>
    <w:rsid w:val="00D27D5C"/>
    <w:rsid w:val="00D32285"/>
    <w:rsid w:val="00D42D00"/>
    <w:rsid w:val="00D539D0"/>
    <w:rsid w:val="00D84BB5"/>
    <w:rsid w:val="00DA420B"/>
    <w:rsid w:val="00E16BB7"/>
    <w:rsid w:val="00E26A1E"/>
    <w:rsid w:val="00E33E69"/>
    <w:rsid w:val="00E517EE"/>
    <w:rsid w:val="00E571BD"/>
    <w:rsid w:val="00E91FD2"/>
    <w:rsid w:val="00EA32F2"/>
    <w:rsid w:val="00EC0286"/>
    <w:rsid w:val="00EC311C"/>
    <w:rsid w:val="00EC6620"/>
    <w:rsid w:val="00EF2745"/>
    <w:rsid w:val="00EF337C"/>
    <w:rsid w:val="00EF4C24"/>
    <w:rsid w:val="00EF623B"/>
    <w:rsid w:val="00F37632"/>
    <w:rsid w:val="00F715B8"/>
    <w:rsid w:val="00F80156"/>
    <w:rsid w:val="00F92BD9"/>
    <w:rsid w:val="00FA274D"/>
    <w:rsid w:val="00FB6E83"/>
    <w:rsid w:val="00FD3548"/>
    <w:rsid w:val="00FE6D77"/>
    <w:rsid w:val="05081719"/>
    <w:rsid w:val="08815237"/>
    <w:rsid w:val="132009CE"/>
    <w:rsid w:val="1AC83E25"/>
    <w:rsid w:val="1E3802DE"/>
    <w:rsid w:val="297E2BE3"/>
    <w:rsid w:val="2C777F36"/>
    <w:rsid w:val="2E1E4A0F"/>
    <w:rsid w:val="357916F9"/>
    <w:rsid w:val="371727AA"/>
    <w:rsid w:val="49C217C2"/>
    <w:rsid w:val="4B9824E5"/>
    <w:rsid w:val="4B9C6EA1"/>
    <w:rsid w:val="4BAB1E70"/>
    <w:rsid w:val="4F144815"/>
    <w:rsid w:val="53D44A6D"/>
    <w:rsid w:val="585C0BAD"/>
    <w:rsid w:val="59077B00"/>
    <w:rsid w:val="62773370"/>
    <w:rsid w:val="63B05278"/>
    <w:rsid w:val="64236A36"/>
    <w:rsid w:val="6B7B1CE0"/>
    <w:rsid w:val="6C417095"/>
    <w:rsid w:val="6C9F1C43"/>
    <w:rsid w:val="72A37008"/>
    <w:rsid w:val="7A512A72"/>
    <w:rsid w:val="7D3A4BE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39" w:unhideWhenUsed="0" w:qFormat="1"/>
    <w:lsdException w:name="Placeholder Text"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51BF"/>
    <w:pPr>
      <w:widowControl w:val="0"/>
      <w:jc w:val="both"/>
    </w:pPr>
    <w:rPr>
      <w:rFonts w:ascii="Calibri" w:hAnsi="Calibri"/>
      <w:kern w:val="2"/>
      <w:sz w:val="21"/>
      <w:szCs w:val="22"/>
    </w:rPr>
  </w:style>
  <w:style w:type="paragraph" w:styleId="1">
    <w:name w:val="heading 1"/>
    <w:basedOn w:val="a"/>
    <w:next w:val="a"/>
    <w:link w:val="1Char"/>
    <w:uiPriority w:val="9"/>
    <w:qFormat/>
    <w:rsid w:val="009951BF"/>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9951BF"/>
    <w:rPr>
      <w:sz w:val="18"/>
      <w:szCs w:val="18"/>
    </w:rPr>
  </w:style>
  <w:style w:type="paragraph" w:styleId="a4">
    <w:name w:val="footer"/>
    <w:basedOn w:val="a"/>
    <w:link w:val="Char0"/>
    <w:uiPriority w:val="99"/>
    <w:unhideWhenUsed/>
    <w:qFormat/>
    <w:rsid w:val="009951BF"/>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9951BF"/>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qFormat/>
    <w:rsid w:val="009951BF"/>
    <w:pPr>
      <w:widowControl/>
      <w:spacing w:before="100" w:beforeAutospacing="1" w:after="100" w:afterAutospacing="1"/>
      <w:jc w:val="left"/>
    </w:pPr>
    <w:rPr>
      <w:rFonts w:ascii="宋体" w:hAnsi="宋体" w:cs="宋体"/>
      <w:kern w:val="0"/>
      <w:sz w:val="24"/>
      <w:szCs w:val="24"/>
    </w:rPr>
  </w:style>
  <w:style w:type="table" w:styleId="a7">
    <w:name w:val="Table Grid"/>
    <w:basedOn w:val="a1"/>
    <w:uiPriority w:val="39"/>
    <w:qFormat/>
    <w:rsid w:val="009951B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0"/>
    <w:uiPriority w:val="99"/>
    <w:unhideWhenUsed/>
    <w:qFormat/>
    <w:rsid w:val="009951BF"/>
    <w:rPr>
      <w:color w:val="0563C1" w:themeColor="hyperlink"/>
      <w:u w:val="single"/>
    </w:rPr>
  </w:style>
  <w:style w:type="character" w:styleId="a9">
    <w:name w:val="Placeholder Text"/>
    <w:basedOn w:val="a0"/>
    <w:uiPriority w:val="99"/>
    <w:semiHidden/>
    <w:qFormat/>
    <w:rsid w:val="009951BF"/>
    <w:rPr>
      <w:color w:val="808080"/>
    </w:rPr>
  </w:style>
  <w:style w:type="character" w:customStyle="1" w:styleId="1Char">
    <w:name w:val="标题 1 Char"/>
    <w:basedOn w:val="a0"/>
    <w:link w:val="1"/>
    <w:uiPriority w:val="9"/>
    <w:qFormat/>
    <w:rsid w:val="009951BF"/>
    <w:rPr>
      <w:rFonts w:ascii="宋体" w:eastAsia="宋体" w:hAnsi="宋体" w:cs="宋体"/>
      <w:b/>
      <w:bCs/>
      <w:kern w:val="36"/>
      <w:sz w:val="48"/>
      <w:szCs w:val="48"/>
    </w:rPr>
  </w:style>
  <w:style w:type="character" w:customStyle="1" w:styleId="Char1">
    <w:name w:val="页眉 Char"/>
    <w:basedOn w:val="a0"/>
    <w:link w:val="a5"/>
    <w:uiPriority w:val="99"/>
    <w:qFormat/>
    <w:rsid w:val="009951BF"/>
    <w:rPr>
      <w:rFonts w:ascii="Calibri" w:eastAsia="宋体" w:hAnsi="Calibri" w:cs="Times New Roman"/>
      <w:sz w:val="18"/>
      <w:szCs w:val="18"/>
    </w:rPr>
  </w:style>
  <w:style w:type="character" w:customStyle="1" w:styleId="Char0">
    <w:name w:val="页脚 Char"/>
    <w:basedOn w:val="a0"/>
    <w:link w:val="a4"/>
    <w:uiPriority w:val="99"/>
    <w:qFormat/>
    <w:rsid w:val="009951BF"/>
    <w:rPr>
      <w:rFonts w:ascii="Calibri" w:eastAsia="宋体" w:hAnsi="Calibri" w:cs="Times New Roman"/>
      <w:sz w:val="18"/>
      <w:szCs w:val="18"/>
    </w:rPr>
  </w:style>
  <w:style w:type="character" w:customStyle="1" w:styleId="Char">
    <w:name w:val="批注框文本 Char"/>
    <w:basedOn w:val="a0"/>
    <w:link w:val="a3"/>
    <w:uiPriority w:val="99"/>
    <w:semiHidden/>
    <w:qFormat/>
    <w:rsid w:val="009951BF"/>
    <w:rPr>
      <w:rFonts w:ascii="Calibri" w:eastAsia="宋体" w:hAnsi="Calibri" w:cs="Times New Roman"/>
      <w:sz w:val="18"/>
      <w:szCs w:val="18"/>
    </w:rPr>
  </w:style>
  <w:style w:type="paragraph" w:styleId="aa">
    <w:name w:val="List Paragraph"/>
    <w:basedOn w:val="a"/>
    <w:uiPriority w:val="34"/>
    <w:qFormat/>
    <w:rsid w:val="009951BF"/>
    <w:pPr>
      <w:ind w:firstLineChars="200" w:firstLine="420"/>
    </w:pPr>
  </w:style>
  <w:style w:type="table" w:customStyle="1" w:styleId="10">
    <w:name w:val="网格型1"/>
    <w:basedOn w:val="a1"/>
    <w:uiPriority w:val="39"/>
    <w:qFormat/>
    <w:rsid w:val="009951B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
    <w:name w:val="未处理的提及1"/>
    <w:basedOn w:val="a0"/>
    <w:uiPriority w:val="99"/>
    <w:semiHidden/>
    <w:unhideWhenUsed/>
    <w:qFormat/>
    <w:rsid w:val="009951BF"/>
    <w:rPr>
      <w:color w:val="605E5C"/>
      <w:shd w:val="clear" w:color="auto" w:fill="E1DFDD"/>
    </w:rPr>
  </w:style>
  <w:style w:type="paragraph" w:customStyle="1" w:styleId="12">
    <w:name w:val="修订1"/>
    <w:hidden/>
    <w:uiPriority w:val="99"/>
    <w:unhideWhenUsed/>
    <w:qFormat/>
    <w:rsid w:val="009951BF"/>
    <w:rPr>
      <w:rFonts w:ascii="Calibri" w:hAnsi="Calibri"/>
      <w:kern w:val="2"/>
      <w:sz w:val="21"/>
      <w:szCs w:val="22"/>
    </w:rPr>
  </w:style>
  <w:style w:type="paragraph" w:customStyle="1" w:styleId="2">
    <w:name w:val="修订2"/>
    <w:hidden/>
    <w:uiPriority w:val="99"/>
    <w:unhideWhenUsed/>
    <w:qFormat/>
    <w:rsid w:val="009951BF"/>
    <w:rPr>
      <w:rFonts w:ascii="Calibri" w:hAnsi="Calibri"/>
      <w:kern w:val="2"/>
      <w:sz w:val="21"/>
      <w:szCs w:val="22"/>
    </w:rPr>
  </w:style>
  <w:style w:type="paragraph" w:customStyle="1" w:styleId="3">
    <w:name w:val="修订3"/>
    <w:hidden/>
    <w:uiPriority w:val="99"/>
    <w:unhideWhenUsed/>
    <w:qFormat/>
    <w:rsid w:val="009951BF"/>
    <w:rPr>
      <w:rFonts w:ascii="Calibri" w:hAnsi="Calibri"/>
      <w:kern w:val="2"/>
      <w:sz w:val="21"/>
      <w:szCs w:val="22"/>
    </w:rPr>
  </w:style>
  <w:style w:type="paragraph" w:customStyle="1" w:styleId="4">
    <w:name w:val="修订4"/>
    <w:hidden/>
    <w:uiPriority w:val="99"/>
    <w:unhideWhenUsed/>
    <w:qFormat/>
    <w:rsid w:val="009951BF"/>
    <w:rPr>
      <w:rFonts w:ascii="Calibri" w:hAnsi="Calibri"/>
      <w:kern w:val="2"/>
      <w:sz w:val="21"/>
      <w:szCs w:val="22"/>
    </w:rPr>
  </w:style>
  <w:style w:type="paragraph" w:customStyle="1" w:styleId="5">
    <w:name w:val="修订5"/>
    <w:hidden/>
    <w:uiPriority w:val="99"/>
    <w:unhideWhenUsed/>
    <w:qFormat/>
    <w:rsid w:val="009951BF"/>
    <w:rPr>
      <w:rFonts w:ascii="Calibri" w:hAnsi="Calibri"/>
      <w:kern w:val="2"/>
      <w:sz w:val="21"/>
      <w:szCs w:val="22"/>
    </w:rPr>
  </w:style>
  <w:style w:type="paragraph" w:customStyle="1" w:styleId="6">
    <w:name w:val="修订6"/>
    <w:hidden/>
    <w:uiPriority w:val="99"/>
    <w:unhideWhenUsed/>
    <w:qFormat/>
    <w:rsid w:val="009951BF"/>
    <w:rPr>
      <w:rFonts w:ascii="Calibri" w:hAnsi="Calibri"/>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246</Words>
  <Characters>1408</Characters>
  <Application>Microsoft Office Word</Application>
  <DocSecurity>4</DocSecurity>
  <Lines>11</Lines>
  <Paragraphs>3</Paragraphs>
  <ScaleCrop>false</ScaleCrop>
  <Company>CNSTOCK</Company>
  <LinksUpToDate>false</LinksUpToDate>
  <CharactersWithSpaces>1651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李仪</dc:creator>
  <cp:lastModifiedBy>ZHONGM</cp:lastModifiedBy>
  <cp:revision>2</cp:revision>
  <dcterms:created xsi:type="dcterms:W3CDTF">2025-11-26T16:01:00Z</dcterms:created>
  <dcterms:modified xsi:type="dcterms:W3CDTF">2025-11-26T16:01:00Z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8B669C79DAC14738938F213DC1B354E1</vt:lpwstr>
  </property>
</Properties>
</file>