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A7A" w:rsidRDefault="001D6680">
      <w:pPr>
        <w:rPr>
          <w:rFonts w:ascii="微软雅黑" w:eastAsia="微软雅黑" w:hAnsi="微软雅黑" w:cs="微软雅黑"/>
          <w:b/>
          <w:bCs/>
          <w:color w:val="000000"/>
          <w:sz w:val="28"/>
          <w:szCs w:val="28"/>
          <w:shd w:val="clear" w:color="auto" w:fill="FFFFFF"/>
        </w:rPr>
      </w:pPr>
      <w:r>
        <w:rPr>
          <w:rFonts w:ascii="微软雅黑" w:eastAsia="微软雅黑" w:hAnsi="微软雅黑" w:cs="微软雅黑" w:hint="eastAsia"/>
          <w:b/>
          <w:bCs/>
          <w:color w:val="000000"/>
          <w:sz w:val="28"/>
          <w:szCs w:val="28"/>
          <w:shd w:val="clear" w:color="auto" w:fill="FFFFFF"/>
        </w:rPr>
        <w:t>方正富邦基金管理有限公司关于旗下部分基金持有的长期停牌股票估值方法调整的公告</w:t>
      </w:r>
    </w:p>
    <w:p w:rsidR="00E86A7A" w:rsidRDefault="00E86A7A">
      <w:pPr>
        <w:rPr>
          <w:rFonts w:ascii="宋体" w:eastAsia="宋体" w:hAnsi="宋体" w:cs="宋体"/>
          <w:b/>
          <w:bCs/>
          <w:color w:val="000000"/>
          <w:sz w:val="24"/>
          <w:shd w:val="clear" w:color="auto" w:fill="FFFFFF"/>
        </w:rPr>
      </w:pPr>
    </w:p>
    <w:p w:rsidR="00E86A7A" w:rsidRDefault="001D6680">
      <w:pPr>
        <w:rPr>
          <w:rFonts w:ascii="微软雅黑" w:eastAsia="微软雅黑" w:hAnsi="微软雅黑" w:cs="微软雅黑"/>
          <w:color w:val="000000"/>
          <w:sz w:val="22"/>
          <w:szCs w:val="22"/>
          <w:shd w:val="clear" w:color="auto" w:fill="FFFFFF"/>
        </w:rPr>
      </w:pPr>
      <w:r>
        <w:rPr>
          <w:rFonts w:ascii="微软雅黑" w:eastAsia="微软雅黑" w:hAnsi="微软雅黑" w:cs="微软雅黑"/>
          <w:color w:val="000000"/>
          <w:sz w:val="22"/>
          <w:szCs w:val="22"/>
          <w:shd w:val="clear" w:color="auto" w:fill="FFFFFF"/>
        </w:rPr>
        <w:t>根据《</w:t>
      </w:r>
      <w:r>
        <w:rPr>
          <w:rFonts w:ascii="微软雅黑" w:eastAsia="微软雅黑" w:hAnsi="微软雅黑" w:cs="微软雅黑" w:hint="eastAsia"/>
          <w:color w:val="000000"/>
          <w:sz w:val="22"/>
          <w:szCs w:val="22"/>
          <w:shd w:val="clear" w:color="auto" w:fill="FFFFFF"/>
        </w:rPr>
        <w:t>中国证监会关于证券投资基金估值业务的指导意见》（</w:t>
      </w:r>
      <w:r>
        <w:rPr>
          <w:rFonts w:ascii="微软雅黑" w:eastAsia="微软雅黑" w:hAnsi="微软雅黑" w:cs="微软雅黑"/>
          <w:color w:val="000000"/>
          <w:sz w:val="22"/>
          <w:szCs w:val="22"/>
          <w:shd w:val="clear" w:color="auto" w:fill="FFFFFF"/>
        </w:rPr>
        <w:t>中国</w:t>
      </w:r>
      <w:r>
        <w:rPr>
          <w:rFonts w:ascii="微软雅黑" w:eastAsia="微软雅黑" w:hAnsi="微软雅黑" w:cs="微软雅黑" w:hint="eastAsia"/>
          <w:color w:val="000000"/>
          <w:sz w:val="22"/>
          <w:szCs w:val="22"/>
          <w:shd w:val="clear" w:color="auto" w:fill="FFFFFF"/>
        </w:rPr>
        <w:t>证券监督管理委员会公告</w:t>
      </w:r>
      <w:r>
        <w:rPr>
          <w:rFonts w:ascii="微软雅黑" w:eastAsia="微软雅黑" w:hAnsi="微软雅黑" w:cs="微软雅黑"/>
          <w:color w:val="000000"/>
          <w:sz w:val="22"/>
          <w:szCs w:val="22"/>
          <w:shd w:val="clear" w:color="auto" w:fill="FFFFFF"/>
        </w:rPr>
        <w:t>[2017]13</w:t>
      </w:r>
      <w:r>
        <w:rPr>
          <w:rFonts w:ascii="微软雅黑" w:eastAsia="微软雅黑" w:hAnsi="微软雅黑" w:cs="微软雅黑"/>
          <w:color w:val="000000"/>
          <w:sz w:val="22"/>
          <w:szCs w:val="22"/>
          <w:shd w:val="clear" w:color="auto" w:fill="FFFFFF"/>
        </w:rPr>
        <w:t>号</w:t>
      </w:r>
      <w:r>
        <w:rPr>
          <w:rFonts w:ascii="微软雅黑" w:eastAsia="微软雅黑" w:hAnsi="微软雅黑" w:cs="微软雅黑" w:hint="eastAsia"/>
          <w:color w:val="000000"/>
          <w:sz w:val="22"/>
          <w:szCs w:val="22"/>
          <w:shd w:val="clear" w:color="auto" w:fill="FFFFFF"/>
        </w:rPr>
        <w:t>）等有关规定，方正富邦基金管理有限公司</w:t>
      </w:r>
      <w:r>
        <w:rPr>
          <w:rFonts w:ascii="微软雅黑" w:eastAsia="微软雅黑" w:hAnsi="微软雅黑" w:cs="微软雅黑" w:hint="eastAsia"/>
          <w:color w:val="000000"/>
          <w:sz w:val="22"/>
          <w:szCs w:val="22"/>
          <w:shd w:val="clear" w:color="auto" w:fill="FFFFFF"/>
        </w:rPr>
        <w:t>(</w:t>
      </w:r>
      <w:r>
        <w:rPr>
          <w:rFonts w:ascii="微软雅黑" w:eastAsia="微软雅黑" w:hAnsi="微软雅黑" w:cs="微软雅黑" w:hint="eastAsia"/>
          <w:color w:val="000000"/>
          <w:sz w:val="22"/>
          <w:szCs w:val="22"/>
          <w:shd w:val="clear" w:color="auto" w:fill="FFFFFF"/>
        </w:rPr>
        <w:t>以下简称“本公司”</w:t>
      </w:r>
      <w:bookmarkStart w:id="0" w:name="_GoBack"/>
      <w:bookmarkEnd w:id="0"/>
      <w:r>
        <w:rPr>
          <w:rFonts w:ascii="微软雅黑" w:eastAsia="微软雅黑" w:hAnsi="微软雅黑" w:cs="微软雅黑" w:hint="eastAsia"/>
          <w:color w:val="000000"/>
          <w:sz w:val="22"/>
          <w:szCs w:val="22"/>
          <w:shd w:val="clear" w:color="auto" w:fill="FFFFFF"/>
        </w:rPr>
        <w:t>)</w:t>
      </w:r>
      <w:r>
        <w:rPr>
          <w:rFonts w:ascii="微软雅黑" w:eastAsia="微软雅黑" w:hAnsi="微软雅黑" w:cs="微软雅黑" w:hint="eastAsia"/>
          <w:color w:val="000000"/>
          <w:sz w:val="22"/>
          <w:szCs w:val="22"/>
          <w:shd w:val="clear" w:color="auto" w:fill="FFFFFF"/>
        </w:rPr>
        <w:t>经与基金托管人协商一致，决定自</w:t>
      </w:r>
      <w:r>
        <w:rPr>
          <w:rFonts w:ascii="微软雅黑" w:eastAsia="微软雅黑" w:hAnsi="微软雅黑" w:cs="微软雅黑" w:hint="eastAsia"/>
          <w:color w:val="000000"/>
          <w:sz w:val="22"/>
          <w:szCs w:val="22"/>
          <w:shd w:val="clear" w:color="auto" w:fill="FFFFFF"/>
        </w:rPr>
        <w:t>2025</w:t>
      </w:r>
      <w:r>
        <w:rPr>
          <w:rFonts w:ascii="微软雅黑" w:eastAsia="微软雅黑" w:hAnsi="微软雅黑" w:cs="微软雅黑" w:hint="eastAsia"/>
          <w:color w:val="000000"/>
          <w:sz w:val="22"/>
          <w:szCs w:val="22"/>
          <w:shd w:val="clear" w:color="auto" w:fill="FFFFFF"/>
        </w:rPr>
        <w:t>年</w:t>
      </w:r>
      <w:r>
        <w:rPr>
          <w:rFonts w:ascii="微软雅黑" w:eastAsia="微软雅黑" w:hAnsi="微软雅黑" w:cs="微软雅黑" w:hint="eastAsia"/>
          <w:color w:val="000000"/>
          <w:sz w:val="22"/>
          <w:szCs w:val="22"/>
          <w:shd w:val="clear" w:color="auto" w:fill="FFFFFF"/>
        </w:rPr>
        <w:t>11</w:t>
      </w:r>
      <w:r>
        <w:rPr>
          <w:rFonts w:ascii="微软雅黑" w:eastAsia="微软雅黑" w:hAnsi="微软雅黑" w:cs="微软雅黑" w:hint="eastAsia"/>
          <w:color w:val="000000"/>
          <w:sz w:val="22"/>
          <w:szCs w:val="22"/>
          <w:shd w:val="clear" w:color="auto" w:fill="FFFFFF"/>
        </w:rPr>
        <w:t>月</w:t>
      </w:r>
      <w:r>
        <w:rPr>
          <w:rFonts w:ascii="微软雅黑" w:eastAsia="微软雅黑" w:hAnsi="微软雅黑" w:cs="微软雅黑" w:hint="eastAsia"/>
          <w:color w:val="000000"/>
          <w:sz w:val="22"/>
          <w:szCs w:val="22"/>
          <w:shd w:val="clear" w:color="auto" w:fill="FFFFFF"/>
        </w:rPr>
        <w:t>26</w:t>
      </w:r>
      <w:r>
        <w:rPr>
          <w:rFonts w:ascii="微软雅黑" w:eastAsia="微软雅黑" w:hAnsi="微软雅黑" w:cs="微软雅黑" w:hint="eastAsia"/>
          <w:color w:val="000000"/>
          <w:sz w:val="22"/>
          <w:szCs w:val="22"/>
          <w:shd w:val="clear" w:color="auto" w:fill="FFFFFF"/>
        </w:rPr>
        <w:t>日起，对本公司旗下基金（</w:t>
      </w:r>
      <w:r>
        <w:rPr>
          <w:rFonts w:ascii="微软雅黑" w:eastAsia="微软雅黑" w:hAnsi="微软雅黑" w:cs="微软雅黑" w:hint="eastAsia"/>
          <w:color w:val="000000"/>
          <w:sz w:val="22"/>
          <w:szCs w:val="22"/>
          <w:shd w:val="clear" w:color="auto" w:fill="FFFFFF"/>
        </w:rPr>
        <w:t>ETF</w:t>
      </w:r>
      <w:r>
        <w:rPr>
          <w:rFonts w:ascii="微软雅黑" w:eastAsia="微软雅黑" w:hAnsi="微软雅黑" w:cs="微软雅黑" w:hint="eastAsia"/>
          <w:color w:val="000000"/>
          <w:sz w:val="22"/>
          <w:szCs w:val="22"/>
          <w:shd w:val="clear" w:color="auto" w:fill="FFFFFF"/>
        </w:rPr>
        <w:t>除外）持有的停牌股票普冉股份（证券代码：</w:t>
      </w:r>
      <w:r>
        <w:rPr>
          <w:rFonts w:ascii="微软雅黑" w:eastAsia="微软雅黑" w:hAnsi="微软雅黑" w:cs="微软雅黑" w:hint="eastAsia"/>
          <w:color w:val="000000"/>
          <w:sz w:val="22"/>
          <w:szCs w:val="22"/>
          <w:shd w:val="clear" w:color="auto" w:fill="FFFFFF"/>
        </w:rPr>
        <w:t>688766</w:t>
      </w:r>
      <w:r>
        <w:rPr>
          <w:rFonts w:ascii="微软雅黑" w:eastAsia="微软雅黑" w:hAnsi="微软雅黑" w:cs="微软雅黑" w:hint="eastAsia"/>
          <w:color w:val="000000"/>
          <w:sz w:val="22"/>
          <w:szCs w:val="22"/>
          <w:shd w:val="clear" w:color="auto" w:fill="FFFFFF"/>
        </w:rPr>
        <w:t>）采用“指数收益法”进行估值。该股票复牌后，本公司将综合参考各项相关影响因素并与基金托管人协商后确定对该股票恢复按市价估值法进行估值，届时不再另行公告。</w:t>
      </w:r>
    </w:p>
    <w:p w:rsidR="00E86A7A" w:rsidRDefault="001D6680">
      <w:pPr>
        <w:pStyle w:val="a3"/>
        <w:widowControl/>
        <w:shd w:val="clear" w:color="auto" w:fill="FFFFFF"/>
        <w:spacing w:before="240" w:beforeAutospacing="0" w:afterAutospacing="0" w:line="420" w:lineRule="atLeast"/>
        <w:rPr>
          <w:rFonts w:ascii="微软雅黑" w:eastAsia="微软雅黑" w:hAnsi="微软雅黑" w:cs="微软雅黑"/>
          <w:color w:val="000000"/>
          <w:sz w:val="22"/>
          <w:szCs w:val="22"/>
        </w:rPr>
      </w:pPr>
      <w:r>
        <w:rPr>
          <w:rFonts w:ascii="微软雅黑" w:eastAsia="微软雅黑" w:hAnsi="微软雅黑" w:cs="微软雅黑" w:hint="eastAsia"/>
          <w:color w:val="000000"/>
          <w:sz w:val="22"/>
          <w:szCs w:val="22"/>
          <w:shd w:val="clear" w:color="auto" w:fill="FFFFFF"/>
        </w:rPr>
        <w:t>特此公告。</w:t>
      </w:r>
    </w:p>
    <w:p w:rsidR="00E86A7A" w:rsidRDefault="001D6680">
      <w:pPr>
        <w:pStyle w:val="a3"/>
        <w:widowControl/>
        <w:shd w:val="clear" w:color="auto" w:fill="FFFFFF"/>
        <w:spacing w:before="240" w:beforeAutospacing="0" w:afterAutospacing="0" w:line="420" w:lineRule="atLeast"/>
        <w:jc w:val="right"/>
        <w:rPr>
          <w:rFonts w:ascii="微软雅黑" w:eastAsia="微软雅黑" w:hAnsi="微软雅黑" w:cs="微软雅黑"/>
          <w:color w:val="000000"/>
          <w:sz w:val="22"/>
          <w:szCs w:val="22"/>
        </w:rPr>
      </w:pPr>
      <w:r>
        <w:rPr>
          <w:rFonts w:ascii="微软雅黑" w:eastAsia="微软雅黑" w:hAnsi="微软雅黑" w:cs="微软雅黑" w:hint="eastAsia"/>
          <w:color w:val="000000"/>
          <w:sz w:val="22"/>
          <w:szCs w:val="22"/>
          <w:shd w:val="clear" w:color="auto" w:fill="FFFFFF"/>
        </w:rPr>
        <w:t xml:space="preserve">　　　　　　　　　　　　　　　　　　　　　　方正富邦基金管理有限公司　　　　　　　　　　　　　　　　　　　　　　　　</w:t>
      </w:r>
      <w:r>
        <w:rPr>
          <w:rFonts w:ascii="微软雅黑" w:eastAsia="微软雅黑" w:hAnsi="微软雅黑" w:cs="微软雅黑" w:hint="eastAsia"/>
          <w:color w:val="000000"/>
          <w:sz w:val="22"/>
          <w:szCs w:val="22"/>
          <w:shd w:val="clear" w:color="auto" w:fill="FFFFFF"/>
        </w:rPr>
        <w:t>2025</w:t>
      </w:r>
      <w:r>
        <w:rPr>
          <w:rFonts w:ascii="微软雅黑" w:eastAsia="微软雅黑" w:hAnsi="微软雅黑" w:cs="微软雅黑" w:hint="eastAsia"/>
          <w:color w:val="000000"/>
          <w:sz w:val="22"/>
          <w:szCs w:val="22"/>
          <w:shd w:val="clear" w:color="auto" w:fill="FFFFFF"/>
        </w:rPr>
        <w:t>年</w:t>
      </w:r>
      <w:r>
        <w:rPr>
          <w:rFonts w:ascii="微软雅黑" w:eastAsia="微软雅黑" w:hAnsi="微软雅黑" w:cs="微软雅黑" w:hint="eastAsia"/>
          <w:color w:val="000000"/>
          <w:sz w:val="22"/>
          <w:szCs w:val="22"/>
          <w:shd w:val="clear" w:color="auto" w:fill="FFFFFF"/>
        </w:rPr>
        <w:t>11</w:t>
      </w:r>
      <w:r>
        <w:rPr>
          <w:rFonts w:ascii="微软雅黑" w:eastAsia="微软雅黑" w:hAnsi="微软雅黑" w:cs="微软雅黑" w:hint="eastAsia"/>
          <w:color w:val="000000"/>
          <w:sz w:val="22"/>
          <w:szCs w:val="22"/>
          <w:shd w:val="clear" w:color="auto" w:fill="FFFFFF"/>
        </w:rPr>
        <w:t>月</w:t>
      </w:r>
      <w:r>
        <w:rPr>
          <w:rFonts w:ascii="微软雅黑" w:eastAsia="微软雅黑" w:hAnsi="微软雅黑" w:cs="微软雅黑" w:hint="eastAsia"/>
          <w:color w:val="000000"/>
          <w:sz w:val="22"/>
          <w:szCs w:val="22"/>
          <w:shd w:val="clear" w:color="auto" w:fill="FFFFFF"/>
        </w:rPr>
        <w:t>26</w:t>
      </w:r>
      <w:r>
        <w:rPr>
          <w:rFonts w:ascii="微软雅黑" w:eastAsia="微软雅黑" w:hAnsi="微软雅黑" w:cs="微软雅黑" w:hint="eastAsia"/>
          <w:color w:val="000000"/>
          <w:sz w:val="22"/>
          <w:szCs w:val="22"/>
          <w:shd w:val="clear" w:color="auto" w:fill="FFFFFF"/>
        </w:rPr>
        <w:t>日</w:t>
      </w:r>
    </w:p>
    <w:p w:rsidR="00E86A7A" w:rsidRDefault="00E86A7A">
      <w:pPr>
        <w:rPr>
          <w:rFonts w:ascii="微软雅黑" w:eastAsia="微软雅黑" w:hAnsi="微软雅黑" w:cs="微软雅黑"/>
          <w:color w:val="000000"/>
          <w:sz w:val="22"/>
          <w:szCs w:val="22"/>
          <w:shd w:val="clear" w:color="auto" w:fill="FFFFFF"/>
        </w:rPr>
      </w:pPr>
    </w:p>
    <w:sectPr w:rsidR="00E86A7A" w:rsidSect="00E86A7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Dg3YmFiNjQxMjlkMzQ3YjI2NDg2MTVjMDM4MzFhZDUifQ=="/>
  </w:docVars>
  <w:rsids>
    <w:rsidRoot w:val="00EE6468"/>
    <w:rsid w:val="00052EB4"/>
    <w:rsid w:val="001D6680"/>
    <w:rsid w:val="00662E19"/>
    <w:rsid w:val="00B2752B"/>
    <w:rsid w:val="00E86A7A"/>
    <w:rsid w:val="00EE6468"/>
    <w:rsid w:val="0DED2A9F"/>
    <w:rsid w:val="1E32363F"/>
    <w:rsid w:val="5A46591C"/>
    <w:rsid w:val="619E4ACF"/>
    <w:rsid w:val="650779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6A7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E86A7A"/>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289</Characters>
  <Application>Microsoft Office Word</Application>
  <DocSecurity>4</DocSecurity>
  <Lines>2</Lines>
  <Paragraphs>1</Paragraphs>
  <ScaleCrop>false</ScaleCrop>
  <Company>CNSTOCK</Company>
  <LinksUpToDate>false</LinksUpToDate>
  <CharactersWithSpaces>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guokai</dc:creator>
  <cp:lastModifiedBy>ZHONGM</cp:lastModifiedBy>
  <cp:revision>2</cp:revision>
  <dcterms:created xsi:type="dcterms:W3CDTF">2025-11-26T16:01:00Z</dcterms:created>
  <dcterms:modified xsi:type="dcterms:W3CDTF">2025-11-26T16:01:00Z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4797863804854AC292377C7CC0BE3A82_13</vt:lpwstr>
  </property>
</Properties>
</file>